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144"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-70485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-44450</wp:posOffset>
            </wp:positionV>
            <wp:extent cx="71323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-1905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16"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60"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-215265</wp:posOffset>
            </wp:positionV>
            <wp:extent cx="142303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23035" cy="8890"/>
                    </a:xfrm>
                    <a:prstGeom prst="rect">
                      <a:avLst/>
                    </a:prstGeom>
                    <a:noFill/>
                  </pic:spPr>
                </pic:pic>
              </a:graphicData>
            </a:graphic>
          </wp:anchor>
        </w:drawing>
        <w:drawing>
          <wp:anchor simplePos="0" relativeHeight="251657728" behindDoc="1" locked="0" layoutInCell="0" allowOverlap="1">
            <wp:simplePos x="0" y="0"/>
            <wp:positionH relativeFrom="column">
              <wp:posOffset>2859405</wp:posOffset>
            </wp:positionH>
            <wp:positionV relativeFrom="paragraph">
              <wp:posOffset>92710</wp:posOffset>
            </wp:positionV>
            <wp:extent cx="14230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188"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(Mark One)</w:t>
      </w:r>
    </w:p>
    <w:p>
      <w:pPr>
        <w:spacing w:after="0" w:line="24" w:lineRule="exact"/>
        <w:rPr>
          <w:sz w:val="24"/>
          <w:szCs w:val="24"/>
          <w:color w:val="auto"/>
        </w:rPr>
      </w:pPr>
    </w:p>
    <w:p>
      <w:pPr>
        <w:ind w:left="580" w:right="180" w:hanging="572"/>
        <w:spacing w:after="0" w:line="236" w:lineRule="auto"/>
        <w:tabs>
          <w:tab w:leader="none" w:pos="580" w:val="left"/>
        </w:tabs>
        <w:numPr>
          <w:ilvl w:val="0"/>
          <w:numId w:val="1"/>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QUARTERLY REPORT PURSUANT TO SECTION 13 OR 15(d) OF THE SECURITIES EXCHANGE ACT OF 1934</w:t>
      </w:r>
    </w:p>
    <w:p>
      <w:pPr>
        <w:spacing w:after="0" w:line="4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 the quarterly period ended March 31, 2022</w:t>
      </w:r>
    </w:p>
    <w:p>
      <w:pPr>
        <w:spacing w:after="0" w:line="9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81" w:lineRule="exact"/>
        <w:rPr>
          <w:sz w:val="24"/>
          <w:szCs w:val="24"/>
          <w:color w:val="auto"/>
        </w:rPr>
      </w:pPr>
    </w:p>
    <w:p>
      <w:pPr>
        <w:ind w:left="580" w:right="160" w:hanging="572"/>
        <w:spacing w:after="0" w:line="256" w:lineRule="auto"/>
        <w:tabs>
          <w:tab w:leader="none" w:pos="580" w:val="left"/>
        </w:tabs>
        <w:numPr>
          <w:ilvl w:val="0"/>
          <w:numId w:val="2"/>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TRANSITION REPORT PURSUANT TO SECTION 13 OR 15(d) OF THE SECURITIES EXCHANGE ACT OF 1934</w:t>
      </w:r>
    </w:p>
    <w:p>
      <w:pPr>
        <w:spacing w:after="0" w:line="36" w:lineRule="exact"/>
        <w:rPr>
          <w:sz w:val="24"/>
          <w:szCs w:val="24"/>
          <w:color w:val="auto"/>
        </w:rPr>
      </w:pPr>
    </w:p>
    <w:p>
      <w:pPr>
        <w:ind w:left="3680"/>
        <w:spacing w:after="0"/>
        <w:rPr>
          <w:sz w:val="20"/>
          <w:szCs w:val="20"/>
          <w:color w:val="auto"/>
        </w:rPr>
      </w:pPr>
      <w:r>
        <w:rPr>
          <w:rFonts w:ascii="Arial" w:cs="Arial" w:eastAsia="Arial" w:hAnsi="Arial"/>
          <w:sz w:val="18"/>
          <w:szCs w:val="18"/>
          <w:b w:val="1"/>
          <w:bCs w:val="1"/>
          <w:color w:val="auto"/>
        </w:rPr>
        <w:t>For the transition period from _______ to _______</w:t>
      </w:r>
    </w:p>
    <w:p>
      <w:pPr>
        <w:spacing w:after="0" w:line="7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Commission File Number: 001-36708</w:t>
      </w:r>
    </w:p>
    <w:p>
      <w:pPr>
        <w:spacing w:after="0" w:line="92"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Uniti Group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-294640</wp:posOffset>
            </wp:positionV>
            <wp:extent cx="14230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3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95" w:lineRule="exact"/>
        <w:rPr>
          <w:sz w:val="24"/>
          <w:szCs w:val="24"/>
          <w:color w:val="auto"/>
        </w:rPr>
      </w:pPr>
    </w:p>
    <w:tbl>
      <w:tblPr>
        <w:tblLayout w:type="fixed"/>
        <w:tblInd w:w="1480" w:type="dxa"/>
        <w:tblCellMar>
          <w:top w:w="0" w:type="dxa"/>
          <w:left w:w="0" w:type="dxa"/>
          <w:bottom w:w="0" w:type="dxa"/>
          <w:right w:w="0" w:type="dxa"/>
        </w:tblCellMar>
      </w:tblPr>
      <w:tr>
        <w:trPr>
          <w:trHeight w:val="207"/>
        </w:trPr>
        <w:tc>
          <w:tcPr>
            <w:tcW w:w="3020" w:type="dxa"/>
            <w:vAlign w:val="bottom"/>
          </w:tcPr>
          <w:p>
            <w:pPr>
              <w:jc w:val="center"/>
              <w:ind w:right="257"/>
              <w:spacing w:after="0"/>
              <w:rPr>
                <w:sz w:val="20"/>
                <w:szCs w:val="20"/>
                <w:color w:val="auto"/>
              </w:rPr>
            </w:pPr>
            <w:r>
              <w:rPr>
                <w:rFonts w:ascii="Arial" w:cs="Arial" w:eastAsia="Arial" w:hAnsi="Arial"/>
                <w:sz w:val="18"/>
                <w:szCs w:val="18"/>
                <w:b w:val="1"/>
                <w:bCs w:val="1"/>
                <w:color w:val="auto"/>
                <w:w w:val="96"/>
              </w:rPr>
              <w:t>Maryland</w:t>
            </w:r>
          </w:p>
        </w:tc>
        <w:tc>
          <w:tcPr>
            <w:tcW w:w="20" w:type="dxa"/>
            <w:vAlign w:val="bottom"/>
            <w:tcBorders>
              <w:top w:val="single" w:sz="8" w:color="auto"/>
            </w:tcBorders>
          </w:tcPr>
          <w:p>
            <w:pPr>
              <w:spacing w:after="0"/>
              <w:rPr>
                <w:sz w:val="17"/>
                <w:szCs w:val="17"/>
                <w:color w:val="auto"/>
              </w:rPr>
            </w:pPr>
          </w:p>
        </w:tc>
        <w:tc>
          <w:tcPr>
            <w:tcW w:w="2220" w:type="dxa"/>
            <w:vAlign w:val="bottom"/>
            <w:tcBorders>
              <w:top w:val="single" w:sz="8" w:color="auto"/>
            </w:tcBorders>
          </w:tcPr>
          <w:p>
            <w:pPr>
              <w:spacing w:after="0"/>
              <w:rPr>
                <w:sz w:val="17"/>
                <w:szCs w:val="17"/>
                <w:color w:val="auto"/>
              </w:rPr>
            </w:pPr>
          </w:p>
        </w:tc>
        <w:tc>
          <w:tcPr>
            <w:tcW w:w="3960" w:type="dxa"/>
            <w:vAlign w:val="bottom"/>
          </w:tcPr>
          <w:p>
            <w:pPr>
              <w:jc w:val="right"/>
              <w:ind w:right="1758"/>
              <w:spacing w:after="0"/>
              <w:rPr>
                <w:sz w:val="20"/>
                <w:szCs w:val="20"/>
                <w:color w:val="auto"/>
              </w:rPr>
            </w:pPr>
            <w:r>
              <w:rPr>
                <w:rFonts w:ascii="Arial" w:cs="Arial" w:eastAsia="Arial" w:hAnsi="Arial"/>
                <w:sz w:val="18"/>
                <w:szCs w:val="18"/>
                <w:b w:val="1"/>
                <w:bCs w:val="1"/>
                <w:color w:val="auto"/>
              </w:rPr>
              <w:t>46-5230630</w:t>
            </w:r>
          </w:p>
        </w:tc>
      </w:tr>
      <w:tr>
        <w:trPr>
          <w:trHeight w:val="148"/>
        </w:trPr>
        <w:tc>
          <w:tcPr>
            <w:tcW w:w="3020" w:type="dxa"/>
            <w:vAlign w:val="bottom"/>
          </w:tcPr>
          <w:p>
            <w:pPr>
              <w:jc w:val="center"/>
              <w:ind w:right="257"/>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20" w:type="dxa"/>
            <w:vAlign w:val="bottom"/>
          </w:tcPr>
          <w:p>
            <w:pPr>
              <w:spacing w:after="0"/>
              <w:rPr>
                <w:sz w:val="12"/>
                <w:szCs w:val="12"/>
                <w:color w:val="auto"/>
              </w:rPr>
            </w:pPr>
          </w:p>
        </w:tc>
        <w:tc>
          <w:tcPr>
            <w:tcW w:w="2220" w:type="dxa"/>
            <w:vAlign w:val="bottom"/>
          </w:tcPr>
          <w:p>
            <w:pPr>
              <w:spacing w:after="0"/>
              <w:rPr>
                <w:sz w:val="12"/>
                <w:szCs w:val="12"/>
                <w:color w:val="auto"/>
              </w:rPr>
            </w:pPr>
          </w:p>
        </w:tc>
        <w:tc>
          <w:tcPr>
            <w:tcW w:w="3960" w:type="dxa"/>
            <w:vAlign w:val="bottom"/>
          </w:tcPr>
          <w:p>
            <w:pPr>
              <w:jc w:val="center"/>
              <w:ind w:right="478"/>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3020" w:type="dxa"/>
            <w:vAlign w:val="bottom"/>
          </w:tcPr>
          <w:p>
            <w:pPr>
              <w:jc w:val="center"/>
              <w:ind w:right="257"/>
              <w:spacing w:after="0"/>
              <w:rPr>
                <w:sz w:val="20"/>
                <w:szCs w:val="20"/>
                <w:color w:val="auto"/>
              </w:rPr>
            </w:pPr>
            <w:r>
              <w:rPr>
                <w:rFonts w:ascii="Arial" w:cs="Arial" w:eastAsia="Arial" w:hAnsi="Arial"/>
                <w:sz w:val="14"/>
                <w:szCs w:val="14"/>
                <w:b w:val="1"/>
                <w:bCs w:val="1"/>
                <w:color w:val="auto"/>
                <w:w w:val="94"/>
              </w:rPr>
              <w:t>incorporation or organization)</w:t>
            </w:r>
          </w:p>
        </w:tc>
        <w:tc>
          <w:tcPr>
            <w:tcW w:w="20" w:type="dxa"/>
            <w:vAlign w:val="bottom"/>
          </w:tcPr>
          <w:p>
            <w:pPr>
              <w:spacing w:after="0"/>
              <w:rPr>
                <w:sz w:val="16"/>
                <w:szCs w:val="16"/>
                <w:color w:val="auto"/>
              </w:rPr>
            </w:pPr>
          </w:p>
        </w:tc>
        <w:tc>
          <w:tcPr>
            <w:tcW w:w="2220" w:type="dxa"/>
            <w:vAlign w:val="bottom"/>
          </w:tcPr>
          <w:p>
            <w:pPr>
              <w:spacing w:after="0"/>
              <w:rPr>
                <w:sz w:val="16"/>
                <w:szCs w:val="16"/>
                <w:color w:val="auto"/>
              </w:rPr>
            </w:pPr>
          </w:p>
        </w:tc>
        <w:tc>
          <w:tcPr>
            <w:tcW w:w="3960" w:type="dxa"/>
            <w:vAlign w:val="bottom"/>
          </w:tcPr>
          <w:p>
            <w:pPr>
              <w:jc w:val="center"/>
              <w:ind w:right="498"/>
              <w:spacing w:after="0"/>
              <w:rPr>
                <w:sz w:val="20"/>
                <w:szCs w:val="20"/>
                <w:color w:val="auto"/>
              </w:rPr>
            </w:pPr>
            <w:r>
              <w:rPr>
                <w:rFonts w:ascii="Arial" w:cs="Arial" w:eastAsia="Arial" w:hAnsi="Arial"/>
                <w:sz w:val="14"/>
                <w:szCs w:val="14"/>
                <w:b w:val="1"/>
                <w:bCs w:val="1"/>
                <w:color w:val="auto"/>
                <w:w w:val="96"/>
              </w:rPr>
              <w:t>Identification No.)</w:t>
            </w:r>
          </w:p>
        </w:tc>
      </w:tr>
      <w:tr>
        <w:trPr>
          <w:trHeight w:val="264"/>
        </w:trPr>
        <w:tc>
          <w:tcPr>
            <w:tcW w:w="3020" w:type="dxa"/>
            <w:vAlign w:val="bottom"/>
          </w:tcPr>
          <w:p>
            <w:pPr>
              <w:jc w:val="center"/>
              <w:ind w:right="257"/>
              <w:spacing w:after="0"/>
              <w:rPr>
                <w:sz w:val="20"/>
                <w:szCs w:val="20"/>
                <w:color w:val="auto"/>
              </w:rPr>
            </w:pPr>
            <w:r>
              <w:rPr>
                <w:rFonts w:ascii="Arial" w:cs="Arial" w:eastAsia="Arial" w:hAnsi="Arial"/>
                <w:sz w:val="18"/>
                <w:szCs w:val="18"/>
                <w:b w:val="1"/>
                <w:bCs w:val="1"/>
                <w:color w:val="auto"/>
                <w:w w:val="93"/>
              </w:rPr>
              <w:t>2101 Riverfront Drive, Suite A</w:t>
            </w:r>
          </w:p>
        </w:tc>
        <w:tc>
          <w:tcPr>
            <w:tcW w:w="20" w:type="dxa"/>
            <w:vAlign w:val="bottom"/>
          </w:tcPr>
          <w:p>
            <w:pPr>
              <w:spacing w:after="0"/>
              <w:rPr>
                <w:sz w:val="22"/>
                <w:szCs w:val="22"/>
                <w:color w:val="auto"/>
              </w:rPr>
            </w:pPr>
          </w:p>
        </w:tc>
        <w:tc>
          <w:tcPr>
            <w:tcW w:w="2220" w:type="dxa"/>
            <w:vAlign w:val="bottom"/>
          </w:tcPr>
          <w:p>
            <w:pPr>
              <w:spacing w:after="0"/>
              <w:rPr>
                <w:sz w:val="22"/>
                <w:szCs w:val="22"/>
                <w:color w:val="auto"/>
              </w:rPr>
            </w:pPr>
          </w:p>
        </w:tc>
        <w:tc>
          <w:tcPr>
            <w:tcW w:w="3960" w:type="dxa"/>
            <w:vAlign w:val="bottom"/>
          </w:tcPr>
          <w:p>
            <w:pPr>
              <w:spacing w:after="0"/>
              <w:rPr>
                <w:sz w:val="22"/>
                <w:szCs w:val="22"/>
                <w:color w:val="auto"/>
              </w:rPr>
            </w:pPr>
          </w:p>
        </w:tc>
      </w:tr>
      <w:tr>
        <w:trPr>
          <w:trHeight w:val="212"/>
        </w:trPr>
        <w:tc>
          <w:tcPr>
            <w:tcW w:w="3020" w:type="dxa"/>
            <w:vAlign w:val="bottom"/>
          </w:tcPr>
          <w:p>
            <w:pPr>
              <w:jc w:val="center"/>
              <w:ind w:right="257"/>
              <w:spacing w:after="0"/>
              <w:rPr>
                <w:sz w:val="20"/>
                <w:szCs w:val="20"/>
                <w:color w:val="auto"/>
              </w:rPr>
            </w:pPr>
            <w:r>
              <w:rPr>
                <w:rFonts w:ascii="Arial" w:cs="Arial" w:eastAsia="Arial" w:hAnsi="Arial"/>
                <w:sz w:val="18"/>
                <w:szCs w:val="18"/>
                <w:b w:val="1"/>
                <w:bCs w:val="1"/>
                <w:color w:val="auto"/>
                <w:w w:val="91"/>
              </w:rPr>
              <w:t>Little Rock, Arkansas</w:t>
            </w:r>
          </w:p>
        </w:tc>
        <w:tc>
          <w:tcPr>
            <w:tcW w:w="20" w:type="dxa"/>
            <w:vAlign w:val="bottom"/>
          </w:tcPr>
          <w:p>
            <w:pPr>
              <w:spacing w:after="0"/>
              <w:rPr>
                <w:sz w:val="18"/>
                <w:szCs w:val="18"/>
                <w:color w:val="auto"/>
              </w:rPr>
            </w:pPr>
          </w:p>
        </w:tc>
        <w:tc>
          <w:tcPr>
            <w:tcW w:w="2220" w:type="dxa"/>
            <w:vAlign w:val="bottom"/>
          </w:tcPr>
          <w:p>
            <w:pPr>
              <w:spacing w:after="0"/>
              <w:rPr>
                <w:sz w:val="18"/>
                <w:szCs w:val="18"/>
                <w:color w:val="auto"/>
              </w:rPr>
            </w:pPr>
          </w:p>
        </w:tc>
        <w:tc>
          <w:tcPr>
            <w:tcW w:w="3960" w:type="dxa"/>
            <w:vAlign w:val="bottom"/>
          </w:tcPr>
          <w:p>
            <w:pPr>
              <w:jc w:val="right"/>
              <w:ind w:right="1958"/>
              <w:spacing w:after="0"/>
              <w:rPr>
                <w:sz w:val="20"/>
                <w:szCs w:val="20"/>
                <w:color w:val="auto"/>
              </w:rPr>
            </w:pPr>
            <w:r>
              <w:rPr>
                <w:rFonts w:ascii="Arial" w:cs="Arial" w:eastAsia="Arial" w:hAnsi="Arial"/>
                <w:sz w:val="18"/>
                <w:szCs w:val="18"/>
                <w:b w:val="1"/>
                <w:bCs w:val="1"/>
                <w:color w:val="auto"/>
              </w:rPr>
              <w:t>72202</w:t>
            </w:r>
          </w:p>
        </w:tc>
      </w:tr>
      <w:tr>
        <w:trPr>
          <w:trHeight w:val="186"/>
        </w:trPr>
        <w:tc>
          <w:tcPr>
            <w:tcW w:w="3020" w:type="dxa"/>
            <w:vAlign w:val="bottom"/>
          </w:tcPr>
          <w:p>
            <w:pPr>
              <w:jc w:val="center"/>
              <w:ind w:right="277"/>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20" w:type="dxa"/>
            <w:vAlign w:val="bottom"/>
          </w:tcPr>
          <w:p>
            <w:pPr>
              <w:spacing w:after="0"/>
              <w:rPr>
                <w:sz w:val="16"/>
                <w:szCs w:val="16"/>
                <w:color w:val="auto"/>
              </w:rPr>
            </w:pPr>
          </w:p>
        </w:tc>
        <w:tc>
          <w:tcPr>
            <w:tcW w:w="2220" w:type="dxa"/>
            <w:vAlign w:val="bottom"/>
          </w:tcPr>
          <w:p>
            <w:pPr>
              <w:spacing w:after="0"/>
              <w:rPr>
                <w:sz w:val="16"/>
                <w:szCs w:val="16"/>
                <w:color w:val="auto"/>
              </w:rPr>
            </w:pPr>
          </w:p>
        </w:tc>
        <w:tc>
          <w:tcPr>
            <w:tcW w:w="3960" w:type="dxa"/>
            <w:vAlign w:val="bottom"/>
          </w:tcPr>
          <w:p>
            <w:pPr>
              <w:jc w:val="center"/>
              <w:ind w:right="498"/>
              <w:spacing w:after="0"/>
              <w:rPr>
                <w:sz w:val="20"/>
                <w:szCs w:val="20"/>
                <w:color w:val="auto"/>
              </w:rPr>
            </w:pPr>
            <w:r>
              <w:rPr>
                <w:rFonts w:ascii="Arial" w:cs="Arial" w:eastAsia="Arial" w:hAnsi="Arial"/>
                <w:sz w:val="14"/>
                <w:szCs w:val="14"/>
                <w:b w:val="1"/>
                <w:bCs w:val="1"/>
                <w:color w:val="auto"/>
                <w:w w:val="95"/>
              </w:rPr>
              <w:t>(Zip Code)</w:t>
            </w:r>
          </w:p>
        </w:tc>
      </w:tr>
      <w:tr>
        <w:trPr>
          <w:trHeight w:val="216"/>
        </w:trPr>
        <w:tc>
          <w:tcPr>
            <w:tcW w:w="9220" w:type="dxa"/>
            <w:vAlign w:val="bottom"/>
            <w:gridSpan w:val="4"/>
          </w:tcPr>
          <w:p>
            <w:pPr>
              <w:jc w:val="center"/>
              <w:ind w:right="838"/>
              <w:spacing w:after="0"/>
              <w:rPr>
                <w:sz w:val="20"/>
                <w:szCs w:val="20"/>
                <w:color w:val="auto"/>
              </w:rPr>
            </w:pPr>
            <w:r>
              <w:rPr>
                <w:rFonts w:ascii="Arial" w:cs="Arial" w:eastAsia="Arial" w:hAnsi="Arial"/>
                <w:sz w:val="14"/>
                <w:szCs w:val="14"/>
                <w:b w:val="1"/>
                <w:bCs w:val="1"/>
                <w:color w:val="auto"/>
                <w:w w:val="92"/>
              </w:rPr>
              <w:t>Registrant’s telephone number, including area code: (501) 850-0820</w:t>
            </w:r>
          </w:p>
        </w:tc>
      </w:tr>
      <w:tr>
        <w:trPr>
          <w:trHeight w:val="80"/>
        </w:trPr>
        <w:tc>
          <w:tcPr>
            <w:tcW w:w="3040" w:type="dxa"/>
            <w:vAlign w:val="bottom"/>
            <w:gridSpan w:val="2"/>
          </w:tcPr>
          <w:p>
            <w:pPr>
              <w:spacing w:after="0"/>
              <w:rPr>
                <w:sz w:val="6"/>
                <w:szCs w:val="6"/>
                <w:color w:val="auto"/>
              </w:rPr>
            </w:pPr>
          </w:p>
        </w:tc>
        <w:tc>
          <w:tcPr>
            <w:tcW w:w="2220" w:type="dxa"/>
            <w:vAlign w:val="bottom"/>
            <w:tcBorders>
              <w:bottom w:val="single" w:sz="8" w:color="auto"/>
            </w:tcBorders>
          </w:tcPr>
          <w:p>
            <w:pPr>
              <w:spacing w:after="0"/>
              <w:rPr>
                <w:sz w:val="6"/>
                <w:szCs w:val="6"/>
                <w:color w:val="auto"/>
              </w:rPr>
            </w:pPr>
          </w:p>
        </w:tc>
        <w:tc>
          <w:tcPr>
            <w:tcW w:w="3960" w:type="dxa"/>
            <w:vAlign w:val="bottom"/>
          </w:tcPr>
          <w:p>
            <w:pPr>
              <w:spacing w:after="0"/>
              <w:rPr>
                <w:sz w:val="6"/>
                <w:szCs w:val="6"/>
                <w:color w:val="auto"/>
              </w:rPr>
            </w:pPr>
          </w:p>
        </w:tc>
      </w:tr>
      <w:tr>
        <w:trPr>
          <w:trHeight w:val="276"/>
        </w:trPr>
        <w:tc>
          <w:tcPr>
            <w:tcW w:w="9220" w:type="dxa"/>
            <w:vAlign w:val="bottom"/>
            <w:gridSpan w:val="4"/>
          </w:tcPr>
          <w:p>
            <w:pPr>
              <w:ind w:left="2320"/>
              <w:spacing w:after="0"/>
              <w:rPr>
                <w:sz w:val="20"/>
                <w:szCs w:val="20"/>
                <w:color w:val="auto"/>
              </w:rPr>
            </w:pPr>
            <w:r>
              <w:rPr>
                <w:rFonts w:ascii="Arial" w:cs="Arial" w:eastAsia="Arial" w:hAnsi="Arial"/>
                <w:sz w:val="18"/>
                <w:szCs w:val="18"/>
                <w:color w:val="auto"/>
              </w:rPr>
              <w:t>Securities registered pursuant to Section 12(b) of the Act:</w:t>
            </w:r>
          </w:p>
        </w:tc>
      </w:tr>
      <w:tr>
        <w:trPr>
          <w:trHeight w:val="230"/>
        </w:trPr>
        <w:tc>
          <w:tcPr>
            <w:tcW w:w="3020" w:type="dxa"/>
            <w:vAlign w:val="bottom"/>
          </w:tcPr>
          <w:p>
            <w:pPr>
              <w:jc w:val="center"/>
              <w:ind w:right="1657"/>
              <w:spacing w:after="0"/>
              <w:rPr>
                <w:sz w:val="20"/>
                <w:szCs w:val="20"/>
                <w:color w:val="auto"/>
              </w:rPr>
            </w:pPr>
            <w:r>
              <w:rPr>
                <w:rFonts w:ascii="Arial" w:cs="Arial" w:eastAsia="Arial" w:hAnsi="Arial"/>
                <w:sz w:val="18"/>
                <w:szCs w:val="18"/>
                <w:color w:val="auto"/>
                <w:w w:val="88"/>
              </w:rPr>
              <w:t>Title of each class</w:t>
            </w:r>
          </w:p>
        </w:tc>
        <w:tc>
          <w:tcPr>
            <w:tcW w:w="20" w:type="dxa"/>
            <w:vAlign w:val="bottom"/>
          </w:tcPr>
          <w:p>
            <w:pPr>
              <w:spacing w:after="0"/>
              <w:rPr>
                <w:sz w:val="20"/>
                <w:szCs w:val="20"/>
                <w:color w:val="auto"/>
              </w:rPr>
            </w:pPr>
          </w:p>
        </w:tc>
        <w:tc>
          <w:tcPr>
            <w:tcW w:w="2220" w:type="dxa"/>
            <w:vAlign w:val="bottom"/>
          </w:tcPr>
          <w:p>
            <w:pPr>
              <w:jc w:val="center"/>
              <w:spacing w:after="0"/>
              <w:rPr>
                <w:sz w:val="20"/>
                <w:szCs w:val="20"/>
                <w:color w:val="auto"/>
              </w:rPr>
            </w:pPr>
            <w:r>
              <w:rPr>
                <w:rFonts w:ascii="Arial" w:cs="Arial" w:eastAsia="Arial" w:hAnsi="Arial"/>
                <w:sz w:val="18"/>
                <w:szCs w:val="18"/>
                <w:color w:val="auto"/>
                <w:w w:val="91"/>
              </w:rPr>
              <w:t>Trading Symbol(s)</w:t>
            </w:r>
          </w:p>
        </w:tc>
        <w:tc>
          <w:tcPr>
            <w:tcW w:w="3960" w:type="dxa"/>
            <w:vAlign w:val="bottom"/>
          </w:tcPr>
          <w:p>
            <w:pPr>
              <w:jc w:val="center"/>
              <w:ind w:left="698"/>
              <w:spacing w:after="0"/>
              <w:rPr>
                <w:sz w:val="20"/>
                <w:szCs w:val="20"/>
                <w:color w:val="auto"/>
              </w:rPr>
            </w:pPr>
            <w:r>
              <w:rPr>
                <w:rFonts w:ascii="Arial" w:cs="Arial" w:eastAsia="Arial" w:hAnsi="Arial"/>
                <w:sz w:val="18"/>
                <w:szCs w:val="18"/>
                <w:color w:val="auto"/>
                <w:w w:val="89"/>
              </w:rPr>
              <w:t>Name of each exchange on which registered</w:t>
            </w:r>
          </w:p>
        </w:tc>
      </w:tr>
      <w:tr>
        <w:trPr>
          <w:trHeight w:val="256"/>
        </w:trPr>
        <w:tc>
          <w:tcPr>
            <w:tcW w:w="3020" w:type="dxa"/>
            <w:vAlign w:val="bottom"/>
          </w:tcPr>
          <w:p>
            <w:pPr>
              <w:jc w:val="center"/>
              <w:ind w:right="1657"/>
              <w:spacing w:after="0"/>
              <w:rPr>
                <w:sz w:val="20"/>
                <w:szCs w:val="20"/>
                <w:color w:val="auto"/>
              </w:rPr>
            </w:pPr>
            <w:r>
              <w:rPr>
                <w:rFonts w:ascii="Arial" w:cs="Arial" w:eastAsia="Arial" w:hAnsi="Arial"/>
                <w:sz w:val="18"/>
                <w:szCs w:val="18"/>
                <w:color w:val="auto"/>
                <w:w w:val="90"/>
              </w:rPr>
              <w:t>Common Stock</w:t>
            </w:r>
          </w:p>
        </w:tc>
        <w:tc>
          <w:tcPr>
            <w:tcW w:w="20" w:type="dxa"/>
            <w:vAlign w:val="bottom"/>
          </w:tcPr>
          <w:p>
            <w:pPr>
              <w:spacing w:after="0"/>
              <w:rPr>
                <w:sz w:val="22"/>
                <w:szCs w:val="22"/>
                <w:color w:val="auto"/>
              </w:rPr>
            </w:pPr>
          </w:p>
        </w:tc>
        <w:tc>
          <w:tcPr>
            <w:tcW w:w="2220" w:type="dxa"/>
            <w:vAlign w:val="bottom"/>
          </w:tcPr>
          <w:p>
            <w:pPr>
              <w:jc w:val="center"/>
              <w:spacing w:after="0"/>
              <w:rPr>
                <w:sz w:val="20"/>
                <w:szCs w:val="20"/>
                <w:color w:val="auto"/>
              </w:rPr>
            </w:pPr>
            <w:r>
              <w:rPr>
                <w:rFonts w:ascii="Arial" w:cs="Arial" w:eastAsia="Arial" w:hAnsi="Arial"/>
                <w:sz w:val="18"/>
                <w:szCs w:val="18"/>
                <w:color w:val="auto"/>
                <w:w w:val="99"/>
              </w:rPr>
              <w:t>UNIT</w:t>
            </w:r>
          </w:p>
        </w:tc>
        <w:tc>
          <w:tcPr>
            <w:tcW w:w="3960" w:type="dxa"/>
            <w:vAlign w:val="bottom"/>
          </w:tcPr>
          <w:p>
            <w:pPr>
              <w:jc w:val="center"/>
              <w:ind w:left="698"/>
              <w:spacing w:after="0"/>
              <w:rPr>
                <w:sz w:val="20"/>
                <w:szCs w:val="20"/>
                <w:color w:val="auto"/>
              </w:rPr>
            </w:pPr>
            <w:r>
              <w:rPr>
                <w:rFonts w:ascii="Arial" w:cs="Arial" w:eastAsia="Arial" w:hAnsi="Arial"/>
                <w:sz w:val="18"/>
                <w:szCs w:val="18"/>
                <w:color w:val="auto"/>
                <w:w w:val="93"/>
              </w:rPr>
              <w:t>The NASDAQ Global Select Market</w:t>
            </w:r>
          </w:p>
        </w:tc>
      </w:tr>
    </w:tbl>
    <w:p>
      <w:pPr>
        <w:spacing w:after="0" w:line="94" w:lineRule="exact"/>
        <w:rPr>
          <w:sz w:val="24"/>
          <w:szCs w:val="24"/>
          <w:color w:val="auto"/>
        </w:rPr>
      </w:pPr>
    </w:p>
    <w:p>
      <w:pPr>
        <w:ind w:right="60" w:firstLine="510"/>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35" w:lineRule="exact"/>
        <w:rPr>
          <w:sz w:val="24"/>
          <w:szCs w:val="24"/>
          <w:color w:val="auto"/>
        </w:rPr>
      </w:pPr>
    </w:p>
    <w:p>
      <w:pPr>
        <w:ind w:right="40" w:firstLine="510"/>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49" w:lineRule="exact"/>
        <w:rPr>
          <w:sz w:val="24"/>
          <w:szCs w:val="24"/>
          <w:color w:val="auto"/>
        </w:rPr>
      </w:pPr>
    </w:p>
    <w:p>
      <w:pPr>
        <w:ind w:right="20" w:firstLine="510"/>
        <w:spacing w:after="0" w:line="263"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16" w:lineRule="exact"/>
        <w:rPr>
          <w:sz w:val="24"/>
          <w:szCs w:val="24"/>
          <w:color w:val="auto"/>
        </w:rPr>
      </w:pPr>
    </w:p>
    <w:tbl>
      <w:tblPr>
        <w:tblLayout w:type="fixed"/>
        <w:tblInd w:w="0" w:type="dxa"/>
        <w:tblCellMar>
          <w:top w:w="0" w:type="dxa"/>
          <w:left w:w="0" w:type="dxa"/>
          <w:bottom w:w="0" w:type="dxa"/>
          <w:right w:w="0" w:type="dxa"/>
        </w:tblCellMar>
      </w:tblPr>
      <w:tr>
        <w:trPr>
          <w:trHeight w:val="283"/>
        </w:trPr>
        <w:tc>
          <w:tcPr>
            <w:tcW w:w="2100" w:type="dxa"/>
            <w:vAlign w:val="bottom"/>
          </w:tcPr>
          <w:p>
            <w:pPr>
              <w:spacing w:after="0"/>
              <w:rPr>
                <w:sz w:val="20"/>
                <w:szCs w:val="20"/>
                <w:color w:val="auto"/>
              </w:rPr>
            </w:pPr>
            <w:r>
              <w:rPr>
                <w:rFonts w:ascii="Arial" w:cs="Arial" w:eastAsia="Arial" w:hAnsi="Arial"/>
                <w:sz w:val="18"/>
                <w:szCs w:val="18"/>
                <w:color w:val="auto"/>
              </w:rPr>
              <w:t>Large accelerated filer</w:t>
            </w:r>
          </w:p>
        </w:tc>
        <w:tc>
          <w:tcPr>
            <w:tcW w:w="3600" w:type="dxa"/>
            <w:vAlign w:val="bottom"/>
          </w:tcPr>
          <w:p>
            <w:pPr>
              <w:ind w:left="460"/>
              <w:spacing w:after="0" w:line="181" w:lineRule="exact"/>
              <w:rPr>
                <w:sz w:val="20"/>
                <w:szCs w:val="20"/>
                <w:color w:val="auto"/>
              </w:rPr>
            </w:pPr>
            <w:r>
              <w:rPr>
                <w:rFonts w:ascii="MS PGothic" w:cs="MS PGothic" w:eastAsia="MS PGothic" w:hAnsi="MS PGothic"/>
                <w:sz w:val="18"/>
                <w:szCs w:val="18"/>
                <w:color w:val="auto"/>
              </w:rPr>
              <w:t>☒</w:t>
            </w:r>
          </w:p>
        </w:tc>
        <w:tc>
          <w:tcPr>
            <w:tcW w:w="5120" w:type="dxa"/>
            <w:vAlign w:val="bottom"/>
          </w:tcPr>
          <w:p>
            <w:pPr>
              <w:ind w:left="2980"/>
              <w:spacing w:after="0"/>
              <w:rPr>
                <w:sz w:val="20"/>
                <w:szCs w:val="20"/>
                <w:color w:val="auto"/>
              </w:rPr>
            </w:pPr>
            <w:r>
              <w:rPr>
                <w:rFonts w:ascii="Arial" w:cs="Arial" w:eastAsia="Arial" w:hAnsi="Arial"/>
                <w:sz w:val="18"/>
                <w:szCs w:val="18"/>
                <w:color w:val="auto"/>
              </w:rPr>
              <w:t>Accelerated filer</w:t>
            </w:r>
          </w:p>
        </w:tc>
        <w:tc>
          <w:tcPr>
            <w:tcW w:w="360" w:type="dxa"/>
            <w:vAlign w:val="bottom"/>
          </w:tcPr>
          <w:p>
            <w:pPr>
              <w:ind w:left="20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51"/>
        </w:trPr>
        <w:tc>
          <w:tcPr>
            <w:tcW w:w="2100" w:type="dxa"/>
            <w:vAlign w:val="bottom"/>
          </w:tcPr>
          <w:p>
            <w:pPr>
              <w:spacing w:after="0"/>
              <w:rPr>
                <w:sz w:val="20"/>
                <w:szCs w:val="20"/>
                <w:color w:val="auto"/>
              </w:rPr>
            </w:pPr>
            <w:r>
              <w:rPr>
                <w:rFonts w:ascii="Arial" w:cs="Arial" w:eastAsia="Arial" w:hAnsi="Arial"/>
                <w:sz w:val="18"/>
                <w:szCs w:val="18"/>
                <w:color w:val="auto"/>
              </w:rPr>
              <w:t>Non-accelerated filer</w:t>
            </w:r>
          </w:p>
        </w:tc>
        <w:tc>
          <w:tcPr>
            <w:tcW w:w="3600" w:type="dxa"/>
            <w:vAlign w:val="bottom"/>
          </w:tcPr>
          <w:p>
            <w:pPr>
              <w:ind w:left="460"/>
              <w:spacing w:after="0" w:line="181" w:lineRule="exact"/>
              <w:rPr>
                <w:sz w:val="20"/>
                <w:szCs w:val="20"/>
                <w:color w:val="auto"/>
              </w:rPr>
            </w:pPr>
            <w:r>
              <w:rPr>
                <w:rFonts w:ascii="MS PGothic" w:cs="MS PGothic" w:eastAsia="MS PGothic" w:hAnsi="MS PGothic"/>
                <w:sz w:val="18"/>
                <w:szCs w:val="18"/>
                <w:color w:val="auto"/>
              </w:rPr>
              <w:t>☐</w:t>
            </w:r>
          </w:p>
        </w:tc>
        <w:tc>
          <w:tcPr>
            <w:tcW w:w="5120" w:type="dxa"/>
            <w:vAlign w:val="bottom"/>
          </w:tcPr>
          <w:p>
            <w:pPr>
              <w:ind w:left="2980"/>
              <w:spacing w:after="0"/>
              <w:rPr>
                <w:sz w:val="20"/>
                <w:szCs w:val="20"/>
                <w:color w:val="auto"/>
              </w:rPr>
            </w:pPr>
            <w:r>
              <w:rPr>
                <w:rFonts w:ascii="Arial" w:cs="Arial" w:eastAsia="Arial" w:hAnsi="Arial"/>
                <w:sz w:val="18"/>
                <w:szCs w:val="18"/>
                <w:color w:val="auto"/>
                <w:w w:val="98"/>
              </w:rPr>
              <w:t>Smaller reporting company</w:t>
            </w:r>
          </w:p>
        </w:tc>
        <w:tc>
          <w:tcPr>
            <w:tcW w:w="360" w:type="dxa"/>
            <w:vAlign w:val="bottom"/>
          </w:tcPr>
          <w:p>
            <w:pPr>
              <w:ind w:left="20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83"/>
        </w:trPr>
        <w:tc>
          <w:tcPr>
            <w:tcW w:w="2100" w:type="dxa"/>
            <w:vAlign w:val="bottom"/>
          </w:tcPr>
          <w:p>
            <w:pPr>
              <w:spacing w:after="0"/>
              <w:rPr>
                <w:sz w:val="24"/>
                <w:szCs w:val="24"/>
                <w:color w:val="auto"/>
              </w:rPr>
            </w:pPr>
          </w:p>
        </w:tc>
        <w:tc>
          <w:tcPr>
            <w:tcW w:w="3600" w:type="dxa"/>
            <w:vAlign w:val="bottom"/>
          </w:tcPr>
          <w:p>
            <w:pPr>
              <w:spacing w:after="0"/>
              <w:rPr>
                <w:sz w:val="24"/>
                <w:szCs w:val="24"/>
                <w:color w:val="auto"/>
              </w:rPr>
            </w:pPr>
          </w:p>
        </w:tc>
        <w:tc>
          <w:tcPr>
            <w:tcW w:w="5120" w:type="dxa"/>
            <w:vAlign w:val="bottom"/>
          </w:tcPr>
          <w:p>
            <w:pPr>
              <w:ind w:left="2980"/>
              <w:spacing w:after="0"/>
              <w:rPr>
                <w:sz w:val="20"/>
                <w:szCs w:val="20"/>
                <w:color w:val="auto"/>
              </w:rPr>
            </w:pPr>
            <w:r>
              <w:rPr>
                <w:rFonts w:ascii="Arial" w:cs="Arial" w:eastAsia="Arial" w:hAnsi="Arial"/>
                <w:sz w:val="18"/>
                <w:szCs w:val="18"/>
                <w:color w:val="auto"/>
                <w:w w:val="99"/>
              </w:rPr>
              <w:t>Emerging growth company</w:t>
            </w:r>
          </w:p>
        </w:tc>
        <w:tc>
          <w:tcPr>
            <w:tcW w:w="360" w:type="dxa"/>
            <w:vAlign w:val="bottom"/>
          </w:tcPr>
          <w:p>
            <w:pPr>
              <w:ind w:left="20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74" w:lineRule="exact"/>
        <w:rPr>
          <w:sz w:val="24"/>
          <w:szCs w:val="24"/>
          <w:color w:val="auto"/>
        </w:rPr>
      </w:pPr>
    </w:p>
    <w:p>
      <w:pPr>
        <w:ind w:firstLine="51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42" w:lineRule="exact"/>
        <w:rPr>
          <w:sz w:val="24"/>
          <w:szCs w:val="24"/>
          <w:color w:val="auto"/>
        </w:rPr>
      </w:pPr>
    </w:p>
    <w:p>
      <w:pPr>
        <w:ind w:right="1160" w:firstLine="510"/>
        <w:spacing w:after="0" w:line="273" w:lineRule="exact"/>
        <w:rPr>
          <w:sz w:val="20"/>
          <w:szCs w:val="20"/>
          <w:color w:val="auto"/>
        </w:rPr>
      </w:pPr>
      <w:r>
        <w:rPr>
          <w:rFonts w:ascii="Arial" w:cs="Arial" w:eastAsia="Arial" w:hAnsi="Arial"/>
          <w:sz w:val="17"/>
          <w:szCs w:val="17"/>
          <w:color w:val="auto"/>
        </w:rPr>
        <w:t xml:space="preserve">Indicate by check mark whether the registrant is a shell company (as defined in Rule 12b-2 of the Exchange Act).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r>
        <w:rPr>
          <w:rFonts w:ascii="Arial" w:cs="Arial" w:eastAsia="Arial" w:hAnsi="Arial"/>
          <w:sz w:val="17"/>
          <w:szCs w:val="17"/>
          <w:color w:val="auto"/>
        </w:rPr>
        <w:t xml:space="preserve"> As of April 28, 2022, the registrant had 237,106,412 shares of common stock, $0.0001 par value per share,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86360</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103505</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167640</wp:posOffset>
            </wp:positionV>
            <wp:extent cx="71577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sectPr>
      </w:pPr>
    </w:p>
    <w:bookmarkStart w:id="1" w:name="page2"/>
    <w:bookmarkEnd w:id="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CAUTIONARY STATEMENT REGARDING FORWARD-LOOKING STATEMENTS</w:t>
      </w:r>
    </w:p>
    <w:p>
      <w:pPr>
        <w:spacing w:after="0" w:line="256"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This Quarterly Report on Form 10-Q includes forward-looking statements as defined under U.S. federal securities law. Forward-looking statements include all statements that are not historical statements of fact and those regarding our intent, belief or expectations, including, but not limited to, statements regarding: our expectations regarding the settlement we have entered into with Windstream Holdings, Inc. (together with Windstream Holdings II, LLC, its successor in interest, and its subsidiaries, “Windstream”); the future prospects and financial health of Windstream; our ability to delever and achieve the ‘covenant reversion date’ under our 7.875% senior secured notes due 2025, which would permit us to pay additional dividends to shareholders; our expectations about our ability to maintain our status as a real estate investment trust (a “REIT”); our expectations regarding the effect of the COVID-19 pandemic on our results of operations and financial condition, including the potential need to perform an interim goodwill analysis and report an impairment charge related thereto; our expectations regarding the effect of the Coronavirus Aid, Relief and Economic Security Act (the “CARES Act”), the Consolidated Appropriations Act of 2021 (the “2021 Appropriations Act”) and other tax related legislation on our tax position; our expectations regarding the future growth and demand of the telecommunication industry, future financing plans, business strategies, growth prospects, operating and financial performance, and our future liquidity needs and access to capital; expectations regarding future deployment of fiber strand miles and small cell networks and recognition of revenue related thereto; expectations regarding levels of capital expenditures; expectations regarding the deductibility of goodwill for tax purposes; expectations regarding reclassification of accumulated other comprehensive income (loss) related to derivatives to interest expense; expectations regarding the amortization of intangible assets; and expectations regarding the payment of dividends.</w:t>
      </w:r>
    </w:p>
    <w:p>
      <w:pPr>
        <w:spacing w:after="0" w:line="211" w:lineRule="exact"/>
        <w:rPr>
          <w:sz w:val="20"/>
          <w:szCs w:val="20"/>
          <w:color w:val="auto"/>
        </w:rPr>
      </w:pPr>
    </w:p>
    <w:p>
      <w:pPr>
        <w:ind w:right="60"/>
        <w:spacing w:after="0" w:line="273" w:lineRule="auto"/>
        <w:rPr>
          <w:sz w:val="20"/>
          <w:szCs w:val="20"/>
          <w:color w:val="auto"/>
        </w:rPr>
      </w:pPr>
      <w:r>
        <w:rPr>
          <w:rFonts w:ascii="Arial" w:cs="Arial" w:eastAsia="Arial" w:hAnsi="Arial"/>
          <w:sz w:val="17"/>
          <w:szCs w:val="17"/>
          <w:color w:val="auto"/>
        </w:rPr>
        <w:t>Words such as “anticipate(s),” “expect(s),” “intend(s),” “plan(s),” “believe(s),” “may,” “will,” “would,” “could,” “should,” “seek(s)” and similar expressions, or the negative of these terms, are intended to identify such forward-looking statements. These statements are based on management's current expectations and beliefs and are subject to a number of risks and uncertainties that could lead to actual results differing materially from those projected, forecasted or expected. Although we believe that the assumptions underlying the forward-looking statements are reasonable, we can give no assurance that our expectations will be attained. Factors which could have a material adverse effect on our operations and future prospects or which could cause actual results to differ materially from our expectations include, but are not limited to:</w:t>
      </w:r>
    </w:p>
    <w:p>
      <w:pPr>
        <w:spacing w:after="0" w:line="83" w:lineRule="exact"/>
        <w:rPr>
          <w:sz w:val="20"/>
          <w:szCs w:val="20"/>
          <w:color w:val="auto"/>
        </w:rPr>
      </w:pPr>
    </w:p>
    <w:p>
      <w:pPr>
        <w:ind w:left="1000" w:hanging="493"/>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future prospects of our largest customer, Windstream, following its emergence from bankruptcy;</w:t>
      </w:r>
    </w:p>
    <w:p>
      <w:pPr>
        <w:spacing w:after="0" w:line="117" w:lineRule="exact"/>
        <w:rPr>
          <w:rFonts w:ascii="Arial" w:cs="Arial" w:eastAsia="Arial" w:hAnsi="Arial"/>
          <w:sz w:val="18"/>
          <w:szCs w:val="18"/>
          <w:color w:val="auto"/>
        </w:rPr>
      </w:pPr>
    </w:p>
    <w:p>
      <w:pPr>
        <w:ind w:left="1000" w:right="160" w:hanging="493"/>
        <w:spacing w:after="0" w:line="277" w:lineRule="auto"/>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adverse impacts of the COVID-19 pandemic on our employees, our business, the business of our customers and other business partners and the global financial markets;</w:t>
      </w:r>
    </w:p>
    <w:p>
      <w:pPr>
        <w:spacing w:after="0" w:line="62"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ability and willingness of our customers to meet and/or perform their obligations under any contractual arrangements entered into with us, including master lease arrangements;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ability of our customers to comply with laws, rules and regulations in the operation of the assets we lease to them;</w:t>
      </w:r>
    </w:p>
    <w:p>
      <w:pPr>
        <w:spacing w:after="0" w:line="117" w:lineRule="exact"/>
        <w:rPr>
          <w:rFonts w:ascii="Arial" w:cs="Arial" w:eastAsia="Arial" w:hAnsi="Arial"/>
          <w:sz w:val="18"/>
          <w:szCs w:val="18"/>
          <w:color w:val="auto"/>
        </w:rPr>
      </w:pPr>
    </w:p>
    <w:p>
      <w:pPr>
        <w:jc w:val="both"/>
        <w:ind w:left="1000" w:right="80" w:hanging="493"/>
        <w:spacing w:after="0" w:line="263" w:lineRule="auto"/>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ability and willingness of our customers to renew their leases with us upon their expiration, our ability to reach agreement on the price of such renewal or ability to obtain a satisfactory renewal rent from an independent appraisal, and the ability to reposition our properties on the same or better terms in the event of nonrenewal or in the event we replace an existing tenant;</w:t>
      </w:r>
    </w:p>
    <w:p>
      <w:pPr>
        <w:spacing w:after="0" w:line="75" w:lineRule="exact"/>
        <w:rPr>
          <w:rFonts w:ascii="Arial" w:cs="Arial" w:eastAsia="Arial" w:hAnsi="Arial"/>
          <w:sz w:val="18"/>
          <w:szCs w:val="18"/>
          <w:color w:val="auto"/>
        </w:rPr>
      </w:pPr>
    </w:p>
    <w:p>
      <w:pPr>
        <w:ind w:left="1000" w:right="740" w:hanging="493"/>
        <w:spacing w:after="0" w:line="277" w:lineRule="auto"/>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renew, extend or retain our contracts or to obtain new contracts with significant customers (including customers of the businesses that we acquire);</w:t>
      </w:r>
    </w:p>
    <w:p>
      <w:pPr>
        <w:spacing w:after="0" w:line="62" w:lineRule="exact"/>
        <w:rPr>
          <w:rFonts w:ascii="Arial" w:cs="Arial" w:eastAsia="Arial" w:hAnsi="Arial"/>
          <w:sz w:val="18"/>
          <w:szCs w:val="18"/>
          <w:color w:val="auto"/>
        </w:rPr>
      </w:pPr>
    </w:p>
    <w:p>
      <w:pPr>
        <w:ind w:left="1000" w:right="40" w:hanging="493"/>
        <w:spacing w:after="0" w:line="277" w:lineRule="auto"/>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availability of and our ability to identify suitable acquisition opportunities and our ability to acquire and lease the respective properties on favorable terms or operate and integrate the acquired businesses;</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generate sufficient cash flows to service our outstanding indebtedness and fund our capital funding commitments;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access debt and equity capital markets;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impact on our business or the business of our customers as a result of credit rating downgrades and fluctuating interest rates;</w:t>
      </w:r>
    </w:p>
    <w:p>
      <w:pPr>
        <w:spacing w:after="0" w:line="128" w:lineRule="exact"/>
        <w:rPr>
          <w:rFonts w:ascii="Arial" w:cs="Arial" w:eastAsia="Arial" w:hAnsi="Arial"/>
          <w:sz w:val="17"/>
          <w:szCs w:val="17"/>
          <w:color w:val="auto"/>
        </w:rPr>
      </w:pPr>
    </w:p>
    <w:p>
      <w:pPr>
        <w:ind w:left="1000" w:hanging="493"/>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adverse impacts of litigation or disputes involving us or our customers;</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retain our key management personnel;</w:t>
      </w:r>
    </w:p>
    <w:p>
      <w:pPr>
        <w:spacing w:after="0" w:line="117" w:lineRule="exact"/>
        <w:rPr>
          <w:rFonts w:ascii="Arial" w:cs="Arial" w:eastAsia="Arial" w:hAnsi="Arial"/>
          <w:sz w:val="18"/>
          <w:szCs w:val="18"/>
          <w:color w:val="auto"/>
        </w:rPr>
      </w:pPr>
    </w:p>
    <w:p>
      <w:pPr>
        <w:ind w:left="1000" w:hanging="493"/>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maintain our status as a REIT;</w:t>
      </w:r>
    </w:p>
    <w:p>
      <w:pPr>
        <w:spacing w:after="0" w:line="200" w:lineRule="exact"/>
        <w:rPr>
          <w:sz w:val="20"/>
          <w:szCs w:val="20"/>
          <w:color w:val="auto"/>
        </w:rPr>
      </w:pPr>
    </w:p>
    <w:p>
      <w:pPr>
        <w:spacing w:after="0" w:line="2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125" w:right="359" w:bottom="1440" w:gutter="0" w:footer="0" w:header="0"/>
        </w:sectPr>
      </w:pPr>
    </w:p>
    <w:bookmarkStart w:id="2" w:name="page3"/>
    <w:bookmarkEnd w:id="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9" w:lineRule="exact"/>
        <w:rPr>
          <w:sz w:val="20"/>
          <w:szCs w:val="20"/>
          <w:color w:val="auto"/>
        </w:rPr>
      </w:pPr>
    </w:p>
    <w:p>
      <w:pPr>
        <w:ind w:left="1000" w:right="180" w:hanging="493"/>
        <w:spacing w:after="0" w:line="277" w:lineRule="auto"/>
        <w:tabs>
          <w:tab w:leader="none" w:pos="1000" w:val="left"/>
        </w:tabs>
        <w:numPr>
          <w:ilvl w:val="0"/>
          <w:numId w:val="4"/>
        </w:numPr>
        <w:rPr>
          <w:rFonts w:ascii="Arial" w:cs="Arial" w:eastAsia="Arial" w:hAnsi="Arial"/>
          <w:sz w:val="18"/>
          <w:szCs w:val="18"/>
          <w:color w:val="auto"/>
        </w:rPr>
      </w:pPr>
      <w:r>
        <w:rPr>
          <w:rFonts w:ascii="Arial" w:cs="Arial" w:eastAsia="Arial" w:hAnsi="Arial"/>
          <w:sz w:val="18"/>
          <w:szCs w:val="18"/>
          <w:color w:val="auto"/>
        </w:rPr>
        <w:t>changes in the U.S. tax law and other federal, state or local laws, whether or not specific to REITs, including the impact of the CARES Act, the Families First Coronavirus Response Act and the 2021 Appropriations Act;</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covenants in our debt agreements that may limit our operational flexibility;</w:t>
      </w:r>
    </w:p>
    <w:p>
      <w:pPr>
        <w:spacing w:after="0" w:line="117" w:lineRule="exact"/>
        <w:rPr>
          <w:rFonts w:ascii="Arial" w:cs="Arial" w:eastAsia="Arial" w:hAnsi="Arial"/>
          <w:sz w:val="18"/>
          <w:szCs w:val="18"/>
          <w:color w:val="auto"/>
        </w:rPr>
      </w:pPr>
    </w:p>
    <w:p>
      <w:pPr>
        <w:ind w:left="1000" w:right="60" w:hanging="493"/>
        <w:spacing w:after="0" w:line="277" w:lineRule="auto"/>
        <w:tabs>
          <w:tab w:leader="none" w:pos="10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possibility that we may experience equipment failures, natural disasters, cyber attacks or terrorist attacks for which our insurance may not provide adequate coverage;</w:t>
      </w:r>
    </w:p>
    <w:p>
      <w:pPr>
        <w:spacing w:after="0" w:line="62" w:lineRule="exact"/>
        <w:rPr>
          <w:rFonts w:ascii="Arial" w:cs="Arial" w:eastAsia="Arial" w:hAnsi="Arial"/>
          <w:sz w:val="18"/>
          <w:szCs w:val="18"/>
          <w:color w:val="auto"/>
        </w:rPr>
      </w:pPr>
    </w:p>
    <w:p>
      <w:pPr>
        <w:ind w:left="1000" w:hanging="493"/>
        <w:spacing w:after="0"/>
        <w:tabs>
          <w:tab w:leader="none" w:pos="10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risk that we fail to fully realize the potential benefits of or have difficulty in integrating the companies we acquire;</w:t>
      </w:r>
    </w:p>
    <w:p>
      <w:pPr>
        <w:spacing w:after="0" w:line="117" w:lineRule="exact"/>
        <w:rPr>
          <w:rFonts w:ascii="Arial" w:cs="Arial" w:eastAsia="Arial" w:hAnsi="Arial"/>
          <w:sz w:val="18"/>
          <w:szCs w:val="18"/>
          <w:color w:val="auto"/>
        </w:rPr>
      </w:pPr>
    </w:p>
    <w:p>
      <w:pPr>
        <w:ind w:left="1000" w:hanging="493"/>
        <w:spacing w:after="0" w:line="277" w:lineRule="auto"/>
        <w:tabs>
          <w:tab w:leader="none" w:pos="10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other risks inherent in the communications industry and in the ownership of communications distribution systems, including potential liability relating to environmental matters and illiquidity of real estate investments; and</w:t>
      </w:r>
    </w:p>
    <w:p>
      <w:pPr>
        <w:spacing w:after="0" w:line="62" w:lineRule="exact"/>
        <w:rPr>
          <w:rFonts w:ascii="Arial" w:cs="Arial" w:eastAsia="Arial" w:hAnsi="Arial"/>
          <w:sz w:val="18"/>
          <w:szCs w:val="18"/>
          <w:color w:val="auto"/>
        </w:rPr>
      </w:pPr>
    </w:p>
    <w:p>
      <w:pPr>
        <w:ind w:left="1000" w:right="20" w:hanging="493"/>
        <w:spacing w:after="0" w:line="311" w:lineRule="auto"/>
        <w:tabs>
          <w:tab w:leader="none" w:pos="1000" w:val="left"/>
        </w:tabs>
        <w:numPr>
          <w:ilvl w:val="0"/>
          <w:numId w:val="4"/>
        </w:numPr>
        <w:rPr>
          <w:rFonts w:ascii="Arial" w:cs="Arial" w:eastAsia="Arial" w:hAnsi="Arial"/>
          <w:sz w:val="16"/>
          <w:szCs w:val="16"/>
          <w:color w:val="auto"/>
        </w:rPr>
      </w:pPr>
      <w:r>
        <w:rPr>
          <w:rFonts w:ascii="Arial" w:cs="Arial" w:eastAsia="Arial" w:hAnsi="Arial"/>
          <w:sz w:val="16"/>
          <w:szCs w:val="16"/>
          <w:color w:val="auto"/>
        </w:rPr>
        <w:t>additional factors discussed in Part I, Item 2 “Management’s Discussion and Analysis of Financial Condition and Results of Operations” and Part II, Item 1A “Risk Factors” of this Quarterly Report on Form 10-Q and in Part I, Item 1A "Risk Factors" of our Annual Report on Form 10-K, as well as those described from time to time in our future reports filed with the U.S. Securities and Exchange Commission (the “SEC”).</w:t>
      </w:r>
    </w:p>
    <w:p>
      <w:pPr>
        <w:spacing w:after="0" w:line="149" w:lineRule="exact"/>
        <w:rPr>
          <w:sz w:val="20"/>
          <w:szCs w:val="20"/>
          <w:color w:val="auto"/>
        </w:rPr>
      </w:pPr>
    </w:p>
    <w:p>
      <w:pPr>
        <w:jc w:val="both"/>
        <w:ind w:right="140"/>
        <w:spacing w:after="0" w:line="263" w:lineRule="auto"/>
        <w:rPr>
          <w:sz w:val="20"/>
          <w:szCs w:val="20"/>
          <w:color w:val="auto"/>
        </w:rPr>
      </w:pPr>
      <w:r>
        <w:rPr>
          <w:rFonts w:ascii="Arial" w:cs="Arial" w:eastAsia="Arial" w:hAnsi="Arial"/>
          <w:sz w:val="18"/>
          <w:szCs w:val="18"/>
          <w:color w:val="auto"/>
        </w:rPr>
        <w:t>Forward-looking statements speak only as of the date of this Quarterly Report. Except in the normal course of our public disclosure obligations, we expressly disclaim any obligation to release publicly any updates or revisions to any forward-looking statements to reflect any change in our expectations or any change in events, conditions or circumstances on which any such statement is based.</w:t>
      </w:r>
    </w:p>
    <w:p>
      <w:pPr>
        <w:spacing w:after="0" w:line="200" w:lineRule="exact"/>
        <w:rPr>
          <w:sz w:val="20"/>
          <w:szCs w:val="20"/>
          <w:color w:val="auto"/>
        </w:rPr>
      </w:pP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740" w:type="dxa"/>
            <w:vAlign w:val="bottom"/>
            <w:gridSpan w:val="7"/>
          </w:tcPr>
          <w:p>
            <w:pPr>
              <w:jc w:val="center"/>
              <w:ind w:right="4380"/>
              <w:spacing w:after="0"/>
              <w:rPr>
                <w:sz w:val="20"/>
                <w:szCs w:val="20"/>
                <w:color w:val="auto"/>
              </w:rPr>
            </w:pPr>
            <w:r>
              <w:rPr>
                <w:rFonts w:ascii="Arial" w:cs="Arial" w:eastAsia="Arial" w:hAnsi="Arial"/>
                <w:sz w:val="18"/>
                <w:szCs w:val="18"/>
                <w:b w:val="1"/>
                <w:bCs w:val="1"/>
                <w:color w:val="auto"/>
                <w:w w:val="94"/>
              </w:rPr>
              <w:t>Uniti Group Inc.</w:t>
            </w: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7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740" w:type="dxa"/>
            <w:vAlign w:val="bottom"/>
            <w:gridSpan w:val="7"/>
          </w:tcPr>
          <w:p>
            <w:pPr>
              <w:jc w:val="center"/>
              <w:ind w:right="4380"/>
              <w:spacing w:after="0"/>
              <w:rPr>
                <w:sz w:val="20"/>
                <w:szCs w:val="20"/>
                <w:color w:val="auto"/>
              </w:rPr>
            </w:pPr>
            <w:r>
              <w:rPr>
                <w:rFonts w:ascii="Arial" w:cs="Arial" w:eastAsia="Arial" w:hAnsi="Arial"/>
                <w:sz w:val="18"/>
                <w:szCs w:val="18"/>
                <w:b w:val="1"/>
                <w:bCs w:val="1"/>
                <w:color w:val="auto"/>
                <w:w w:val="89"/>
              </w:rPr>
              <w:t>Table of Contents</w:t>
            </w:r>
          </w:p>
        </w:tc>
        <w:tc>
          <w:tcPr>
            <w:tcW w:w="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8"/>
        </w:trPr>
        <w:tc>
          <w:tcPr>
            <w:tcW w:w="92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PART I.</w:t>
            </w:r>
          </w:p>
        </w:tc>
        <w:tc>
          <w:tcPr>
            <w:tcW w:w="9760" w:type="dxa"/>
            <w:vAlign w:val="bottom"/>
            <w:gridSpan w:val="33"/>
            <w:vMerge w:val="restart"/>
          </w:tcPr>
          <w:p>
            <w:pPr>
              <w:spacing w:after="0"/>
              <w:rPr>
                <w:rFonts w:ascii="Arial" w:cs="Arial" w:eastAsia="Arial" w:hAnsi="Arial"/>
                <w:sz w:val="18"/>
                <w:szCs w:val="18"/>
                <w:b w:val="1"/>
                <w:bCs w:val="1"/>
                <w:color w:val="0000EE"/>
              </w:rPr>
            </w:pPr>
            <w:hyperlink w:anchor="page5">
              <w:r>
                <w:rPr>
                  <w:rFonts w:ascii="Arial" w:cs="Arial" w:eastAsia="Arial" w:hAnsi="Arial"/>
                  <w:sz w:val="18"/>
                  <w:szCs w:val="18"/>
                  <w:b w:val="1"/>
                  <w:bCs w:val="1"/>
                  <w:color w:val="0000EE"/>
                </w:rPr>
                <w:t>FINANCIAL INFORMATION</w:t>
              </w:r>
            </w:hyperlink>
          </w:p>
        </w:tc>
        <w:tc>
          <w:tcPr>
            <w:tcW w:w="56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83"/>
        </w:trPr>
        <w:tc>
          <w:tcPr>
            <w:tcW w:w="920" w:type="dxa"/>
            <w:vAlign w:val="bottom"/>
            <w:gridSpan w:val="2"/>
            <w:vMerge w:val="continue"/>
          </w:tcPr>
          <w:p>
            <w:pPr>
              <w:spacing w:after="0"/>
              <w:rPr>
                <w:sz w:val="15"/>
                <w:szCs w:val="15"/>
                <w:color w:val="auto"/>
              </w:rPr>
            </w:pPr>
          </w:p>
        </w:tc>
        <w:tc>
          <w:tcPr>
            <w:tcW w:w="9760" w:type="dxa"/>
            <w:vAlign w:val="bottom"/>
            <w:gridSpan w:val="33"/>
            <w:vMerge w:val="continue"/>
          </w:tcPr>
          <w:p>
            <w:pPr>
              <w:spacing w:after="0"/>
              <w:rPr>
                <w:sz w:val="15"/>
                <w:szCs w:val="15"/>
                <w:color w:val="auto"/>
              </w:rPr>
            </w:pPr>
          </w:p>
        </w:tc>
        <w:tc>
          <w:tcPr>
            <w:tcW w:w="5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20" w:type="dxa"/>
            <w:vAlign w:val="bottom"/>
            <w:tcBorders>
              <w:right w:val="single" w:sz="8" w:color="0000EE"/>
            </w:tcBorders>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140" w:type="dxa"/>
            <w:vAlign w:val="bottom"/>
            <w:tcBorders>
              <w:left w:val="single" w:sz="8" w:color="0000EE"/>
            </w:tcBorders>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920" w:type="dxa"/>
            <w:vAlign w:val="bottom"/>
            <w:gridSpan w:val="2"/>
          </w:tcPr>
          <w:p>
            <w:pPr>
              <w:spacing w:after="0"/>
              <w:rPr>
                <w:sz w:val="20"/>
                <w:szCs w:val="20"/>
                <w:color w:val="auto"/>
              </w:rPr>
            </w:pPr>
            <w:r>
              <w:rPr>
                <w:rFonts w:ascii="Arial" w:cs="Arial" w:eastAsia="Arial" w:hAnsi="Arial"/>
                <w:sz w:val="18"/>
                <w:szCs w:val="18"/>
                <w:color w:val="auto"/>
              </w:rPr>
              <w:t>Item 1.</w:t>
            </w:r>
          </w:p>
        </w:tc>
        <w:tc>
          <w:tcPr>
            <w:tcW w:w="2420" w:type="dxa"/>
            <w:vAlign w:val="bottom"/>
            <w:tcBorders>
              <w:bottom w:val="single" w:sz="8" w:color="0000EE"/>
            </w:tcBorders>
            <w:gridSpan w:val="14"/>
          </w:tcPr>
          <w:p>
            <w:pPr>
              <w:spacing w:after="0"/>
              <w:rPr>
                <w:rFonts w:ascii="Arial" w:cs="Arial" w:eastAsia="Arial" w:hAnsi="Arial"/>
                <w:sz w:val="18"/>
                <w:szCs w:val="18"/>
                <w:color w:val="0000EE"/>
                <w:w w:val="89"/>
              </w:rPr>
            </w:pPr>
            <w:hyperlink w:anchor="page5">
              <w:r>
                <w:rPr>
                  <w:rFonts w:ascii="Arial" w:cs="Arial" w:eastAsia="Arial" w:hAnsi="Arial"/>
                  <w:sz w:val="18"/>
                  <w:szCs w:val="18"/>
                  <w:color w:val="0000EE"/>
                  <w:w w:val="89"/>
                </w:rPr>
                <w:t>Financial Statements (Unaudited)</w:t>
              </w:r>
            </w:hyperlink>
          </w:p>
        </w:tc>
        <w:tc>
          <w:tcPr>
            <w:tcW w:w="7340" w:type="dxa"/>
            <w:vAlign w:val="bottom"/>
            <w:gridSpan w:val="19"/>
          </w:tcPr>
          <w:p>
            <w:pPr>
              <w:spacing w:after="0"/>
              <w:rPr>
                <w:sz w:val="24"/>
                <w:szCs w:val="24"/>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49"/>
        </w:trPr>
        <w:tc>
          <w:tcPr>
            <w:tcW w:w="7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760" w:type="dxa"/>
            <w:vAlign w:val="bottom"/>
            <w:gridSpan w:val="33"/>
          </w:tcPr>
          <w:p>
            <w:pPr>
              <w:spacing w:after="0"/>
              <w:rPr>
                <w:sz w:val="20"/>
                <w:szCs w:val="20"/>
                <w:color w:val="auto"/>
              </w:rPr>
            </w:pPr>
            <w:r>
              <w:rPr>
                <w:rFonts w:ascii="Arial" w:cs="Arial" w:eastAsia="Arial" w:hAnsi="Arial"/>
                <w:sz w:val="18"/>
                <w:szCs w:val="18"/>
                <w:b w:val="1"/>
                <w:bCs w:val="1"/>
                <w:color w:val="auto"/>
              </w:rPr>
              <w:t>Uniti Group Inc.</w:t>
            </w:r>
          </w:p>
        </w:tc>
        <w:tc>
          <w:tcPr>
            <w:tcW w:w="5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0"/>
        </w:trPr>
        <w:tc>
          <w:tcPr>
            <w:tcW w:w="7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760" w:type="dxa"/>
            <w:vAlign w:val="bottom"/>
            <w:gridSpan w:val="33"/>
          </w:tcPr>
          <w:p>
            <w:pPr>
              <w:spacing w:after="0" w:line="190" w:lineRule="exact"/>
              <w:rPr>
                <w:rFonts w:ascii="Arial" w:cs="Arial" w:eastAsia="Arial" w:hAnsi="Arial"/>
                <w:sz w:val="18"/>
                <w:szCs w:val="18"/>
                <w:color w:val="0000EE"/>
              </w:rPr>
            </w:pPr>
            <w:hyperlink w:anchor="page5">
              <w:r>
                <w:rPr>
                  <w:rFonts w:ascii="Arial" w:cs="Arial" w:eastAsia="Arial" w:hAnsi="Arial"/>
                  <w:sz w:val="18"/>
                  <w:szCs w:val="18"/>
                  <w:color w:val="0000EE"/>
                </w:rPr>
                <w:t>Condensed Consolidated Balance Sheets</w:t>
              </w:r>
            </w:hyperlink>
          </w:p>
        </w:tc>
        <w:tc>
          <w:tcPr>
            <w:tcW w:w="560" w:type="dxa"/>
            <w:vAlign w:val="bottom"/>
          </w:tcPr>
          <w:p>
            <w:pPr>
              <w:jc w:val="right"/>
              <w:spacing w:after="0" w:line="190"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20" w:type="dxa"/>
            <w:vAlign w:val="bottom"/>
            <w:tcBorders>
              <w:right w:val="single" w:sz="8" w:color="0000EE"/>
            </w:tcBorders>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140" w:type="dxa"/>
            <w:vAlign w:val="bottom"/>
            <w:tcBorders>
              <w:left w:val="single" w:sz="8" w:color="0000EE"/>
            </w:tcBorders>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6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8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760" w:type="dxa"/>
            <w:vAlign w:val="bottom"/>
            <w:gridSpan w:val="33"/>
          </w:tcPr>
          <w:p>
            <w:pPr>
              <w:spacing w:after="0"/>
              <w:rPr>
                <w:rFonts w:ascii="Arial" w:cs="Arial" w:eastAsia="Arial" w:hAnsi="Arial"/>
                <w:sz w:val="18"/>
                <w:szCs w:val="18"/>
                <w:color w:val="0000EE"/>
              </w:rPr>
            </w:pPr>
            <w:hyperlink w:anchor="page6">
              <w:r>
                <w:rPr>
                  <w:rFonts w:ascii="Arial" w:cs="Arial" w:eastAsia="Arial" w:hAnsi="Arial"/>
                  <w:sz w:val="18"/>
                  <w:szCs w:val="18"/>
                  <w:color w:val="0000EE"/>
                </w:rPr>
                <w:t>Condensed Consolidated Statements of Income (Loss)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20" w:type="dxa"/>
            <w:vAlign w:val="bottom"/>
            <w:tcBorders>
              <w:right w:val="single" w:sz="8" w:color="0000EE"/>
            </w:tcBorders>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140" w:type="dxa"/>
            <w:vAlign w:val="bottom"/>
            <w:tcBorders>
              <w:left w:val="single" w:sz="8" w:color="0000EE"/>
            </w:tcBorders>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6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340" w:type="dxa"/>
            <w:vAlign w:val="bottom"/>
            <w:tcBorders>
              <w:left w:val="single" w:sz="8" w:color="0000EE"/>
            </w:tcBorders>
            <w:gridSpan w:val="2"/>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00" w:type="dxa"/>
            <w:vAlign w:val="bottom"/>
            <w:tcBorders>
              <w:left w:val="single" w:sz="8" w:color="0000EE"/>
            </w:tcBorders>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080" w:type="dxa"/>
            <w:vAlign w:val="bottom"/>
            <w:tcBorders>
              <w:bottom w:val="single" w:sz="8" w:color="0000EE"/>
            </w:tcBorders>
            <w:gridSpan w:val="30"/>
          </w:tcPr>
          <w:p>
            <w:pPr>
              <w:spacing w:after="0"/>
              <w:rPr>
                <w:rFonts w:ascii="Arial" w:cs="Arial" w:eastAsia="Arial" w:hAnsi="Arial"/>
                <w:sz w:val="18"/>
                <w:szCs w:val="18"/>
                <w:color w:val="0000EE"/>
                <w:w w:val="89"/>
              </w:rPr>
            </w:pPr>
            <w:hyperlink w:anchor="page7">
              <w:r>
                <w:rPr>
                  <w:rFonts w:ascii="Arial" w:cs="Arial" w:eastAsia="Arial" w:hAnsi="Arial"/>
                  <w:sz w:val="18"/>
                  <w:szCs w:val="18"/>
                  <w:color w:val="0000EE"/>
                  <w:w w:val="89"/>
                </w:rPr>
                <w:t>Condensed Consolidated Statements of Comprehensive Income (Loss)</w:t>
              </w:r>
            </w:hyperlink>
          </w:p>
        </w:tc>
        <w:tc>
          <w:tcPr>
            <w:tcW w:w="4680" w:type="dxa"/>
            <w:vAlign w:val="bottom"/>
            <w:gridSpan w:val="3"/>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09"/>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760" w:type="dxa"/>
            <w:vAlign w:val="bottom"/>
            <w:gridSpan w:val="33"/>
          </w:tcPr>
          <w:p>
            <w:pPr>
              <w:spacing w:after="0"/>
              <w:rPr>
                <w:rFonts w:ascii="Arial" w:cs="Arial" w:eastAsia="Arial" w:hAnsi="Arial"/>
                <w:sz w:val="18"/>
                <w:szCs w:val="18"/>
                <w:color w:val="0000EE"/>
              </w:rPr>
            </w:pPr>
            <w:hyperlink w:anchor="page8">
              <w:r>
                <w:rPr>
                  <w:rFonts w:ascii="Arial" w:cs="Arial" w:eastAsia="Arial" w:hAnsi="Arial"/>
                  <w:sz w:val="18"/>
                  <w:szCs w:val="18"/>
                  <w:color w:val="0000EE"/>
                </w:rPr>
                <w:t>Condensed Consolidated Statements of Shareholders’ Deficit</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400" w:type="dxa"/>
            <w:vAlign w:val="bottom"/>
            <w:tcBorders>
              <w:top w:val="single" w:sz="8" w:color="0000EE"/>
            </w:tcBorders>
            <w:gridSpan w:val="29"/>
          </w:tcPr>
          <w:p>
            <w:pPr>
              <w:spacing w:after="0"/>
              <w:rPr>
                <w:rFonts w:ascii="Arial" w:cs="Arial" w:eastAsia="Arial" w:hAnsi="Arial"/>
                <w:sz w:val="18"/>
                <w:szCs w:val="18"/>
                <w:color w:val="0000EE"/>
              </w:rPr>
            </w:pPr>
            <w:hyperlink w:anchor="page9">
              <w:r>
                <w:rPr>
                  <w:rFonts w:ascii="Arial" w:cs="Arial" w:eastAsia="Arial" w:hAnsi="Arial"/>
                  <w:sz w:val="18"/>
                  <w:szCs w:val="18"/>
                  <w:color w:val="0000EE"/>
                </w:rPr>
                <w:t>Condensed Consolidated Statements of Cash Flows</w:t>
              </w:r>
            </w:hyperlink>
          </w:p>
        </w:tc>
        <w:tc>
          <w:tcPr>
            <w:tcW w:w="5360" w:type="dxa"/>
            <w:vAlign w:val="bottom"/>
            <w:gridSpan w:val="4"/>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20" w:type="dxa"/>
            <w:vAlign w:val="bottom"/>
            <w:tcBorders>
              <w:right w:val="single" w:sz="8" w:color="0000EE"/>
            </w:tcBorders>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140" w:type="dxa"/>
            <w:vAlign w:val="bottom"/>
            <w:tcBorders>
              <w:left w:val="single" w:sz="8" w:color="0000EE"/>
            </w:tcBorders>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6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340" w:type="dxa"/>
            <w:vAlign w:val="bottom"/>
            <w:tcBorders>
              <w:left w:val="single" w:sz="8" w:color="0000EE"/>
            </w:tcBorders>
            <w:gridSpan w:val="2"/>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00" w:type="dxa"/>
            <w:vAlign w:val="bottom"/>
            <w:tcBorders>
              <w:left w:val="single" w:sz="8" w:color="0000EE"/>
            </w:tcBorders>
            <w:shd w:val="clear" w:color="auto" w:fill="0000EE"/>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0" w:type="dxa"/>
            <w:vAlign w:val="bottom"/>
            <w:gridSpan w:val="3"/>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760" w:type="dxa"/>
            <w:vAlign w:val="bottom"/>
            <w:gridSpan w:val="33"/>
          </w:tcPr>
          <w:p>
            <w:pPr>
              <w:spacing w:after="0"/>
              <w:rPr>
                <w:rFonts w:ascii="Arial" w:cs="Arial" w:eastAsia="Arial" w:hAnsi="Arial"/>
                <w:sz w:val="18"/>
                <w:szCs w:val="18"/>
                <w:color w:val="0000EE"/>
              </w:rPr>
            </w:pPr>
            <w:hyperlink w:anchor="page10">
              <w:r>
                <w:rPr>
                  <w:rFonts w:ascii="Arial" w:cs="Arial" w:eastAsia="Arial" w:hAnsi="Arial"/>
                  <w:sz w:val="18"/>
                  <w:szCs w:val="18"/>
                  <w:color w:val="0000EE"/>
                </w:rPr>
                <w:t>Notes to Condensed Consolidated Financial Statements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09"/>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980" w:type="dxa"/>
            <w:vAlign w:val="bottom"/>
            <w:tcBorders>
              <w:top w:val="single" w:sz="8" w:color="0000EE"/>
            </w:tcBorders>
            <w:gridSpan w:val="25"/>
          </w:tcPr>
          <w:p>
            <w:pPr>
              <w:ind w:left="120"/>
              <w:spacing w:after="0"/>
              <w:rPr>
                <w:rFonts w:ascii="Arial" w:cs="Arial" w:eastAsia="Arial" w:hAnsi="Arial"/>
                <w:sz w:val="18"/>
                <w:szCs w:val="18"/>
                <w:color w:val="auto"/>
              </w:rPr>
            </w:pPr>
            <w:r>
              <w:rPr>
                <w:rFonts w:ascii="Arial" w:cs="Arial" w:eastAsia="Arial" w:hAnsi="Arial"/>
                <w:sz w:val="18"/>
                <w:szCs w:val="18"/>
                <w:color w:val="auto"/>
              </w:rPr>
              <w:t>1.</w:t>
            </w:r>
            <w:hyperlink w:anchor="page10">
              <w:r>
                <w:rPr>
                  <w:rFonts w:ascii="Arial" w:cs="Arial" w:eastAsia="Arial" w:hAnsi="Arial"/>
                  <w:sz w:val="18"/>
                  <w:szCs w:val="18"/>
                  <w:color w:val="auto"/>
                </w:rPr>
                <w:t>Organization and Description of Business</w:t>
              </w:r>
            </w:hyperlink>
          </w:p>
        </w:tc>
        <w:tc>
          <w:tcPr>
            <w:tcW w:w="5780" w:type="dxa"/>
            <w:vAlign w:val="bottom"/>
            <w:gridSpan w:val="8"/>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2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gridSpan w:val="2"/>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40" w:type="dxa"/>
            <w:vAlign w:val="bottom"/>
            <w:tcBorders>
              <w:left w:val="single" w:sz="8" w:color="auto"/>
            </w:tcBorders>
            <w:gridSpan w:val="2"/>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20" w:type="dxa"/>
            <w:vAlign w:val="bottom"/>
            <w:gridSpan w:val="4"/>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0" w:type="dxa"/>
            <w:vAlign w:val="bottom"/>
            <w:gridSpan w:val="3"/>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760" w:type="dxa"/>
            <w:vAlign w:val="bottom"/>
            <w:gridSpan w:val="33"/>
          </w:tcPr>
          <w:p>
            <w:pPr>
              <w:ind w:left="120"/>
              <w:spacing w:after="0"/>
              <w:rPr>
                <w:rFonts w:ascii="Arial" w:cs="Arial" w:eastAsia="Arial" w:hAnsi="Arial"/>
                <w:sz w:val="18"/>
                <w:szCs w:val="18"/>
                <w:color w:val="auto"/>
              </w:rPr>
            </w:pPr>
            <w:r>
              <w:rPr>
                <w:rFonts w:ascii="Arial" w:cs="Arial" w:eastAsia="Arial" w:hAnsi="Arial"/>
                <w:sz w:val="18"/>
                <w:szCs w:val="18"/>
                <w:color w:val="auto"/>
              </w:rPr>
              <w:t>2.</w:t>
            </w:r>
            <w:hyperlink w:anchor="page10">
              <w:r>
                <w:rPr>
                  <w:rFonts w:ascii="Arial" w:cs="Arial" w:eastAsia="Arial" w:hAnsi="Arial"/>
                  <w:sz w:val="18"/>
                  <w:szCs w:val="18"/>
                  <w:color w:val="auto"/>
                </w:rPr>
                <w:t>Basis of Presentation and Summary of Significant Accounting Policies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2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gridSpan w:val="2"/>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40" w:type="dxa"/>
            <w:vAlign w:val="bottom"/>
            <w:tcBorders>
              <w:left w:val="single" w:sz="8" w:color="auto"/>
            </w:tcBorders>
            <w:gridSpan w:val="2"/>
            <w:shd w:val="clear" w:color="auto" w:fill="000000"/>
          </w:tcPr>
          <w:p>
            <w:pPr>
              <w:spacing w:after="0" w:line="20" w:lineRule="exact"/>
              <w:rPr>
                <w:sz w:val="1"/>
                <w:szCs w:val="1"/>
                <w:color w:val="auto"/>
              </w:rPr>
            </w:pPr>
          </w:p>
        </w:tc>
        <w:tc>
          <w:tcPr>
            <w:tcW w:w="520" w:type="dxa"/>
            <w:vAlign w:val="bottom"/>
            <w:gridSpan w:val="2"/>
            <w:shd w:val="clear" w:color="auto" w:fill="000000"/>
          </w:tcPr>
          <w:p>
            <w:pPr>
              <w:spacing w:after="0" w:line="20" w:lineRule="exact"/>
              <w:rPr>
                <w:sz w:val="1"/>
                <w:szCs w:val="1"/>
                <w:color w:val="auto"/>
              </w:rPr>
            </w:pPr>
          </w:p>
        </w:tc>
        <w:tc>
          <w:tcPr>
            <w:tcW w:w="420" w:type="dxa"/>
            <w:vAlign w:val="bottom"/>
            <w:tcBorders>
              <w:left w:val="single" w:sz="8" w:color="auto"/>
            </w:tcBorders>
            <w:gridSpan w:val="4"/>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000" w:type="dxa"/>
            <w:vAlign w:val="bottom"/>
            <w:gridSpan w:val="3"/>
            <w:shd w:val="clear" w:color="auto" w:fill="000000"/>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760" w:type="dxa"/>
            <w:vAlign w:val="bottom"/>
            <w:gridSpan w:val="33"/>
          </w:tcPr>
          <w:p>
            <w:pPr>
              <w:ind w:left="120"/>
              <w:spacing w:after="0"/>
              <w:rPr>
                <w:rFonts w:ascii="Arial" w:cs="Arial" w:eastAsia="Arial" w:hAnsi="Arial"/>
                <w:sz w:val="18"/>
                <w:szCs w:val="18"/>
                <w:color w:val="auto"/>
              </w:rPr>
            </w:pPr>
            <w:r>
              <w:rPr>
                <w:rFonts w:ascii="Arial" w:cs="Arial" w:eastAsia="Arial" w:hAnsi="Arial"/>
                <w:sz w:val="18"/>
                <w:szCs w:val="18"/>
                <w:color w:val="auto"/>
              </w:rPr>
              <w:t>3.</w:t>
            </w:r>
            <w:hyperlink w:anchor="page12">
              <w:r>
                <w:rPr>
                  <w:rFonts w:ascii="Arial" w:cs="Arial" w:eastAsia="Arial" w:hAnsi="Arial"/>
                  <w:sz w:val="18"/>
                  <w:szCs w:val="18"/>
                  <w:color w:val="auto"/>
                </w:rPr>
                <w:t>Revenues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420" w:type="dxa"/>
            <w:vAlign w:val="bottom"/>
            <w:gridSpan w:val="4"/>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4"/>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760" w:type="dxa"/>
            <w:vAlign w:val="bottom"/>
            <w:gridSpan w:val="33"/>
          </w:tcPr>
          <w:p>
            <w:pPr>
              <w:ind w:left="120"/>
              <w:spacing w:after="0"/>
              <w:rPr>
                <w:rFonts w:ascii="Arial" w:cs="Arial" w:eastAsia="Arial" w:hAnsi="Arial"/>
                <w:sz w:val="18"/>
                <w:szCs w:val="18"/>
                <w:color w:val="auto"/>
              </w:rPr>
            </w:pPr>
            <w:r>
              <w:rPr>
                <w:rFonts w:ascii="Arial" w:cs="Arial" w:eastAsia="Arial" w:hAnsi="Arial"/>
                <w:sz w:val="18"/>
                <w:szCs w:val="18"/>
                <w:color w:val="auto"/>
              </w:rPr>
              <w:t>4.</w:t>
            </w:r>
            <w:hyperlink w:anchor="page13">
              <w:r>
                <w:rPr>
                  <w:rFonts w:ascii="Arial" w:cs="Arial" w:eastAsia="Arial" w:hAnsi="Arial"/>
                  <w:sz w:val="18"/>
                  <w:szCs w:val="18"/>
                  <w:color w:val="auto"/>
                </w:rPr>
                <w:t>Leases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420" w:type="dxa"/>
            <w:vAlign w:val="bottom"/>
            <w:gridSpan w:val="4"/>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4"/>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760" w:type="dxa"/>
            <w:vAlign w:val="bottom"/>
            <w:gridSpan w:val="33"/>
          </w:tcPr>
          <w:p>
            <w:pPr>
              <w:ind w:left="120"/>
              <w:spacing w:after="0"/>
              <w:rPr>
                <w:rFonts w:ascii="Arial" w:cs="Arial" w:eastAsia="Arial" w:hAnsi="Arial"/>
                <w:sz w:val="18"/>
                <w:szCs w:val="18"/>
                <w:color w:val="auto"/>
              </w:rPr>
            </w:pPr>
            <w:r>
              <w:rPr>
                <w:rFonts w:ascii="Arial" w:cs="Arial" w:eastAsia="Arial" w:hAnsi="Arial"/>
                <w:sz w:val="18"/>
                <w:szCs w:val="18"/>
                <w:color w:val="auto"/>
              </w:rPr>
              <w:t>5.</w:t>
            </w:r>
            <w:hyperlink w:anchor="page14">
              <w:r>
                <w:rPr>
                  <w:rFonts w:ascii="Arial" w:cs="Arial" w:eastAsia="Arial" w:hAnsi="Arial"/>
                  <w:sz w:val="18"/>
                  <w:szCs w:val="18"/>
                  <w:color w:val="auto"/>
                </w:rPr>
                <w:t>Investments in Unconsolidated Entities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60" w:type="dxa"/>
            <w:vAlign w:val="bottom"/>
            <w:tcBorders>
              <w:right w:val="single" w:sz="8" w:color="auto"/>
            </w:tcBorders>
            <w:gridSpan w:val="2"/>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2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gridSpan w:val="2"/>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40" w:type="dxa"/>
            <w:vAlign w:val="bottom"/>
            <w:tcBorders>
              <w:left w:val="single" w:sz="8" w:color="auto"/>
            </w:tcBorders>
            <w:gridSpan w:val="2"/>
            <w:shd w:val="clear" w:color="auto" w:fill="000000"/>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420" w:type="dxa"/>
            <w:vAlign w:val="bottom"/>
            <w:gridSpan w:val="4"/>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4"/>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760" w:type="dxa"/>
            <w:vAlign w:val="bottom"/>
            <w:gridSpan w:val="33"/>
          </w:tcPr>
          <w:p>
            <w:pPr>
              <w:ind w:left="120"/>
              <w:spacing w:after="0"/>
              <w:rPr>
                <w:rFonts w:ascii="Arial" w:cs="Arial" w:eastAsia="Arial" w:hAnsi="Arial"/>
                <w:sz w:val="18"/>
                <w:szCs w:val="18"/>
                <w:color w:val="auto"/>
              </w:rPr>
            </w:pPr>
            <w:r>
              <w:rPr>
                <w:rFonts w:ascii="Arial" w:cs="Arial" w:eastAsia="Arial" w:hAnsi="Arial"/>
                <w:sz w:val="18"/>
                <w:szCs w:val="18"/>
                <w:color w:val="auto"/>
              </w:rPr>
              <w:t>6.</w:t>
            </w:r>
            <w:hyperlink w:anchor="page15">
              <w:r>
                <w:rPr>
                  <w:rFonts w:ascii="Arial" w:cs="Arial" w:eastAsia="Arial" w:hAnsi="Arial"/>
                  <w:sz w:val="18"/>
                  <w:szCs w:val="18"/>
                  <w:color w:val="auto"/>
                </w:rPr>
                <w:t>Fair Value of Financial Instruments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60" w:type="dxa"/>
            <w:vAlign w:val="bottom"/>
            <w:tcBorders>
              <w:right w:val="single" w:sz="8" w:color="auto"/>
            </w:tcBorders>
            <w:gridSpan w:val="2"/>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2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gridSpan w:val="2"/>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60" w:type="dxa"/>
            <w:vAlign w:val="bottom"/>
            <w:tcBorders>
              <w:left w:val="single" w:sz="8" w:color="auto"/>
            </w:tcBorders>
            <w:gridSpan w:val="4"/>
          </w:tcPr>
          <w:p>
            <w:pPr>
              <w:spacing w:after="0" w:line="20" w:lineRule="exact"/>
              <w:rPr>
                <w:sz w:val="1"/>
                <w:szCs w:val="1"/>
                <w:color w:val="auto"/>
              </w:rPr>
            </w:pPr>
          </w:p>
        </w:tc>
        <w:tc>
          <w:tcPr>
            <w:tcW w:w="420" w:type="dxa"/>
            <w:vAlign w:val="bottom"/>
            <w:gridSpan w:val="4"/>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4"/>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760" w:type="dxa"/>
            <w:vAlign w:val="bottom"/>
            <w:gridSpan w:val="33"/>
          </w:tcPr>
          <w:p>
            <w:pPr>
              <w:ind w:left="120"/>
              <w:spacing w:after="0"/>
              <w:rPr>
                <w:rFonts w:ascii="Arial" w:cs="Arial" w:eastAsia="Arial" w:hAnsi="Arial"/>
                <w:sz w:val="18"/>
                <w:szCs w:val="18"/>
                <w:color w:val="auto"/>
              </w:rPr>
            </w:pPr>
            <w:r>
              <w:rPr>
                <w:rFonts w:ascii="Arial" w:cs="Arial" w:eastAsia="Arial" w:hAnsi="Arial"/>
                <w:sz w:val="18"/>
                <w:szCs w:val="18"/>
                <w:color w:val="auto"/>
              </w:rPr>
              <w:t>7.</w:t>
            </w:r>
            <w:hyperlink w:anchor="page17">
              <w:r>
                <w:rPr>
                  <w:rFonts w:ascii="Arial" w:cs="Arial" w:eastAsia="Arial" w:hAnsi="Arial"/>
                  <w:sz w:val="18"/>
                  <w:szCs w:val="18"/>
                  <w:color w:val="auto"/>
                </w:rPr>
                <w:t>Property Plant and Equipment</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60" w:type="dxa"/>
            <w:vAlign w:val="bottom"/>
            <w:tcBorders>
              <w:right w:val="single" w:sz="8" w:color="auto"/>
            </w:tcBorders>
            <w:gridSpan w:val="2"/>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2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gridSpan w:val="2"/>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60" w:type="dxa"/>
            <w:vAlign w:val="bottom"/>
            <w:gridSpan w:val="4"/>
          </w:tcPr>
          <w:p>
            <w:pPr>
              <w:spacing w:after="0" w:line="20" w:lineRule="exact"/>
              <w:rPr>
                <w:sz w:val="1"/>
                <w:szCs w:val="1"/>
                <w:color w:val="auto"/>
              </w:rPr>
            </w:pPr>
          </w:p>
        </w:tc>
        <w:tc>
          <w:tcPr>
            <w:tcW w:w="420" w:type="dxa"/>
            <w:vAlign w:val="bottom"/>
            <w:gridSpan w:val="4"/>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4"/>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760" w:type="dxa"/>
            <w:vAlign w:val="bottom"/>
            <w:gridSpan w:val="33"/>
          </w:tcPr>
          <w:p>
            <w:pPr>
              <w:ind w:left="120"/>
              <w:spacing w:after="0"/>
              <w:rPr>
                <w:rFonts w:ascii="Arial" w:cs="Arial" w:eastAsia="Arial" w:hAnsi="Arial"/>
                <w:sz w:val="18"/>
                <w:szCs w:val="18"/>
                <w:color w:val="auto"/>
              </w:rPr>
            </w:pPr>
            <w:r>
              <w:rPr>
                <w:rFonts w:ascii="Arial" w:cs="Arial" w:eastAsia="Arial" w:hAnsi="Arial"/>
                <w:sz w:val="18"/>
                <w:szCs w:val="18"/>
                <w:color w:val="auto"/>
              </w:rPr>
              <w:t>8.</w:t>
            </w:r>
            <w:hyperlink w:anchor="page17">
              <w:r>
                <w:rPr>
                  <w:rFonts w:ascii="Arial" w:cs="Arial" w:eastAsia="Arial" w:hAnsi="Arial"/>
                  <w:sz w:val="18"/>
                  <w:szCs w:val="18"/>
                  <w:color w:val="auto"/>
                </w:rPr>
                <w:t>Derivative Instruments and Hedging Activities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60" w:type="dxa"/>
            <w:vAlign w:val="bottom"/>
            <w:tcBorders>
              <w:right w:val="single" w:sz="8" w:color="auto"/>
            </w:tcBorders>
            <w:gridSpan w:val="2"/>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2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180" w:type="dxa"/>
            <w:vAlign w:val="bottom"/>
            <w:gridSpan w:val="3"/>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60" w:type="dxa"/>
            <w:vAlign w:val="bottom"/>
            <w:tcBorders>
              <w:left w:val="single" w:sz="8" w:color="auto"/>
            </w:tcBorders>
            <w:gridSpan w:val="4"/>
            <w:shd w:val="clear" w:color="auto" w:fill="000000"/>
          </w:tcPr>
          <w:p>
            <w:pPr>
              <w:spacing w:after="0" w:line="20" w:lineRule="exact"/>
              <w:rPr>
                <w:sz w:val="1"/>
                <w:szCs w:val="1"/>
                <w:color w:val="auto"/>
              </w:rPr>
            </w:pPr>
          </w:p>
        </w:tc>
        <w:tc>
          <w:tcPr>
            <w:tcW w:w="420" w:type="dxa"/>
            <w:vAlign w:val="bottom"/>
            <w:tcBorders>
              <w:left w:val="single" w:sz="8" w:color="auto"/>
            </w:tcBorders>
            <w:gridSpan w:val="4"/>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4"/>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760" w:type="dxa"/>
            <w:vAlign w:val="bottom"/>
            <w:gridSpan w:val="33"/>
          </w:tcPr>
          <w:p>
            <w:pPr>
              <w:ind w:left="120"/>
              <w:spacing w:after="0"/>
              <w:rPr>
                <w:rFonts w:ascii="Arial" w:cs="Arial" w:eastAsia="Arial" w:hAnsi="Arial"/>
                <w:sz w:val="18"/>
                <w:szCs w:val="18"/>
                <w:color w:val="auto"/>
              </w:rPr>
            </w:pPr>
            <w:r>
              <w:rPr>
                <w:rFonts w:ascii="Arial" w:cs="Arial" w:eastAsia="Arial" w:hAnsi="Arial"/>
                <w:sz w:val="18"/>
                <w:szCs w:val="18"/>
                <w:color w:val="auto"/>
              </w:rPr>
              <w:t>9.</w:t>
            </w:r>
            <w:hyperlink w:anchor="page19">
              <w:r>
                <w:rPr>
                  <w:rFonts w:ascii="Arial" w:cs="Arial" w:eastAsia="Arial" w:hAnsi="Arial"/>
                  <w:sz w:val="18"/>
                  <w:szCs w:val="18"/>
                  <w:color w:val="auto"/>
                </w:rPr>
                <w:t>Goodwill and Intangible Assets and Liabilities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60" w:type="dxa"/>
            <w:vAlign w:val="bottom"/>
            <w:tcBorders>
              <w:right w:val="single" w:sz="8" w:color="auto"/>
            </w:tcBorders>
            <w:gridSpan w:val="2"/>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2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180" w:type="dxa"/>
            <w:vAlign w:val="bottom"/>
            <w:gridSpan w:val="3"/>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60" w:type="dxa"/>
            <w:vAlign w:val="bottom"/>
            <w:tcBorders>
              <w:left w:val="single" w:sz="8" w:color="auto"/>
            </w:tcBorders>
            <w:gridSpan w:val="4"/>
            <w:shd w:val="clear" w:color="auto" w:fill="000000"/>
          </w:tcPr>
          <w:p>
            <w:pPr>
              <w:spacing w:after="0" w:line="20" w:lineRule="exact"/>
              <w:rPr>
                <w:sz w:val="1"/>
                <w:szCs w:val="1"/>
                <w:color w:val="auto"/>
              </w:rPr>
            </w:pPr>
          </w:p>
        </w:tc>
        <w:tc>
          <w:tcPr>
            <w:tcW w:w="420" w:type="dxa"/>
            <w:vAlign w:val="bottom"/>
            <w:gridSpan w:val="4"/>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4"/>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760" w:type="dxa"/>
            <w:vAlign w:val="bottom"/>
            <w:gridSpan w:val="33"/>
          </w:tcPr>
          <w:p>
            <w:pPr>
              <w:ind w:left="120"/>
              <w:spacing w:after="0"/>
              <w:rPr>
                <w:rFonts w:ascii="Arial" w:cs="Arial" w:eastAsia="Arial" w:hAnsi="Arial"/>
                <w:sz w:val="18"/>
                <w:szCs w:val="18"/>
                <w:color w:val="auto"/>
              </w:rPr>
            </w:pPr>
            <w:r>
              <w:rPr>
                <w:rFonts w:ascii="Arial" w:cs="Arial" w:eastAsia="Arial" w:hAnsi="Arial"/>
                <w:sz w:val="18"/>
                <w:szCs w:val="18"/>
                <w:color w:val="auto"/>
              </w:rPr>
              <w:t>10.</w:t>
            </w:r>
            <w:hyperlink w:anchor="page20">
              <w:r>
                <w:rPr>
                  <w:rFonts w:ascii="Arial" w:cs="Arial" w:eastAsia="Arial" w:hAnsi="Arial"/>
                  <w:sz w:val="18"/>
                  <w:szCs w:val="18"/>
                  <w:color w:val="auto"/>
                </w:rPr>
                <w:t>Notes and Other Debt</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60" w:type="dxa"/>
            <w:vAlign w:val="bottom"/>
            <w:tcBorders>
              <w:right w:val="single" w:sz="8" w:color="auto"/>
            </w:tcBorders>
            <w:gridSpan w:val="2"/>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2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tcBorders>
              <w:left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80" w:type="dxa"/>
            <w:vAlign w:val="bottom"/>
            <w:gridSpan w:val="8"/>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4"/>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760" w:type="dxa"/>
            <w:vAlign w:val="bottom"/>
            <w:gridSpan w:val="33"/>
          </w:tcPr>
          <w:p>
            <w:pPr>
              <w:ind w:left="120"/>
              <w:spacing w:after="0"/>
              <w:rPr>
                <w:rFonts w:ascii="Arial" w:cs="Arial" w:eastAsia="Arial" w:hAnsi="Arial"/>
                <w:sz w:val="18"/>
                <w:szCs w:val="18"/>
                <w:color w:val="auto"/>
              </w:rPr>
            </w:pPr>
            <w:r>
              <w:rPr>
                <w:rFonts w:ascii="Arial" w:cs="Arial" w:eastAsia="Arial" w:hAnsi="Arial"/>
                <w:sz w:val="18"/>
                <w:szCs w:val="18"/>
                <w:color w:val="auto"/>
              </w:rPr>
              <w:t>11.</w:t>
            </w:r>
            <w:hyperlink w:anchor="page21">
              <w:r>
                <w:rPr>
                  <w:rFonts w:ascii="Arial" w:cs="Arial" w:eastAsia="Arial" w:hAnsi="Arial"/>
                  <w:sz w:val="18"/>
                  <w:szCs w:val="18"/>
                  <w:color w:val="auto"/>
                </w:rPr>
                <w:t>Earnings Per Share</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60" w:type="dxa"/>
            <w:vAlign w:val="bottom"/>
            <w:gridSpan w:val="2"/>
            <w:shd w:val="clear" w:color="auto" w:fill="000000"/>
          </w:tcPr>
          <w:p>
            <w:pPr>
              <w:spacing w:after="0" w:line="20" w:lineRule="exact"/>
              <w:rPr>
                <w:sz w:val="1"/>
                <w:szCs w:val="1"/>
                <w:color w:val="auto"/>
              </w:rPr>
            </w:pPr>
          </w:p>
        </w:tc>
        <w:tc>
          <w:tcPr>
            <w:tcW w:w="360" w:type="dxa"/>
            <w:vAlign w:val="bottom"/>
            <w:tcBorders>
              <w:right w:val="single" w:sz="8" w:color="auto"/>
            </w:tcBorders>
            <w:gridSpan w:val="2"/>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80" w:type="dxa"/>
            <w:vAlign w:val="bottom"/>
            <w:gridSpan w:val="8"/>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4"/>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760" w:type="dxa"/>
            <w:vAlign w:val="bottom"/>
            <w:gridSpan w:val="33"/>
          </w:tcPr>
          <w:p>
            <w:pPr>
              <w:ind w:left="120"/>
              <w:spacing w:after="0"/>
              <w:rPr>
                <w:rFonts w:ascii="Arial" w:cs="Arial" w:eastAsia="Arial" w:hAnsi="Arial"/>
                <w:sz w:val="18"/>
                <w:szCs w:val="18"/>
                <w:color w:val="auto"/>
              </w:rPr>
            </w:pPr>
            <w:r>
              <w:rPr>
                <w:rFonts w:ascii="Arial" w:cs="Arial" w:eastAsia="Arial" w:hAnsi="Arial"/>
                <w:sz w:val="18"/>
                <w:szCs w:val="18"/>
                <w:color w:val="auto"/>
              </w:rPr>
              <w:t>12.</w:t>
            </w:r>
            <w:hyperlink w:anchor="page22">
              <w:r>
                <w:rPr>
                  <w:rFonts w:ascii="Arial" w:cs="Arial" w:eastAsia="Arial" w:hAnsi="Arial"/>
                  <w:sz w:val="18"/>
                  <w:szCs w:val="18"/>
                  <w:color w:val="auto"/>
                </w:rPr>
                <w:t>Segment Information</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60" w:type="dxa"/>
            <w:vAlign w:val="bottom"/>
            <w:tcBorders>
              <w:right w:val="single" w:sz="8" w:color="auto"/>
            </w:tcBorders>
            <w:gridSpan w:val="2"/>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440" w:type="dxa"/>
            <w:vAlign w:val="bottom"/>
            <w:gridSpan w:val="2"/>
            <w:shd w:val="clear" w:color="auto" w:fill="000000"/>
          </w:tcPr>
          <w:p>
            <w:pPr>
              <w:spacing w:after="0" w:line="20" w:lineRule="exact"/>
              <w:rPr>
                <w:sz w:val="1"/>
                <w:szCs w:val="1"/>
                <w:color w:val="auto"/>
              </w:rPr>
            </w:pPr>
          </w:p>
        </w:tc>
        <w:tc>
          <w:tcPr>
            <w:tcW w:w="12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80" w:type="dxa"/>
            <w:vAlign w:val="bottom"/>
            <w:gridSpan w:val="8"/>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4"/>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760" w:type="dxa"/>
            <w:vAlign w:val="bottom"/>
            <w:gridSpan w:val="33"/>
          </w:tcPr>
          <w:p>
            <w:pPr>
              <w:ind w:left="120"/>
              <w:spacing w:after="0"/>
              <w:rPr>
                <w:rFonts w:ascii="Arial" w:cs="Arial" w:eastAsia="Arial" w:hAnsi="Arial"/>
                <w:sz w:val="18"/>
                <w:szCs w:val="18"/>
                <w:color w:val="auto"/>
              </w:rPr>
            </w:pPr>
            <w:r>
              <w:rPr>
                <w:rFonts w:ascii="Arial" w:cs="Arial" w:eastAsia="Arial" w:hAnsi="Arial"/>
                <w:sz w:val="18"/>
                <w:szCs w:val="18"/>
                <w:color w:val="auto"/>
              </w:rPr>
              <w:t>13.</w:t>
            </w:r>
            <w:hyperlink w:anchor="page24">
              <w:r>
                <w:rPr>
                  <w:rFonts w:ascii="Arial" w:cs="Arial" w:eastAsia="Arial" w:hAnsi="Arial"/>
                  <w:sz w:val="18"/>
                  <w:szCs w:val="18"/>
                  <w:color w:val="auto"/>
                </w:rPr>
                <w:t>Commitments and Contingencies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60" w:type="dxa"/>
            <w:vAlign w:val="bottom"/>
            <w:tcBorders>
              <w:right w:val="single" w:sz="8" w:color="auto"/>
            </w:tcBorders>
            <w:gridSpan w:val="2"/>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440" w:type="dxa"/>
            <w:vAlign w:val="bottom"/>
            <w:gridSpan w:val="2"/>
            <w:shd w:val="clear" w:color="auto" w:fill="000000"/>
          </w:tcPr>
          <w:p>
            <w:pPr>
              <w:spacing w:after="0" w:line="20" w:lineRule="exact"/>
              <w:rPr>
                <w:sz w:val="1"/>
                <w:szCs w:val="1"/>
                <w:color w:val="auto"/>
              </w:rPr>
            </w:pPr>
          </w:p>
        </w:tc>
        <w:tc>
          <w:tcPr>
            <w:tcW w:w="260" w:type="dxa"/>
            <w:vAlign w:val="bottom"/>
            <w:tcBorders>
              <w:left w:val="single" w:sz="8" w:color="auto"/>
            </w:tcBorders>
            <w:gridSpan w:val="2"/>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180" w:type="dxa"/>
            <w:vAlign w:val="bottom"/>
            <w:gridSpan w:val="3"/>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80" w:type="dxa"/>
            <w:vAlign w:val="bottom"/>
            <w:gridSpan w:val="8"/>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4"/>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760" w:type="dxa"/>
            <w:vAlign w:val="bottom"/>
            <w:gridSpan w:val="33"/>
          </w:tcPr>
          <w:p>
            <w:pPr>
              <w:ind w:left="120"/>
              <w:spacing w:after="0"/>
              <w:rPr>
                <w:rFonts w:ascii="Arial" w:cs="Arial" w:eastAsia="Arial" w:hAnsi="Arial"/>
                <w:sz w:val="18"/>
                <w:szCs w:val="18"/>
                <w:color w:val="auto"/>
              </w:rPr>
            </w:pPr>
            <w:r>
              <w:rPr>
                <w:rFonts w:ascii="Arial" w:cs="Arial" w:eastAsia="Arial" w:hAnsi="Arial"/>
                <w:sz w:val="18"/>
                <w:szCs w:val="18"/>
                <w:color w:val="auto"/>
              </w:rPr>
              <w:t>14.</w:t>
            </w:r>
            <w:hyperlink w:anchor="page27">
              <w:r>
                <w:rPr>
                  <w:rFonts w:ascii="Arial" w:cs="Arial" w:eastAsia="Arial" w:hAnsi="Arial"/>
                  <w:sz w:val="18"/>
                  <w:szCs w:val="18"/>
                  <w:color w:val="auto"/>
                </w:rPr>
                <w:t>Accumulated Other Comprehensive (Loss) Income</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60" w:type="dxa"/>
            <w:vAlign w:val="bottom"/>
            <w:tcBorders>
              <w:right w:val="single" w:sz="8" w:color="auto"/>
            </w:tcBorders>
            <w:gridSpan w:val="2"/>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440" w:type="dxa"/>
            <w:vAlign w:val="bottom"/>
            <w:gridSpan w:val="2"/>
            <w:shd w:val="clear" w:color="auto" w:fill="000000"/>
          </w:tcPr>
          <w:p>
            <w:pPr>
              <w:spacing w:after="0" w:line="20" w:lineRule="exact"/>
              <w:rPr>
                <w:sz w:val="1"/>
                <w:szCs w:val="1"/>
                <w:color w:val="auto"/>
              </w:rPr>
            </w:pPr>
          </w:p>
        </w:tc>
        <w:tc>
          <w:tcPr>
            <w:tcW w:w="260" w:type="dxa"/>
            <w:vAlign w:val="bottom"/>
            <w:tcBorders>
              <w:left w:val="single" w:sz="8" w:color="auto"/>
            </w:tcBorders>
            <w:gridSpan w:val="2"/>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180" w:type="dxa"/>
            <w:vAlign w:val="bottom"/>
            <w:gridSpan w:val="3"/>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440" w:type="dxa"/>
            <w:vAlign w:val="bottom"/>
            <w:gridSpan w:val="9"/>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4"/>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760" w:type="dxa"/>
            <w:vAlign w:val="bottom"/>
            <w:gridSpan w:val="33"/>
          </w:tcPr>
          <w:p>
            <w:pPr>
              <w:ind w:left="120"/>
              <w:spacing w:after="0"/>
              <w:rPr>
                <w:rFonts w:ascii="Arial" w:cs="Arial" w:eastAsia="Arial" w:hAnsi="Arial"/>
                <w:sz w:val="18"/>
                <w:szCs w:val="18"/>
                <w:color w:val="auto"/>
              </w:rPr>
            </w:pPr>
            <w:r>
              <w:rPr>
                <w:rFonts w:ascii="Arial" w:cs="Arial" w:eastAsia="Arial" w:hAnsi="Arial"/>
                <w:sz w:val="18"/>
                <w:szCs w:val="18"/>
                <w:color w:val="auto"/>
              </w:rPr>
              <w:t>15.</w:t>
            </w:r>
            <w:hyperlink w:anchor="page27">
              <w:r>
                <w:rPr>
                  <w:rFonts w:ascii="Arial" w:cs="Arial" w:eastAsia="Arial" w:hAnsi="Arial"/>
                  <w:sz w:val="18"/>
                  <w:szCs w:val="18"/>
                  <w:color w:val="auto"/>
                </w:rPr>
                <w:t>Capital Stock</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60" w:type="dxa"/>
            <w:vAlign w:val="bottom"/>
            <w:tcBorders>
              <w:right w:val="single" w:sz="8" w:color="auto"/>
            </w:tcBorders>
            <w:gridSpan w:val="2"/>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60" w:type="dxa"/>
            <w:vAlign w:val="bottom"/>
            <w:gridSpan w:val="1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80" w:type="dxa"/>
            <w:vAlign w:val="bottom"/>
            <w:gridSpan w:val="4"/>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920" w:type="dxa"/>
            <w:vAlign w:val="bottom"/>
            <w:gridSpan w:val="2"/>
          </w:tcPr>
          <w:p>
            <w:pPr>
              <w:spacing w:after="0"/>
              <w:rPr>
                <w:sz w:val="20"/>
                <w:szCs w:val="20"/>
                <w:color w:val="auto"/>
              </w:rPr>
            </w:pPr>
            <w:r>
              <w:rPr>
                <w:rFonts w:ascii="Arial" w:cs="Arial" w:eastAsia="Arial" w:hAnsi="Arial"/>
                <w:sz w:val="18"/>
                <w:szCs w:val="18"/>
                <w:color w:val="auto"/>
              </w:rPr>
              <w:t>Item 2.</w:t>
            </w:r>
          </w:p>
        </w:tc>
        <w:tc>
          <w:tcPr>
            <w:tcW w:w="9760" w:type="dxa"/>
            <w:vAlign w:val="bottom"/>
            <w:gridSpan w:val="33"/>
          </w:tcPr>
          <w:p>
            <w:pPr>
              <w:spacing w:after="0"/>
              <w:rPr>
                <w:rFonts w:ascii="Arial" w:cs="Arial" w:eastAsia="Arial" w:hAnsi="Arial"/>
                <w:sz w:val="18"/>
                <w:szCs w:val="18"/>
                <w:color w:val="0000EE"/>
              </w:rPr>
            </w:pPr>
            <w:hyperlink w:anchor="page27">
              <w:r>
                <w:rPr>
                  <w:rFonts w:ascii="Arial" w:cs="Arial" w:eastAsia="Arial" w:hAnsi="Arial"/>
                  <w:sz w:val="18"/>
                  <w:szCs w:val="18"/>
                  <w:color w:val="0000EE"/>
                </w:rPr>
                <w:t>Management’s Discussion and Analysis of Financial Condition and Results of Operations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40" w:type="dxa"/>
            <w:vAlign w:val="bottom"/>
            <w:tcBorders>
              <w:top w:val="single" w:sz="8" w:color="0000EE"/>
            </w:tcBorders>
            <w:gridSpan w:val="32"/>
          </w:tcPr>
          <w:p>
            <w:pPr>
              <w:ind w:left="120"/>
              <w:spacing w:after="0"/>
              <w:rPr>
                <w:rFonts w:ascii="Arial" w:cs="Arial" w:eastAsia="Arial" w:hAnsi="Arial"/>
                <w:sz w:val="18"/>
                <w:szCs w:val="18"/>
                <w:color w:val="auto"/>
              </w:rPr>
            </w:pPr>
            <w:r>
              <w:rPr>
                <w:rFonts w:ascii="Arial" w:cs="Arial" w:eastAsia="Arial" w:hAnsi="Arial"/>
                <w:sz w:val="18"/>
                <w:szCs w:val="18"/>
                <w:color w:val="auto"/>
              </w:rPr>
              <w:t>1.</w:t>
            </w:r>
            <w:hyperlink w:anchor="page27">
              <w:r>
                <w:rPr>
                  <w:rFonts w:ascii="Arial" w:cs="Arial" w:eastAsia="Arial" w:hAnsi="Arial"/>
                  <w:sz w:val="18"/>
                  <w:szCs w:val="18"/>
                  <w:color w:val="auto"/>
                </w:rPr>
                <w:t>Overview</w:t>
              </w:r>
            </w:hyperlink>
          </w:p>
        </w:tc>
        <w:tc>
          <w:tcPr>
            <w:tcW w:w="332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gridSpan w:val="4"/>
            <w:shd w:val="clear" w:color="auto" w:fill="000000"/>
          </w:tcPr>
          <w:p>
            <w:pPr>
              <w:spacing w:after="0" w:line="20" w:lineRule="exact"/>
              <w:rPr>
                <w:sz w:val="1"/>
                <w:szCs w:val="1"/>
                <w:color w:val="auto"/>
              </w:rPr>
            </w:pPr>
          </w:p>
        </w:tc>
        <w:tc>
          <w:tcPr>
            <w:tcW w:w="360" w:type="dxa"/>
            <w:vAlign w:val="bottom"/>
            <w:tcBorders>
              <w:right w:val="single" w:sz="8" w:color="auto"/>
            </w:tcBorders>
            <w:gridSpan w:val="2"/>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60" w:type="dxa"/>
            <w:vAlign w:val="bottom"/>
            <w:gridSpan w:val="1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0" w:type="dxa"/>
            <w:vAlign w:val="bottom"/>
            <w:gridSpan w:val="5"/>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760" w:type="dxa"/>
            <w:vAlign w:val="bottom"/>
            <w:gridSpan w:val="33"/>
          </w:tcPr>
          <w:p>
            <w:pPr>
              <w:ind w:left="120"/>
              <w:spacing w:after="0"/>
              <w:rPr>
                <w:rFonts w:ascii="Arial" w:cs="Arial" w:eastAsia="Arial" w:hAnsi="Arial"/>
                <w:sz w:val="18"/>
                <w:szCs w:val="18"/>
                <w:color w:val="auto"/>
              </w:rPr>
            </w:pPr>
            <w:r>
              <w:rPr>
                <w:rFonts w:ascii="Arial" w:cs="Arial" w:eastAsia="Arial" w:hAnsi="Arial"/>
                <w:sz w:val="18"/>
                <w:szCs w:val="18"/>
                <w:color w:val="auto"/>
              </w:rPr>
              <w:t>2.</w:t>
            </w:r>
            <w:hyperlink w:anchor="page29">
              <w:r>
                <w:rPr>
                  <w:rFonts w:ascii="Arial" w:cs="Arial" w:eastAsia="Arial" w:hAnsi="Arial"/>
                  <w:sz w:val="18"/>
                  <w:szCs w:val="18"/>
                  <w:color w:val="auto"/>
                </w:rPr>
                <w:t>Results of Operations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gridSpan w:val="4"/>
            <w:shd w:val="clear" w:color="auto" w:fill="000000"/>
          </w:tcPr>
          <w:p>
            <w:pPr>
              <w:spacing w:after="0" w:line="20" w:lineRule="exact"/>
              <w:rPr>
                <w:sz w:val="1"/>
                <w:szCs w:val="1"/>
                <w:color w:val="auto"/>
              </w:rPr>
            </w:pPr>
          </w:p>
        </w:tc>
        <w:tc>
          <w:tcPr>
            <w:tcW w:w="360" w:type="dxa"/>
            <w:vAlign w:val="bottom"/>
            <w:tcBorders>
              <w:right w:val="single" w:sz="8" w:color="auto"/>
            </w:tcBorders>
            <w:gridSpan w:val="2"/>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440" w:type="dxa"/>
            <w:vAlign w:val="bottom"/>
            <w:gridSpan w:val="2"/>
            <w:shd w:val="clear" w:color="auto" w:fill="000000"/>
          </w:tcPr>
          <w:p>
            <w:pPr>
              <w:spacing w:after="0" w:line="20" w:lineRule="exact"/>
              <w:rPr>
                <w:sz w:val="1"/>
                <w:szCs w:val="1"/>
                <w:color w:val="auto"/>
              </w:rPr>
            </w:pPr>
          </w:p>
        </w:tc>
        <w:tc>
          <w:tcPr>
            <w:tcW w:w="260" w:type="dxa"/>
            <w:vAlign w:val="bottom"/>
            <w:tcBorders>
              <w:left w:val="single" w:sz="8" w:color="auto"/>
            </w:tcBorders>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60" w:type="dxa"/>
            <w:vAlign w:val="bottom"/>
            <w:gridSpan w:val="1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0" w:type="dxa"/>
            <w:vAlign w:val="bottom"/>
            <w:gridSpan w:val="5"/>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760" w:type="dxa"/>
            <w:vAlign w:val="bottom"/>
            <w:gridSpan w:val="33"/>
          </w:tcPr>
          <w:p>
            <w:pPr>
              <w:ind w:left="120"/>
              <w:spacing w:after="0"/>
              <w:rPr>
                <w:rFonts w:ascii="Arial" w:cs="Arial" w:eastAsia="Arial" w:hAnsi="Arial"/>
                <w:sz w:val="18"/>
                <w:szCs w:val="18"/>
                <w:color w:val="auto"/>
              </w:rPr>
            </w:pPr>
            <w:r>
              <w:rPr>
                <w:rFonts w:ascii="Arial" w:cs="Arial" w:eastAsia="Arial" w:hAnsi="Arial"/>
                <w:sz w:val="18"/>
                <w:szCs w:val="18"/>
                <w:color w:val="auto"/>
              </w:rPr>
              <w:t>3.</w:t>
            </w:r>
            <w:hyperlink w:anchor="page37">
              <w:r>
                <w:rPr>
                  <w:rFonts w:ascii="Arial" w:cs="Arial" w:eastAsia="Arial" w:hAnsi="Arial"/>
                  <w:sz w:val="18"/>
                  <w:szCs w:val="18"/>
                  <w:color w:val="auto"/>
                </w:rPr>
                <w:t>Non-GAAP Financial Measures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gridSpan w:val="4"/>
            <w:shd w:val="clear" w:color="auto" w:fill="000000"/>
          </w:tcPr>
          <w:p>
            <w:pPr>
              <w:spacing w:after="0" w:line="20" w:lineRule="exact"/>
              <w:rPr>
                <w:sz w:val="1"/>
                <w:szCs w:val="1"/>
                <w:color w:val="auto"/>
              </w:rPr>
            </w:pPr>
          </w:p>
        </w:tc>
        <w:tc>
          <w:tcPr>
            <w:tcW w:w="360" w:type="dxa"/>
            <w:vAlign w:val="bottom"/>
            <w:tcBorders>
              <w:right w:val="single" w:sz="8" w:color="auto"/>
            </w:tcBorders>
            <w:gridSpan w:val="2"/>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440" w:type="dxa"/>
            <w:vAlign w:val="bottom"/>
            <w:gridSpan w:val="2"/>
            <w:shd w:val="clear" w:color="auto" w:fill="000000"/>
          </w:tcPr>
          <w:p>
            <w:pPr>
              <w:spacing w:after="0" w:line="20" w:lineRule="exact"/>
              <w:rPr>
                <w:sz w:val="1"/>
                <w:szCs w:val="1"/>
                <w:color w:val="auto"/>
              </w:rPr>
            </w:pPr>
          </w:p>
        </w:tc>
        <w:tc>
          <w:tcPr>
            <w:tcW w:w="260" w:type="dxa"/>
            <w:vAlign w:val="bottom"/>
            <w:tcBorders>
              <w:left w:val="single" w:sz="8" w:color="auto"/>
            </w:tcBorders>
            <w:gridSpan w:val="2"/>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180" w:type="dxa"/>
            <w:vAlign w:val="bottom"/>
            <w:gridSpan w:val="3"/>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60" w:type="dxa"/>
            <w:vAlign w:val="bottom"/>
            <w:gridSpan w:val="1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0" w:type="dxa"/>
            <w:vAlign w:val="bottom"/>
            <w:gridSpan w:val="5"/>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760" w:type="dxa"/>
            <w:vAlign w:val="bottom"/>
            <w:gridSpan w:val="33"/>
          </w:tcPr>
          <w:p>
            <w:pPr>
              <w:ind w:left="120"/>
              <w:spacing w:after="0"/>
              <w:rPr>
                <w:rFonts w:ascii="Arial" w:cs="Arial" w:eastAsia="Arial" w:hAnsi="Arial"/>
                <w:sz w:val="18"/>
                <w:szCs w:val="18"/>
                <w:color w:val="auto"/>
              </w:rPr>
            </w:pPr>
            <w:r>
              <w:rPr>
                <w:rFonts w:ascii="Arial" w:cs="Arial" w:eastAsia="Arial" w:hAnsi="Arial"/>
                <w:sz w:val="18"/>
                <w:szCs w:val="18"/>
                <w:color w:val="auto"/>
              </w:rPr>
              <w:t>4.</w:t>
            </w:r>
            <w:hyperlink w:anchor="page38">
              <w:r>
                <w:rPr>
                  <w:rFonts w:ascii="Arial" w:cs="Arial" w:eastAsia="Arial" w:hAnsi="Arial"/>
                  <w:sz w:val="18"/>
                  <w:szCs w:val="18"/>
                  <w:color w:val="auto"/>
                </w:rPr>
                <w:t>Liquidity and Capital Resources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38</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gridSpan w:val="4"/>
            <w:shd w:val="clear" w:color="auto" w:fill="000000"/>
          </w:tcPr>
          <w:p>
            <w:pPr>
              <w:spacing w:after="0" w:line="20" w:lineRule="exact"/>
              <w:rPr>
                <w:sz w:val="1"/>
                <w:szCs w:val="1"/>
                <w:color w:val="auto"/>
              </w:rPr>
            </w:pPr>
          </w:p>
        </w:tc>
        <w:tc>
          <w:tcPr>
            <w:tcW w:w="360" w:type="dxa"/>
            <w:vAlign w:val="bottom"/>
            <w:tcBorders>
              <w:right w:val="single" w:sz="8" w:color="auto"/>
            </w:tcBorders>
            <w:gridSpan w:val="2"/>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440" w:type="dxa"/>
            <w:vAlign w:val="bottom"/>
            <w:gridSpan w:val="2"/>
            <w:shd w:val="clear" w:color="auto" w:fill="000000"/>
          </w:tcPr>
          <w:p>
            <w:pPr>
              <w:spacing w:after="0" w:line="20" w:lineRule="exact"/>
              <w:rPr>
                <w:sz w:val="1"/>
                <w:szCs w:val="1"/>
                <w:color w:val="auto"/>
              </w:rPr>
            </w:pPr>
          </w:p>
        </w:tc>
        <w:tc>
          <w:tcPr>
            <w:tcW w:w="260" w:type="dxa"/>
            <w:vAlign w:val="bottom"/>
            <w:tcBorders>
              <w:left w:val="single" w:sz="8" w:color="auto"/>
            </w:tcBorders>
            <w:gridSpan w:val="2"/>
            <w:shd w:val="clear" w:color="auto" w:fill="000000"/>
          </w:tcPr>
          <w:p>
            <w:pPr>
              <w:spacing w:after="0" w:line="20" w:lineRule="exact"/>
              <w:rPr>
                <w:sz w:val="1"/>
                <w:szCs w:val="1"/>
                <w:color w:val="auto"/>
              </w:rPr>
            </w:pPr>
          </w:p>
        </w:tc>
        <w:tc>
          <w:tcPr>
            <w:tcW w:w="360" w:type="dxa"/>
            <w:vAlign w:val="bottom"/>
            <w:tcBorders>
              <w:right w:val="single" w:sz="8" w:color="auto"/>
            </w:tcBorders>
            <w:shd w:val="clear" w:color="auto" w:fill="000000"/>
          </w:tcPr>
          <w:p>
            <w:pPr>
              <w:spacing w:after="0" w:line="20" w:lineRule="exact"/>
              <w:rPr>
                <w:sz w:val="1"/>
                <w:szCs w:val="1"/>
                <w:color w:val="auto"/>
              </w:rPr>
            </w:pPr>
          </w:p>
        </w:tc>
        <w:tc>
          <w:tcPr>
            <w:tcW w:w="200" w:type="dxa"/>
            <w:vAlign w:val="bottom"/>
            <w:gridSpan w:val="4"/>
            <w:shd w:val="clear" w:color="auto" w:fill="000000"/>
          </w:tcPr>
          <w:p>
            <w:pPr>
              <w:spacing w:after="0" w:line="20" w:lineRule="exact"/>
              <w:rPr>
                <w:sz w:val="1"/>
                <w:szCs w:val="1"/>
                <w:color w:val="auto"/>
              </w:rPr>
            </w:pPr>
          </w:p>
        </w:tc>
        <w:tc>
          <w:tcPr>
            <w:tcW w:w="1760" w:type="dxa"/>
            <w:vAlign w:val="bottom"/>
            <w:gridSpan w:val="1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0" w:type="dxa"/>
            <w:vAlign w:val="bottom"/>
            <w:gridSpan w:val="5"/>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920" w:type="dxa"/>
            <w:vAlign w:val="bottom"/>
            <w:gridSpan w:val="2"/>
          </w:tcPr>
          <w:p>
            <w:pPr>
              <w:spacing w:after="0"/>
              <w:rPr>
                <w:sz w:val="20"/>
                <w:szCs w:val="20"/>
                <w:color w:val="auto"/>
              </w:rPr>
            </w:pPr>
            <w:r>
              <w:rPr>
                <w:rFonts w:ascii="Arial" w:cs="Arial" w:eastAsia="Arial" w:hAnsi="Arial"/>
                <w:sz w:val="18"/>
                <w:szCs w:val="18"/>
                <w:color w:val="auto"/>
              </w:rPr>
              <w:t>Item 3.</w:t>
            </w:r>
          </w:p>
        </w:tc>
        <w:tc>
          <w:tcPr>
            <w:tcW w:w="4360" w:type="dxa"/>
            <w:vAlign w:val="bottom"/>
            <w:tcBorders>
              <w:bottom w:val="single" w:sz="8" w:color="0000EE"/>
            </w:tcBorders>
            <w:gridSpan w:val="28"/>
          </w:tcPr>
          <w:p>
            <w:pPr>
              <w:spacing w:after="0"/>
              <w:rPr>
                <w:rFonts w:ascii="Arial" w:cs="Arial" w:eastAsia="Arial" w:hAnsi="Arial"/>
                <w:sz w:val="18"/>
                <w:szCs w:val="18"/>
                <w:color w:val="0000EE"/>
                <w:w w:val="92"/>
              </w:rPr>
            </w:pPr>
            <w:hyperlink w:anchor="page43">
              <w:r>
                <w:rPr>
                  <w:rFonts w:ascii="Arial" w:cs="Arial" w:eastAsia="Arial" w:hAnsi="Arial"/>
                  <w:sz w:val="18"/>
                  <w:szCs w:val="18"/>
                  <w:color w:val="0000EE"/>
                  <w:w w:val="92"/>
                </w:rPr>
                <w:t>Quantitative and Qualitative Disclosures About Market Risk</w:t>
              </w:r>
            </w:hyperlink>
          </w:p>
        </w:tc>
        <w:tc>
          <w:tcPr>
            <w:tcW w:w="5400" w:type="dxa"/>
            <w:vAlign w:val="bottom"/>
            <w:gridSpan w:val="5"/>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43</w:t>
            </w:r>
          </w:p>
        </w:tc>
        <w:tc>
          <w:tcPr>
            <w:tcW w:w="0" w:type="dxa"/>
            <w:vAlign w:val="bottom"/>
          </w:tcPr>
          <w:p>
            <w:pPr>
              <w:spacing w:after="0"/>
              <w:rPr>
                <w:sz w:val="1"/>
                <w:szCs w:val="1"/>
                <w:color w:val="auto"/>
              </w:rPr>
            </w:pPr>
          </w:p>
        </w:tc>
      </w:tr>
      <w:tr>
        <w:trPr>
          <w:trHeight w:val="210"/>
        </w:trPr>
        <w:tc>
          <w:tcPr>
            <w:tcW w:w="920" w:type="dxa"/>
            <w:vAlign w:val="bottom"/>
            <w:gridSpan w:val="2"/>
          </w:tcPr>
          <w:p>
            <w:pPr>
              <w:spacing w:after="0"/>
              <w:rPr>
                <w:sz w:val="20"/>
                <w:szCs w:val="20"/>
                <w:color w:val="auto"/>
              </w:rPr>
            </w:pPr>
            <w:r>
              <w:rPr>
                <w:rFonts w:ascii="Arial" w:cs="Arial" w:eastAsia="Arial" w:hAnsi="Arial"/>
                <w:sz w:val="18"/>
                <w:szCs w:val="18"/>
                <w:color w:val="auto"/>
              </w:rPr>
              <w:t>Item 4.</w:t>
            </w:r>
          </w:p>
        </w:tc>
        <w:tc>
          <w:tcPr>
            <w:tcW w:w="9760" w:type="dxa"/>
            <w:vAlign w:val="bottom"/>
            <w:gridSpan w:val="33"/>
          </w:tcPr>
          <w:p>
            <w:pPr>
              <w:spacing w:after="0"/>
              <w:rPr>
                <w:rFonts w:ascii="Arial" w:cs="Arial" w:eastAsia="Arial" w:hAnsi="Arial"/>
                <w:sz w:val="18"/>
                <w:szCs w:val="18"/>
                <w:color w:val="0000EE"/>
              </w:rPr>
            </w:pPr>
            <w:hyperlink w:anchor="page43">
              <w:r>
                <w:rPr>
                  <w:rFonts w:ascii="Arial" w:cs="Arial" w:eastAsia="Arial" w:hAnsi="Arial"/>
                  <w:sz w:val="18"/>
                  <w:szCs w:val="18"/>
                  <w:color w:val="0000EE"/>
                </w:rPr>
                <w:t>Controls and Procedures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43</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gridSpan w:val="5"/>
            <w:shd w:val="clear" w:color="auto" w:fill="0000EE"/>
          </w:tcPr>
          <w:p>
            <w:pPr>
              <w:spacing w:after="0" w:line="20" w:lineRule="exact"/>
              <w:rPr>
                <w:sz w:val="1"/>
                <w:szCs w:val="1"/>
                <w:color w:val="auto"/>
              </w:rPr>
            </w:pPr>
          </w:p>
        </w:tc>
        <w:tc>
          <w:tcPr>
            <w:tcW w:w="360" w:type="dxa"/>
            <w:vAlign w:val="bottom"/>
            <w:tcBorders>
              <w:right w:val="single" w:sz="8" w:color="0000EE"/>
            </w:tcBorders>
            <w:gridSpan w:val="2"/>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960" w:type="dxa"/>
            <w:vAlign w:val="bottom"/>
            <w:gridSpan w:val="14"/>
          </w:tcPr>
          <w:p>
            <w:pPr>
              <w:spacing w:after="0" w:line="20" w:lineRule="exact"/>
              <w:rPr>
                <w:sz w:val="1"/>
                <w:szCs w:val="1"/>
                <w:color w:val="auto"/>
              </w:rPr>
            </w:pPr>
          </w:p>
        </w:tc>
        <w:tc>
          <w:tcPr>
            <w:tcW w:w="5420" w:type="dxa"/>
            <w:vAlign w:val="bottom"/>
            <w:gridSpan w:val="6"/>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920" w:type="dxa"/>
            <w:vAlign w:val="bottom"/>
            <w:gridSpan w:val="2"/>
          </w:tcPr>
          <w:p>
            <w:pPr>
              <w:spacing w:after="0"/>
              <w:rPr>
                <w:sz w:val="20"/>
                <w:szCs w:val="20"/>
                <w:color w:val="auto"/>
              </w:rPr>
            </w:pPr>
            <w:r>
              <w:rPr>
                <w:rFonts w:ascii="Arial" w:cs="Arial" w:eastAsia="Arial" w:hAnsi="Arial"/>
                <w:sz w:val="18"/>
                <w:szCs w:val="18"/>
                <w:b w:val="1"/>
                <w:bCs w:val="1"/>
                <w:color w:val="auto"/>
              </w:rPr>
              <w:t>PART II.</w:t>
            </w:r>
          </w:p>
        </w:tc>
        <w:tc>
          <w:tcPr>
            <w:tcW w:w="2020" w:type="dxa"/>
            <w:vAlign w:val="bottom"/>
            <w:tcBorders>
              <w:bottom w:val="single" w:sz="8" w:color="0000EE"/>
            </w:tcBorders>
            <w:gridSpan w:val="12"/>
          </w:tcPr>
          <w:p>
            <w:pPr>
              <w:spacing w:after="0"/>
              <w:rPr>
                <w:rFonts w:ascii="Arial" w:cs="Arial" w:eastAsia="Arial" w:hAnsi="Arial"/>
                <w:sz w:val="18"/>
                <w:szCs w:val="18"/>
                <w:b w:val="1"/>
                <w:bCs w:val="1"/>
                <w:color w:val="0000EE"/>
              </w:rPr>
            </w:pPr>
            <w:hyperlink w:anchor="page45">
              <w:r>
                <w:rPr>
                  <w:rFonts w:ascii="Arial" w:cs="Arial" w:eastAsia="Arial" w:hAnsi="Arial"/>
                  <w:sz w:val="18"/>
                  <w:szCs w:val="18"/>
                  <w:b w:val="1"/>
                  <w:bCs w:val="1"/>
                  <w:color w:val="0000EE"/>
                </w:rPr>
                <w:t>OTHER INFORMATION</w:t>
              </w:r>
            </w:hyperlink>
          </w:p>
        </w:tc>
        <w:tc>
          <w:tcPr>
            <w:tcW w:w="7740" w:type="dxa"/>
            <w:vAlign w:val="bottom"/>
            <w:gridSpan w:val="21"/>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9"/>
        </w:trPr>
        <w:tc>
          <w:tcPr>
            <w:tcW w:w="920" w:type="dxa"/>
            <w:vAlign w:val="bottom"/>
            <w:gridSpan w:val="2"/>
          </w:tcPr>
          <w:p>
            <w:pPr>
              <w:spacing w:after="0"/>
              <w:rPr>
                <w:sz w:val="20"/>
                <w:szCs w:val="20"/>
                <w:color w:val="auto"/>
              </w:rPr>
            </w:pPr>
            <w:r>
              <w:rPr>
                <w:rFonts w:ascii="Arial" w:cs="Arial" w:eastAsia="Arial" w:hAnsi="Arial"/>
                <w:sz w:val="18"/>
                <w:szCs w:val="18"/>
                <w:color w:val="auto"/>
              </w:rPr>
              <w:t>Item 1.</w:t>
            </w:r>
          </w:p>
        </w:tc>
        <w:tc>
          <w:tcPr>
            <w:tcW w:w="9760" w:type="dxa"/>
            <w:vAlign w:val="bottom"/>
            <w:gridSpan w:val="33"/>
          </w:tcPr>
          <w:p>
            <w:pPr>
              <w:spacing w:after="0"/>
              <w:rPr>
                <w:rFonts w:ascii="Arial" w:cs="Arial" w:eastAsia="Arial" w:hAnsi="Arial"/>
                <w:sz w:val="18"/>
                <w:szCs w:val="18"/>
                <w:color w:val="0000EE"/>
              </w:rPr>
            </w:pPr>
            <w:hyperlink w:anchor="page45">
              <w:r>
                <w:rPr>
                  <w:rFonts w:ascii="Arial" w:cs="Arial" w:eastAsia="Arial" w:hAnsi="Arial"/>
                  <w:sz w:val="18"/>
                  <w:szCs w:val="18"/>
                  <w:color w:val="0000EE"/>
                </w:rPr>
                <w:t>Legal Proceedings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09"/>
        </w:trPr>
        <w:tc>
          <w:tcPr>
            <w:tcW w:w="920" w:type="dxa"/>
            <w:vAlign w:val="bottom"/>
            <w:gridSpan w:val="2"/>
          </w:tcPr>
          <w:p>
            <w:pPr>
              <w:spacing w:after="0"/>
              <w:rPr>
                <w:sz w:val="20"/>
                <w:szCs w:val="20"/>
                <w:color w:val="auto"/>
              </w:rPr>
            </w:pPr>
            <w:r>
              <w:rPr>
                <w:rFonts w:ascii="Arial" w:cs="Arial" w:eastAsia="Arial" w:hAnsi="Arial"/>
                <w:sz w:val="18"/>
                <w:szCs w:val="18"/>
                <w:color w:val="auto"/>
              </w:rPr>
              <w:t>Item 1A.</w:t>
            </w:r>
          </w:p>
        </w:tc>
        <w:tc>
          <w:tcPr>
            <w:tcW w:w="960" w:type="dxa"/>
            <w:vAlign w:val="bottom"/>
            <w:tcBorders>
              <w:top w:val="single" w:sz="8" w:color="0000EE"/>
              <w:bottom w:val="single" w:sz="8" w:color="0000EE"/>
            </w:tcBorders>
            <w:gridSpan w:val="7"/>
          </w:tcPr>
          <w:p>
            <w:pPr>
              <w:spacing w:after="0"/>
              <w:rPr>
                <w:rFonts w:ascii="Arial" w:cs="Arial" w:eastAsia="Arial" w:hAnsi="Arial"/>
                <w:sz w:val="18"/>
                <w:szCs w:val="18"/>
                <w:color w:val="0000EE"/>
                <w:w w:val="91"/>
              </w:rPr>
            </w:pPr>
            <w:hyperlink w:anchor="page45">
              <w:r>
                <w:rPr>
                  <w:rFonts w:ascii="Arial" w:cs="Arial" w:eastAsia="Arial" w:hAnsi="Arial"/>
                  <w:sz w:val="18"/>
                  <w:szCs w:val="18"/>
                  <w:color w:val="0000EE"/>
                  <w:w w:val="91"/>
                </w:rPr>
                <w:t>Risk Factors</w:t>
              </w:r>
            </w:hyperlink>
          </w:p>
        </w:tc>
        <w:tc>
          <w:tcPr>
            <w:tcW w:w="360" w:type="dxa"/>
            <w:vAlign w:val="bottom"/>
            <w:tcBorders>
              <w:top w:val="single" w:sz="8" w:color="0000EE"/>
            </w:tcBorders>
          </w:tcPr>
          <w:p>
            <w:pPr>
              <w:spacing w:after="0"/>
              <w:rPr>
                <w:sz w:val="18"/>
                <w:szCs w:val="18"/>
                <w:color w:val="auto"/>
              </w:rPr>
            </w:pPr>
          </w:p>
        </w:tc>
        <w:tc>
          <w:tcPr>
            <w:tcW w:w="8440" w:type="dxa"/>
            <w:vAlign w:val="bottom"/>
            <w:gridSpan w:val="25"/>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10"/>
        </w:trPr>
        <w:tc>
          <w:tcPr>
            <w:tcW w:w="920" w:type="dxa"/>
            <w:vAlign w:val="bottom"/>
            <w:gridSpan w:val="2"/>
          </w:tcPr>
          <w:p>
            <w:pPr>
              <w:spacing w:after="0"/>
              <w:rPr>
                <w:sz w:val="20"/>
                <w:szCs w:val="20"/>
                <w:color w:val="auto"/>
              </w:rPr>
            </w:pPr>
            <w:r>
              <w:rPr>
                <w:rFonts w:ascii="Arial" w:cs="Arial" w:eastAsia="Arial" w:hAnsi="Arial"/>
                <w:sz w:val="18"/>
                <w:szCs w:val="18"/>
                <w:color w:val="auto"/>
              </w:rPr>
              <w:t>Item 2.</w:t>
            </w:r>
          </w:p>
        </w:tc>
        <w:tc>
          <w:tcPr>
            <w:tcW w:w="4340" w:type="dxa"/>
            <w:vAlign w:val="bottom"/>
            <w:tcBorders>
              <w:bottom w:val="single" w:sz="8" w:color="0000EE"/>
            </w:tcBorders>
            <w:gridSpan w:val="27"/>
          </w:tcPr>
          <w:p>
            <w:pPr>
              <w:spacing w:after="0"/>
              <w:rPr>
                <w:rFonts w:ascii="Arial" w:cs="Arial" w:eastAsia="Arial" w:hAnsi="Arial"/>
                <w:sz w:val="18"/>
                <w:szCs w:val="18"/>
                <w:color w:val="0000EE"/>
                <w:w w:val="89"/>
              </w:rPr>
            </w:pPr>
            <w:hyperlink w:anchor="page45">
              <w:r>
                <w:rPr>
                  <w:rFonts w:ascii="Arial" w:cs="Arial" w:eastAsia="Arial" w:hAnsi="Arial"/>
                  <w:sz w:val="18"/>
                  <w:szCs w:val="18"/>
                  <w:color w:val="0000EE"/>
                  <w:w w:val="89"/>
                </w:rPr>
                <w:t>Unregistered Sales of Equity Securities and Use of Proceeds</w:t>
              </w:r>
            </w:hyperlink>
          </w:p>
        </w:tc>
        <w:tc>
          <w:tcPr>
            <w:tcW w:w="5420" w:type="dxa"/>
            <w:vAlign w:val="bottom"/>
            <w:gridSpan w:val="6"/>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10"/>
        </w:trPr>
        <w:tc>
          <w:tcPr>
            <w:tcW w:w="920" w:type="dxa"/>
            <w:vAlign w:val="bottom"/>
            <w:gridSpan w:val="2"/>
          </w:tcPr>
          <w:p>
            <w:pPr>
              <w:spacing w:after="0"/>
              <w:rPr>
                <w:sz w:val="20"/>
                <w:szCs w:val="20"/>
                <w:color w:val="auto"/>
              </w:rPr>
            </w:pPr>
            <w:r>
              <w:rPr>
                <w:rFonts w:ascii="Arial" w:cs="Arial" w:eastAsia="Arial" w:hAnsi="Arial"/>
                <w:sz w:val="18"/>
                <w:szCs w:val="18"/>
                <w:color w:val="auto"/>
              </w:rPr>
              <w:t>Item 3.</w:t>
            </w:r>
          </w:p>
        </w:tc>
        <w:tc>
          <w:tcPr>
            <w:tcW w:w="2380" w:type="dxa"/>
            <w:vAlign w:val="bottom"/>
            <w:tcBorders>
              <w:bottom w:val="single" w:sz="8" w:color="0000EE"/>
            </w:tcBorders>
            <w:gridSpan w:val="13"/>
          </w:tcPr>
          <w:p>
            <w:pPr>
              <w:spacing w:after="0"/>
              <w:rPr>
                <w:rFonts w:ascii="Arial" w:cs="Arial" w:eastAsia="Arial" w:hAnsi="Arial"/>
                <w:sz w:val="18"/>
                <w:szCs w:val="18"/>
                <w:color w:val="0000EE"/>
                <w:w w:val="91"/>
              </w:rPr>
            </w:pPr>
            <w:hyperlink w:anchor="page45">
              <w:r>
                <w:rPr>
                  <w:rFonts w:ascii="Arial" w:cs="Arial" w:eastAsia="Arial" w:hAnsi="Arial"/>
                  <w:sz w:val="18"/>
                  <w:szCs w:val="18"/>
                  <w:color w:val="0000EE"/>
                  <w:w w:val="91"/>
                </w:rPr>
                <w:t>Defaults Upon Senior Securities</w:t>
              </w:r>
            </w:hyperlink>
          </w:p>
        </w:tc>
        <w:tc>
          <w:tcPr>
            <w:tcW w:w="7380" w:type="dxa"/>
            <w:vAlign w:val="bottom"/>
            <w:gridSpan w:val="20"/>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10"/>
        </w:trPr>
        <w:tc>
          <w:tcPr>
            <w:tcW w:w="920" w:type="dxa"/>
            <w:vAlign w:val="bottom"/>
            <w:gridSpan w:val="2"/>
          </w:tcPr>
          <w:p>
            <w:pPr>
              <w:spacing w:after="0"/>
              <w:rPr>
                <w:sz w:val="20"/>
                <w:szCs w:val="20"/>
                <w:color w:val="auto"/>
              </w:rPr>
            </w:pPr>
            <w:r>
              <w:rPr>
                <w:rFonts w:ascii="Arial" w:cs="Arial" w:eastAsia="Arial" w:hAnsi="Arial"/>
                <w:sz w:val="18"/>
                <w:szCs w:val="18"/>
                <w:color w:val="auto"/>
              </w:rPr>
              <w:t>Item 4.</w:t>
            </w:r>
          </w:p>
        </w:tc>
        <w:tc>
          <w:tcPr>
            <w:tcW w:w="9760" w:type="dxa"/>
            <w:vAlign w:val="bottom"/>
            <w:gridSpan w:val="33"/>
          </w:tcPr>
          <w:p>
            <w:pPr>
              <w:spacing w:after="0"/>
              <w:rPr>
                <w:rFonts w:ascii="Arial" w:cs="Arial" w:eastAsia="Arial" w:hAnsi="Arial"/>
                <w:sz w:val="18"/>
                <w:szCs w:val="18"/>
                <w:color w:val="0000EE"/>
              </w:rPr>
            </w:pPr>
            <w:hyperlink w:anchor="page45">
              <w:r>
                <w:rPr>
                  <w:rFonts w:ascii="Arial" w:cs="Arial" w:eastAsia="Arial" w:hAnsi="Arial"/>
                  <w:sz w:val="18"/>
                  <w:szCs w:val="18"/>
                  <w:color w:val="0000EE"/>
                </w:rPr>
                <w:t>Mine Safety Disclosures</w:t>
              </w:r>
            </w:hyperlink>
          </w:p>
        </w:tc>
        <w:tc>
          <w:tcPr>
            <w:tcW w:w="560" w:type="dxa"/>
            <w:vAlign w:val="bottom"/>
          </w:tcPr>
          <w:p>
            <w:pPr>
              <w:jc w:val="right"/>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09"/>
        </w:trPr>
        <w:tc>
          <w:tcPr>
            <w:tcW w:w="920" w:type="dxa"/>
            <w:vAlign w:val="bottom"/>
            <w:gridSpan w:val="2"/>
          </w:tcPr>
          <w:p>
            <w:pPr>
              <w:spacing w:after="0"/>
              <w:rPr>
                <w:sz w:val="20"/>
                <w:szCs w:val="20"/>
                <w:color w:val="auto"/>
              </w:rPr>
            </w:pPr>
            <w:r>
              <w:rPr>
                <w:rFonts w:ascii="Arial" w:cs="Arial" w:eastAsia="Arial" w:hAnsi="Arial"/>
                <w:sz w:val="18"/>
                <w:szCs w:val="18"/>
                <w:color w:val="auto"/>
              </w:rPr>
              <w:t>Item 5.</w:t>
            </w:r>
          </w:p>
        </w:tc>
        <w:tc>
          <w:tcPr>
            <w:tcW w:w="1760" w:type="dxa"/>
            <w:vAlign w:val="bottom"/>
            <w:tcBorders>
              <w:top w:val="single" w:sz="8" w:color="0000EE"/>
            </w:tcBorders>
            <w:gridSpan w:val="10"/>
          </w:tcPr>
          <w:p>
            <w:pPr>
              <w:spacing w:after="0"/>
              <w:rPr>
                <w:rFonts w:ascii="Arial" w:cs="Arial" w:eastAsia="Arial" w:hAnsi="Arial"/>
                <w:sz w:val="18"/>
                <w:szCs w:val="18"/>
                <w:color w:val="0000EE"/>
              </w:rPr>
            </w:pPr>
            <w:hyperlink w:anchor="page45">
              <w:r>
                <w:rPr>
                  <w:rFonts w:ascii="Arial" w:cs="Arial" w:eastAsia="Arial" w:hAnsi="Arial"/>
                  <w:sz w:val="18"/>
                  <w:szCs w:val="18"/>
                  <w:color w:val="0000EE"/>
                </w:rPr>
                <w:t>Other Information</w:t>
              </w:r>
            </w:hyperlink>
          </w:p>
        </w:tc>
        <w:tc>
          <w:tcPr>
            <w:tcW w:w="8000" w:type="dxa"/>
            <w:vAlign w:val="bottom"/>
            <w:gridSpan w:val="23"/>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10"/>
        </w:trPr>
        <w:tc>
          <w:tcPr>
            <w:tcW w:w="920" w:type="dxa"/>
            <w:vAlign w:val="bottom"/>
            <w:gridSpan w:val="2"/>
          </w:tcPr>
          <w:p>
            <w:pPr>
              <w:spacing w:after="0"/>
              <w:rPr>
                <w:sz w:val="20"/>
                <w:szCs w:val="20"/>
                <w:color w:val="auto"/>
              </w:rPr>
            </w:pPr>
            <w:r>
              <w:rPr>
                <w:rFonts w:ascii="Arial" w:cs="Arial" w:eastAsia="Arial" w:hAnsi="Arial"/>
                <w:sz w:val="18"/>
                <w:szCs w:val="18"/>
                <w:color w:val="auto"/>
              </w:rPr>
              <w:t>Item 6.</w:t>
            </w:r>
          </w:p>
        </w:tc>
        <w:tc>
          <w:tcPr>
            <w:tcW w:w="1320" w:type="dxa"/>
            <w:vAlign w:val="bottom"/>
            <w:tcBorders>
              <w:top w:val="single" w:sz="8" w:color="0000EE"/>
            </w:tcBorders>
            <w:gridSpan w:val="8"/>
          </w:tcPr>
          <w:p>
            <w:pPr>
              <w:spacing w:after="0"/>
              <w:rPr>
                <w:rFonts w:ascii="Arial" w:cs="Arial" w:eastAsia="Arial" w:hAnsi="Arial"/>
                <w:sz w:val="18"/>
                <w:szCs w:val="18"/>
                <w:color w:val="0000EE"/>
              </w:rPr>
            </w:pPr>
            <w:hyperlink w:anchor="page45">
              <w:r>
                <w:rPr>
                  <w:rFonts w:ascii="Arial" w:cs="Arial" w:eastAsia="Arial" w:hAnsi="Arial"/>
                  <w:sz w:val="18"/>
                  <w:szCs w:val="18"/>
                  <w:color w:val="0000EE"/>
                </w:rPr>
                <w:t>Exhibits</w:t>
              </w:r>
            </w:hyperlink>
          </w:p>
        </w:tc>
        <w:tc>
          <w:tcPr>
            <w:tcW w:w="8440" w:type="dxa"/>
            <w:vAlign w:val="bottom"/>
            <w:gridSpan w:val="25"/>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439"/>
        </w:trPr>
        <w:tc>
          <w:tcPr>
            <w:tcW w:w="920" w:type="dxa"/>
            <w:vAlign w:val="bottom"/>
            <w:gridSpan w:val="2"/>
          </w:tcPr>
          <w:p>
            <w:pPr>
              <w:spacing w:after="0"/>
              <w:rPr>
                <w:rFonts w:ascii="Arial" w:cs="Arial" w:eastAsia="Arial" w:hAnsi="Arial"/>
                <w:sz w:val="18"/>
                <w:szCs w:val="18"/>
                <w:color w:val="0000EE"/>
              </w:rPr>
            </w:pPr>
            <w:hyperlink w:anchor="page46">
              <w:r>
                <w:rPr>
                  <w:rFonts w:ascii="Arial" w:cs="Arial" w:eastAsia="Arial" w:hAnsi="Arial"/>
                  <w:sz w:val="18"/>
                  <w:szCs w:val="18"/>
                  <w:color w:val="0000EE"/>
                </w:rPr>
                <w:t>Signatures</w:t>
              </w:r>
            </w:hyperlink>
          </w:p>
        </w:tc>
        <w:tc>
          <w:tcPr>
            <w:tcW w:w="24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46</w:t>
            </w:r>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07"/>
        </w:trPr>
        <w:tc>
          <w:tcPr>
            <w:tcW w:w="6600" w:type="dxa"/>
            <w:vAlign w:val="bottom"/>
            <w:gridSpan w:val="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Table of Contents</w:t>
              </w:r>
            </w:hyperlink>
          </w:p>
        </w:tc>
        <w:tc>
          <w:tcPr>
            <w:tcW w:w="1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668"/>
        </w:trPr>
        <w:tc>
          <w:tcPr>
            <w:tcW w:w="1280" w:type="dxa"/>
            <w:vAlign w:val="bottom"/>
            <w:tcBorders>
              <w:top w:val="single" w:sz="8" w:color="0000EE"/>
            </w:tcBorders>
          </w:tcPr>
          <w:p>
            <w:pPr>
              <w:spacing w:after="0"/>
              <w:rPr>
                <w:sz w:val="24"/>
                <w:szCs w:val="24"/>
                <w:color w:val="auto"/>
              </w:rPr>
            </w:pPr>
          </w:p>
        </w:tc>
        <w:tc>
          <w:tcPr>
            <w:tcW w:w="5980" w:type="dxa"/>
            <w:vAlign w:val="bottom"/>
            <w:gridSpan w:val="3"/>
          </w:tcPr>
          <w:p>
            <w:pPr>
              <w:jc w:val="center"/>
              <w:ind w:left="2610"/>
              <w:spacing w:after="0"/>
              <w:rPr>
                <w:sz w:val="20"/>
                <w:szCs w:val="20"/>
                <w:color w:val="auto"/>
              </w:rPr>
            </w:pPr>
            <w:r>
              <w:rPr>
                <w:rFonts w:ascii="Arial" w:cs="Arial" w:eastAsia="Arial" w:hAnsi="Arial"/>
                <w:sz w:val="18"/>
                <w:szCs w:val="18"/>
                <w:b w:val="1"/>
                <w:bCs w:val="1"/>
                <w:color w:val="auto"/>
              </w:rPr>
              <w:t>PART I—FINANCIAL INFORMATION</w:t>
            </w:r>
          </w:p>
        </w:tc>
        <w:tc>
          <w:tcPr>
            <w:tcW w:w="1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6600" w:type="dxa"/>
            <w:vAlign w:val="bottom"/>
            <w:gridSpan w:val="2"/>
          </w:tcPr>
          <w:p>
            <w:pPr>
              <w:spacing w:after="0"/>
              <w:rPr>
                <w:sz w:val="20"/>
                <w:szCs w:val="20"/>
                <w:color w:val="auto"/>
              </w:rPr>
            </w:pPr>
            <w:r>
              <w:rPr>
                <w:rFonts w:ascii="Arial" w:cs="Arial" w:eastAsia="Arial" w:hAnsi="Arial"/>
                <w:sz w:val="18"/>
                <w:szCs w:val="18"/>
                <w:b w:val="1"/>
                <w:bCs w:val="1"/>
                <w:color w:val="auto"/>
              </w:rPr>
              <w:t>Item 1. Financial Statements.</w:t>
            </w: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1280" w:type="dxa"/>
            <w:vAlign w:val="bottom"/>
          </w:tcPr>
          <w:p>
            <w:pPr>
              <w:spacing w:after="0"/>
              <w:rPr>
                <w:sz w:val="24"/>
                <w:szCs w:val="24"/>
                <w:color w:val="auto"/>
              </w:rPr>
            </w:pPr>
          </w:p>
        </w:tc>
        <w:tc>
          <w:tcPr>
            <w:tcW w:w="5320" w:type="dxa"/>
            <w:vAlign w:val="bottom"/>
          </w:tcPr>
          <w:p>
            <w:pPr>
              <w:jc w:val="center"/>
              <w:ind w:left="3270"/>
              <w:spacing w:after="0"/>
              <w:rPr>
                <w:sz w:val="20"/>
                <w:szCs w:val="20"/>
                <w:color w:val="auto"/>
              </w:rPr>
            </w:pPr>
            <w:r>
              <w:rPr>
                <w:rFonts w:ascii="Arial" w:cs="Arial" w:eastAsia="Arial" w:hAnsi="Arial"/>
                <w:sz w:val="18"/>
                <w:szCs w:val="18"/>
                <w:b w:val="1"/>
                <w:bCs w:val="1"/>
                <w:color w:val="auto"/>
                <w:w w:val="94"/>
              </w:rPr>
              <w:t>Uniti Group Inc.</w:t>
            </w: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1280" w:type="dxa"/>
            <w:vAlign w:val="bottom"/>
          </w:tcPr>
          <w:p>
            <w:pPr>
              <w:spacing w:after="0"/>
              <w:rPr>
                <w:sz w:val="20"/>
                <w:szCs w:val="20"/>
                <w:color w:val="auto"/>
              </w:rPr>
            </w:pPr>
          </w:p>
        </w:tc>
        <w:tc>
          <w:tcPr>
            <w:tcW w:w="5980" w:type="dxa"/>
            <w:vAlign w:val="bottom"/>
            <w:gridSpan w:val="3"/>
          </w:tcPr>
          <w:p>
            <w:pPr>
              <w:jc w:val="center"/>
              <w:ind w:left="2630"/>
              <w:spacing w:after="0"/>
              <w:rPr>
                <w:sz w:val="20"/>
                <w:szCs w:val="20"/>
                <w:color w:val="auto"/>
              </w:rPr>
            </w:pPr>
            <w:r>
              <w:rPr>
                <w:rFonts w:ascii="Arial" w:cs="Arial" w:eastAsia="Arial" w:hAnsi="Arial"/>
                <w:sz w:val="18"/>
                <w:szCs w:val="18"/>
                <w:b w:val="1"/>
                <w:bCs w:val="1"/>
                <w:color w:val="auto"/>
                <w:w w:val="87"/>
              </w:rPr>
              <w:t>Condensed Consolidated Balance Sheets</w:t>
            </w:r>
          </w:p>
        </w:tc>
        <w:tc>
          <w:tcPr>
            <w:tcW w:w="1800" w:type="dxa"/>
            <w:vAlign w:val="bottom"/>
            <w:gridSpan w:val="2"/>
            <w:vMerge w:val="restart"/>
          </w:tcPr>
          <w:p>
            <w:pPr>
              <w:jc w:val="right"/>
              <w:ind w:right="840"/>
              <w:spacing w:after="0"/>
              <w:rPr>
                <w:sz w:val="20"/>
                <w:szCs w:val="20"/>
                <w:color w:val="auto"/>
              </w:rPr>
            </w:pPr>
            <w:r>
              <w:rPr>
                <w:rFonts w:ascii="Arial" w:cs="Arial" w:eastAsia="Arial" w:hAnsi="Arial"/>
                <w:sz w:val="18"/>
                <w:szCs w:val="18"/>
                <w:b w:val="1"/>
                <w:bCs w:val="1"/>
                <w:color w:val="auto"/>
                <w:w w:val="93"/>
              </w:rPr>
              <w:t>(Unaudited)</w:t>
            </w:r>
          </w:p>
        </w:tc>
        <w:tc>
          <w:tcPr>
            <w:tcW w:w="18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1"/>
        </w:trPr>
        <w:tc>
          <w:tcPr>
            <w:tcW w:w="1280" w:type="dxa"/>
            <w:vAlign w:val="bottom"/>
          </w:tcPr>
          <w:p>
            <w:pPr>
              <w:spacing w:after="0"/>
              <w:rPr>
                <w:sz w:val="18"/>
                <w:szCs w:val="18"/>
                <w:color w:val="auto"/>
              </w:rPr>
            </w:pPr>
          </w:p>
        </w:tc>
        <w:tc>
          <w:tcPr>
            <w:tcW w:w="5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800" w:type="dxa"/>
            <w:vAlign w:val="bottom"/>
            <w:gridSpan w:val="2"/>
            <w:vMerge w:val="continue"/>
          </w:tcPr>
          <w:p>
            <w:pPr>
              <w:spacing w:after="0"/>
              <w:rPr>
                <w:sz w:val="18"/>
                <w:szCs w:val="18"/>
                <w:color w:val="auto"/>
              </w:rPr>
            </w:pPr>
          </w:p>
        </w:tc>
        <w:tc>
          <w:tcPr>
            <w:tcW w:w="18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6600" w:type="dxa"/>
            <w:vAlign w:val="bottom"/>
            <w:gridSpan w:val="2"/>
          </w:tcPr>
          <w:p>
            <w:pPr>
              <w:spacing w:after="0"/>
              <w:rPr>
                <w:sz w:val="20"/>
                <w:szCs w:val="20"/>
                <w:color w:val="auto"/>
              </w:rPr>
            </w:pPr>
            <w:r>
              <w:rPr>
                <w:rFonts w:ascii="Arial" w:cs="Arial" w:eastAsia="Arial" w:hAnsi="Arial"/>
                <w:sz w:val="18"/>
                <w:szCs w:val="18"/>
                <w:color w:val="auto"/>
              </w:rPr>
              <w:t>(Thousands, except par value)</w:t>
            </w:r>
          </w:p>
        </w:tc>
        <w:tc>
          <w:tcPr>
            <w:tcW w:w="140" w:type="dxa"/>
            <w:vAlign w:val="bottom"/>
          </w:tcPr>
          <w:p>
            <w:pPr>
              <w:spacing w:after="0"/>
              <w:rPr>
                <w:sz w:val="20"/>
                <w:szCs w:val="20"/>
                <w:color w:val="auto"/>
              </w:rPr>
            </w:pPr>
          </w:p>
        </w:tc>
        <w:tc>
          <w:tcPr>
            <w:tcW w:w="2320" w:type="dxa"/>
            <w:vAlign w:val="bottom"/>
            <w:gridSpan w:val="3"/>
          </w:tcPr>
          <w:p>
            <w:pPr>
              <w:jc w:val="right"/>
              <w:ind w:right="700"/>
              <w:spacing w:after="0"/>
              <w:rPr>
                <w:sz w:val="20"/>
                <w:szCs w:val="20"/>
                <w:color w:val="auto"/>
              </w:rPr>
            </w:pPr>
            <w:r>
              <w:rPr>
                <w:rFonts w:ascii="Arial" w:cs="Arial" w:eastAsia="Arial" w:hAnsi="Arial"/>
                <w:sz w:val="18"/>
                <w:szCs w:val="18"/>
                <w:b w:val="1"/>
                <w:bCs w:val="1"/>
                <w:color w:val="auto"/>
              </w:rPr>
              <w:t>March 31, 2022</w:t>
            </w:r>
          </w:p>
        </w:tc>
        <w:tc>
          <w:tcPr>
            <w:tcW w:w="180" w:type="dxa"/>
            <w:vAlign w:val="bottom"/>
          </w:tcPr>
          <w:p>
            <w:pPr>
              <w:spacing w:after="0"/>
              <w:rPr>
                <w:sz w:val="20"/>
                <w:szCs w:val="20"/>
                <w:color w:val="auto"/>
              </w:rPr>
            </w:pPr>
          </w:p>
        </w:tc>
        <w:tc>
          <w:tcPr>
            <w:tcW w:w="2000" w:type="dxa"/>
            <w:vAlign w:val="bottom"/>
            <w:gridSpan w:val="2"/>
          </w:tcPr>
          <w:p>
            <w:pPr>
              <w:jc w:val="right"/>
              <w:ind w:right="440"/>
              <w:spacing w:after="0"/>
              <w:rPr>
                <w:sz w:val="20"/>
                <w:szCs w:val="20"/>
                <w:color w:val="auto"/>
              </w:rPr>
            </w:pPr>
            <w:r>
              <w:rPr>
                <w:rFonts w:ascii="Arial" w:cs="Arial" w:eastAsia="Arial" w:hAnsi="Arial"/>
                <w:sz w:val="18"/>
                <w:szCs w:val="18"/>
                <w:b w:val="1"/>
                <w:bCs w:val="1"/>
                <w:color w:val="auto"/>
                <w:w w:val="94"/>
              </w:rPr>
              <w:t>December 31, 2021</w:t>
            </w:r>
          </w:p>
        </w:tc>
        <w:tc>
          <w:tcPr>
            <w:tcW w:w="0" w:type="dxa"/>
            <w:vAlign w:val="bottom"/>
          </w:tcPr>
          <w:p>
            <w:pPr>
              <w:spacing w:after="0"/>
              <w:rPr>
                <w:sz w:val="1"/>
                <w:szCs w:val="1"/>
                <w:color w:val="auto"/>
              </w:rPr>
            </w:pPr>
          </w:p>
        </w:tc>
      </w:tr>
      <w:tr>
        <w:trPr>
          <w:trHeight w:val="223"/>
        </w:trPr>
        <w:tc>
          <w:tcPr>
            <w:tcW w:w="6600" w:type="dxa"/>
            <w:vAlign w:val="bottom"/>
            <w:tcBorders>
              <w:top w:val="single" w:sz="8" w:color="auto"/>
            </w:tcBorders>
            <w:gridSpan w:val="2"/>
            <w:shd w:val="clear" w:color="auto" w:fill="CFF0FC"/>
          </w:tcPr>
          <w:p>
            <w:pPr>
              <w:spacing w:after="0"/>
              <w:rPr>
                <w:sz w:val="20"/>
                <w:szCs w:val="20"/>
                <w:color w:val="auto"/>
              </w:rPr>
            </w:pPr>
            <w:r>
              <w:rPr>
                <w:rFonts w:ascii="Arial" w:cs="Arial" w:eastAsia="Arial" w:hAnsi="Arial"/>
                <w:sz w:val="18"/>
                <w:szCs w:val="18"/>
                <w:b w:val="1"/>
                <w:bCs w:val="1"/>
                <w:color w:val="auto"/>
              </w:rPr>
              <w:t>Assets:</w:t>
            </w:r>
          </w:p>
        </w:tc>
        <w:tc>
          <w:tcPr>
            <w:tcW w:w="140" w:type="dxa"/>
            <w:vAlign w:val="bottom"/>
            <w:tcBorders>
              <w:top w:val="single" w:sz="8" w:color="CFF0FC"/>
            </w:tcBorders>
            <w:shd w:val="clear" w:color="auto" w:fill="CFF0FC"/>
          </w:tcPr>
          <w:p>
            <w:pPr>
              <w:spacing w:after="0"/>
              <w:rPr>
                <w:sz w:val="19"/>
                <w:szCs w:val="19"/>
                <w:color w:val="auto"/>
              </w:rPr>
            </w:pPr>
          </w:p>
        </w:tc>
        <w:tc>
          <w:tcPr>
            <w:tcW w:w="520" w:type="dxa"/>
            <w:vAlign w:val="bottom"/>
            <w:tcBorders>
              <w:top w:val="single" w:sz="8" w:color="auto"/>
            </w:tcBorders>
            <w:shd w:val="clear" w:color="auto" w:fill="CFF0FC"/>
          </w:tcPr>
          <w:p>
            <w:pPr>
              <w:spacing w:after="0"/>
              <w:rPr>
                <w:sz w:val="19"/>
                <w:szCs w:val="19"/>
                <w:color w:val="auto"/>
              </w:rPr>
            </w:pPr>
          </w:p>
        </w:tc>
        <w:tc>
          <w:tcPr>
            <w:tcW w:w="1540" w:type="dxa"/>
            <w:vAlign w:val="bottom"/>
            <w:tcBorders>
              <w:top w:val="single" w:sz="8" w:color="auto"/>
            </w:tcBorders>
            <w:shd w:val="clear" w:color="auto" w:fill="CFF0FC"/>
          </w:tcPr>
          <w:p>
            <w:pPr>
              <w:spacing w:after="0"/>
              <w:rPr>
                <w:sz w:val="19"/>
                <w:szCs w:val="19"/>
                <w:color w:val="auto"/>
              </w:rPr>
            </w:pPr>
          </w:p>
        </w:tc>
        <w:tc>
          <w:tcPr>
            <w:tcW w:w="26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188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600" w:type="dxa"/>
            <w:vAlign w:val="bottom"/>
            <w:gridSpan w:val="2"/>
          </w:tcPr>
          <w:p>
            <w:pPr>
              <w:ind w:left="260"/>
              <w:spacing w:after="0"/>
              <w:rPr>
                <w:sz w:val="20"/>
                <w:szCs w:val="20"/>
                <w:color w:val="auto"/>
              </w:rPr>
            </w:pPr>
            <w:r>
              <w:rPr>
                <w:rFonts w:ascii="Arial" w:cs="Arial" w:eastAsia="Arial" w:hAnsi="Arial"/>
                <w:sz w:val="18"/>
                <w:szCs w:val="18"/>
                <w:color w:val="auto"/>
              </w:rPr>
              <w:t>Property, plant and equipment, net</w:t>
            </w:r>
          </w:p>
        </w:tc>
        <w:tc>
          <w:tcPr>
            <w:tcW w:w="660" w:type="dxa"/>
            <w:vAlign w:val="bottom"/>
            <w:gridSpan w:val="2"/>
          </w:tcPr>
          <w:p>
            <w:pPr>
              <w:jc w:val="right"/>
              <w:ind w:right="330"/>
              <w:spacing w:after="0"/>
              <w:rPr>
                <w:sz w:val="20"/>
                <w:szCs w:val="20"/>
                <w:color w:val="auto"/>
              </w:rPr>
            </w:pPr>
            <w:r>
              <w:rPr>
                <w:rFonts w:ascii="Arial" w:cs="Arial" w:eastAsia="Arial" w:hAnsi="Arial"/>
                <w:sz w:val="18"/>
                <w:szCs w:val="18"/>
                <w:color w:val="auto"/>
              </w:rPr>
              <w:t>$</w:t>
            </w:r>
          </w:p>
        </w:tc>
        <w:tc>
          <w:tcPr>
            <w:tcW w:w="1540" w:type="dxa"/>
            <w:vAlign w:val="bottom"/>
          </w:tcPr>
          <w:p>
            <w:pPr>
              <w:jc w:val="right"/>
              <w:spacing w:after="0"/>
              <w:rPr>
                <w:sz w:val="20"/>
                <w:szCs w:val="20"/>
                <w:color w:val="auto"/>
              </w:rPr>
            </w:pPr>
            <w:r>
              <w:rPr>
                <w:rFonts w:ascii="Arial" w:cs="Arial" w:eastAsia="Arial" w:hAnsi="Arial"/>
                <w:sz w:val="18"/>
                <w:szCs w:val="18"/>
                <w:color w:val="auto"/>
              </w:rPr>
              <w:t>3,546,501</w:t>
            </w:r>
          </w:p>
        </w:tc>
        <w:tc>
          <w:tcPr>
            <w:tcW w:w="260" w:type="dxa"/>
            <w:vAlign w:val="bottom"/>
          </w:tcPr>
          <w:p>
            <w:pPr>
              <w:spacing w:after="0"/>
              <w:rPr>
                <w:sz w:val="19"/>
                <w:szCs w:val="19"/>
                <w:color w:val="auto"/>
              </w:rPr>
            </w:pPr>
          </w:p>
        </w:tc>
        <w:tc>
          <w:tcPr>
            <w:tcW w:w="180" w:type="dxa"/>
            <w:vAlign w:val="bottom"/>
          </w:tcPr>
          <w:p>
            <w:pPr>
              <w:jc w:val="right"/>
              <w:ind w:right="27"/>
              <w:spacing w:after="0"/>
              <w:rPr>
                <w:sz w:val="20"/>
                <w:szCs w:val="20"/>
                <w:color w:val="auto"/>
              </w:rPr>
            </w:pPr>
            <w:r>
              <w:rPr>
                <w:rFonts w:ascii="Arial" w:cs="Arial" w:eastAsia="Arial" w:hAnsi="Arial"/>
                <w:sz w:val="15"/>
                <w:szCs w:val="15"/>
                <w:color w:val="auto"/>
                <w:w w:val="71"/>
              </w:rPr>
              <w:t>$</w:t>
            </w:r>
          </w:p>
        </w:tc>
        <w:tc>
          <w:tcPr>
            <w:tcW w:w="1880" w:type="dxa"/>
            <w:vAlign w:val="bottom"/>
          </w:tcPr>
          <w:p>
            <w:pPr>
              <w:jc w:val="right"/>
              <w:spacing w:after="0"/>
              <w:rPr>
                <w:sz w:val="20"/>
                <w:szCs w:val="20"/>
                <w:color w:val="auto"/>
              </w:rPr>
            </w:pPr>
            <w:r>
              <w:rPr>
                <w:rFonts w:ascii="Arial" w:cs="Arial" w:eastAsia="Arial" w:hAnsi="Arial"/>
                <w:sz w:val="18"/>
                <w:szCs w:val="18"/>
                <w:color w:val="auto"/>
              </w:rPr>
              <w:t>3,508,939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60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Cash and cash equivalents</w:t>
            </w:r>
          </w:p>
        </w:tc>
        <w:tc>
          <w:tcPr>
            <w:tcW w:w="140" w:type="dxa"/>
            <w:vAlign w:val="bottom"/>
            <w:shd w:val="clear" w:color="auto" w:fill="CFF0FC"/>
          </w:tcPr>
          <w:p>
            <w:pPr>
              <w:spacing w:after="0"/>
              <w:rPr>
                <w:sz w:val="19"/>
                <w:szCs w:val="19"/>
                <w:color w:val="auto"/>
              </w:rPr>
            </w:pPr>
          </w:p>
        </w:tc>
        <w:tc>
          <w:tcPr>
            <w:tcW w:w="52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51,129</w:t>
            </w:r>
          </w:p>
        </w:tc>
        <w:tc>
          <w:tcPr>
            <w:tcW w:w="2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58,903</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600" w:type="dxa"/>
            <w:vAlign w:val="bottom"/>
            <w:gridSpan w:val="2"/>
          </w:tcPr>
          <w:p>
            <w:pPr>
              <w:ind w:left="260"/>
              <w:spacing w:after="0"/>
              <w:rPr>
                <w:sz w:val="20"/>
                <w:szCs w:val="20"/>
                <w:color w:val="auto"/>
              </w:rPr>
            </w:pPr>
            <w:r>
              <w:rPr>
                <w:rFonts w:ascii="Arial" w:cs="Arial" w:eastAsia="Arial" w:hAnsi="Arial"/>
                <w:sz w:val="18"/>
                <w:szCs w:val="18"/>
                <w:color w:val="auto"/>
              </w:rPr>
              <w:t>Accounts receivable, net</w:t>
            </w: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41,269</w:t>
            </w: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80" w:type="dxa"/>
            <w:vAlign w:val="bottom"/>
          </w:tcPr>
          <w:p>
            <w:pPr>
              <w:jc w:val="right"/>
              <w:spacing w:after="0"/>
              <w:rPr>
                <w:sz w:val="20"/>
                <w:szCs w:val="20"/>
                <w:color w:val="auto"/>
              </w:rPr>
            </w:pPr>
            <w:r>
              <w:rPr>
                <w:rFonts w:ascii="Arial" w:cs="Arial" w:eastAsia="Arial" w:hAnsi="Arial"/>
                <w:sz w:val="18"/>
                <w:szCs w:val="18"/>
                <w:color w:val="auto"/>
              </w:rPr>
              <w:t>38,455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60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Goodwill</w:t>
            </w:r>
          </w:p>
        </w:tc>
        <w:tc>
          <w:tcPr>
            <w:tcW w:w="140" w:type="dxa"/>
            <w:vAlign w:val="bottom"/>
            <w:shd w:val="clear" w:color="auto" w:fill="CFF0FC"/>
          </w:tcPr>
          <w:p>
            <w:pPr>
              <w:spacing w:after="0"/>
              <w:rPr>
                <w:sz w:val="19"/>
                <w:szCs w:val="19"/>
                <w:color w:val="auto"/>
              </w:rPr>
            </w:pPr>
          </w:p>
        </w:tc>
        <w:tc>
          <w:tcPr>
            <w:tcW w:w="52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601,878</w:t>
            </w:r>
          </w:p>
        </w:tc>
        <w:tc>
          <w:tcPr>
            <w:tcW w:w="2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601,878</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600" w:type="dxa"/>
            <w:vAlign w:val="bottom"/>
            <w:gridSpan w:val="2"/>
          </w:tcPr>
          <w:p>
            <w:pPr>
              <w:ind w:left="260"/>
              <w:spacing w:after="0"/>
              <w:rPr>
                <w:sz w:val="20"/>
                <w:szCs w:val="20"/>
                <w:color w:val="auto"/>
              </w:rPr>
            </w:pPr>
            <w:r>
              <w:rPr>
                <w:rFonts w:ascii="Arial" w:cs="Arial" w:eastAsia="Arial" w:hAnsi="Arial"/>
                <w:sz w:val="18"/>
                <w:szCs w:val="18"/>
                <w:color w:val="auto"/>
              </w:rPr>
              <w:t>Intangible assets, net</w:t>
            </w: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357,183</w:t>
            </w: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80" w:type="dxa"/>
            <w:vAlign w:val="bottom"/>
          </w:tcPr>
          <w:p>
            <w:pPr>
              <w:jc w:val="right"/>
              <w:spacing w:after="0"/>
              <w:rPr>
                <w:sz w:val="20"/>
                <w:szCs w:val="20"/>
                <w:color w:val="auto"/>
              </w:rPr>
            </w:pPr>
            <w:r>
              <w:rPr>
                <w:rFonts w:ascii="Arial" w:cs="Arial" w:eastAsia="Arial" w:hAnsi="Arial"/>
                <w:sz w:val="18"/>
                <w:szCs w:val="18"/>
                <w:color w:val="auto"/>
              </w:rPr>
              <w:t>364,630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60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Straight-line revenue receivable</w:t>
            </w:r>
          </w:p>
        </w:tc>
        <w:tc>
          <w:tcPr>
            <w:tcW w:w="140" w:type="dxa"/>
            <w:vAlign w:val="bottom"/>
            <w:shd w:val="clear" w:color="auto" w:fill="CFF0FC"/>
          </w:tcPr>
          <w:p>
            <w:pPr>
              <w:spacing w:after="0"/>
              <w:rPr>
                <w:sz w:val="19"/>
                <w:szCs w:val="19"/>
                <w:color w:val="auto"/>
              </w:rPr>
            </w:pPr>
          </w:p>
        </w:tc>
        <w:tc>
          <w:tcPr>
            <w:tcW w:w="52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48,865</w:t>
            </w:r>
          </w:p>
        </w:tc>
        <w:tc>
          <w:tcPr>
            <w:tcW w:w="2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41,323</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600" w:type="dxa"/>
            <w:vAlign w:val="bottom"/>
            <w:gridSpan w:val="2"/>
          </w:tcPr>
          <w:p>
            <w:pPr>
              <w:ind w:left="260"/>
              <w:spacing w:after="0"/>
              <w:rPr>
                <w:sz w:val="20"/>
                <w:szCs w:val="20"/>
                <w:color w:val="auto"/>
              </w:rPr>
            </w:pPr>
            <w:r>
              <w:rPr>
                <w:rFonts w:ascii="Arial" w:cs="Arial" w:eastAsia="Arial" w:hAnsi="Arial"/>
                <w:sz w:val="18"/>
                <w:szCs w:val="18"/>
                <w:color w:val="auto"/>
              </w:rPr>
              <w:t>Operating lease right-of-use assets, net</w:t>
            </w: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81,810</w:t>
            </w: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80" w:type="dxa"/>
            <w:vAlign w:val="bottom"/>
          </w:tcPr>
          <w:p>
            <w:pPr>
              <w:jc w:val="right"/>
              <w:spacing w:after="0"/>
              <w:rPr>
                <w:sz w:val="20"/>
                <w:szCs w:val="20"/>
                <w:color w:val="auto"/>
              </w:rPr>
            </w:pPr>
            <w:r>
              <w:rPr>
                <w:rFonts w:ascii="Arial" w:cs="Arial" w:eastAsia="Arial" w:hAnsi="Arial"/>
                <w:sz w:val="18"/>
                <w:szCs w:val="18"/>
                <w:color w:val="auto"/>
              </w:rPr>
              <w:t>80,271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60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Other assets</w:t>
            </w:r>
          </w:p>
        </w:tc>
        <w:tc>
          <w:tcPr>
            <w:tcW w:w="140" w:type="dxa"/>
            <w:vAlign w:val="bottom"/>
            <w:shd w:val="clear" w:color="auto" w:fill="CFF0FC"/>
          </w:tcPr>
          <w:p>
            <w:pPr>
              <w:spacing w:after="0"/>
              <w:rPr>
                <w:sz w:val="19"/>
                <w:szCs w:val="19"/>
                <w:color w:val="auto"/>
              </w:rPr>
            </w:pPr>
          </w:p>
        </w:tc>
        <w:tc>
          <w:tcPr>
            <w:tcW w:w="52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81,556</w:t>
            </w:r>
          </w:p>
        </w:tc>
        <w:tc>
          <w:tcPr>
            <w:tcW w:w="2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38,900</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600" w:type="dxa"/>
            <w:vAlign w:val="bottom"/>
            <w:gridSpan w:val="2"/>
          </w:tcPr>
          <w:p>
            <w:pPr>
              <w:ind w:left="260"/>
              <w:spacing w:after="0"/>
              <w:rPr>
                <w:sz w:val="20"/>
                <w:szCs w:val="20"/>
                <w:color w:val="auto"/>
              </w:rPr>
            </w:pPr>
            <w:r>
              <w:rPr>
                <w:rFonts w:ascii="Arial" w:cs="Arial" w:eastAsia="Arial" w:hAnsi="Arial"/>
                <w:sz w:val="18"/>
                <w:szCs w:val="18"/>
                <w:color w:val="auto"/>
              </w:rPr>
              <w:t>Investment in unconsolidated entities</w:t>
            </w: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64,333</w:t>
            </w: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80" w:type="dxa"/>
            <w:vAlign w:val="bottom"/>
          </w:tcPr>
          <w:p>
            <w:pPr>
              <w:jc w:val="right"/>
              <w:spacing w:after="0"/>
              <w:rPr>
                <w:sz w:val="20"/>
                <w:szCs w:val="20"/>
                <w:color w:val="auto"/>
              </w:rPr>
            </w:pPr>
            <w:r>
              <w:rPr>
                <w:rFonts w:ascii="Arial" w:cs="Arial" w:eastAsia="Arial" w:hAnsi="Arial"/>
                <w:sz w:val="18"/>
                <w:szCs w:val="18"/>
                <w:color w:val="auto"/>
              </w:rPr>
              <w:t>64,223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60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Deferred income tax assets, net</w:t>
            </w:r>
          </w:p>
        </w:tc>
        <w:tc>
          <w:tcPr>
            <w:tcW w:w="140" w:type="dxa"/>
            <w:vAlign w:val="bottom"/>
            <w:shd w:val="clear" w:color="auto" w:fill="CFF0FC"/>
          </w:tcPr>
          <w:p>
            <w:pPr>
              <w:spacing w:after="0"/>
              <w:rPr>
                <w:sz w:val="19"/>
                <w:szCs w:val="19"/>
                <w:color w:val="auto"/>
              </w:rPr>
            </w:pPr>
          </w:p>
        </w:tc>
        <w:tc>
          <w:tcPr>
            <w:tcW w:w="520" w:type="dxa"/>
            <w:vAlign w:val="bottom"/>
            <w:tcBorders>
              <w:bottom w:val="single" w:sz="8" w:color="auto"/>
            </w:tcBorders>
            <w:shd w:val="clear" w:color="auto" w:fill="CFF0FC"/>
          </w:tcPr>
          <w:p>
            <w:pPr>
              <w:spacing w:after="0"/>
              <w:rPr>
                <w:sz w:val="19"/>
                <w:szCs w:val="19"/>
                <w:color w:val="auto"/>
              </w:rPr>
            </w:pPr>
          </w:p>
        </w:tc>
        <w:tc>
          <w:tcPr>
            <w:tcW w:w="15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15,385</w:t>
            </w:r>
          </w:p>
        </w:tc>
        <w:tc>
          <w:tcPr>
            <w:tcW w:w="26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11,721</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63"/>
        </w:trPr>
        <w:tc>
          <w:tcPr>
            <w:tcW w:w="6600" w:type="dxa"/>
            <w:vAlign w:val="bottom"/>
            <w:tcBorders>
              <w:bottom w:val="single" w:sz="8" w:color="CFF0FC"/>
            </w:tcBorders>
            <w:gridSpan w:val="2"/>
          </w:tcPr>
          <w:p>
            <w:pPr>
              <w:spacing w:after="0"/>
              <w:rPr>
                <w:sz w:val="20"/>
                <w:szCs w:val="20"/>
                <w:color w:val="auto"/>
              </w:rPr>
            </w:pPr>
            <w:r>
              <w:rPr>
                <w:rFonts w:ascii="Arial" w:cs="Arial" w:eastAsia="Arial" w:hAnsi="Arial"/>
                <w:sz w:val="18"/>
                <w:szCs w:val="18"/>
                <w:b w:val="1"/>
                <w:bCs w:val="1"/>
                <w:color w:val="auto"/>
              </w:rPr>
              <w:t>Total Assets</w:t>
            </w:r>
          </w:p>
        </w:tc>
        <w:tc>
          <w:tcPr>
            <w:tcW w:w="140" w:type="dxa"/>
            <w:vAlign w:val="bottom"/>
            <w:tcBorders>
              <w:bottom w:val="single" w:sz="8" w:color="CFF0FC"/>
            </w:tcBorders>
          </w:tcPr>
          <w:p>
            <w:pPr>
              <w:spacing w:after="0"/>
              <w:rPr>
                <w:sz w:val="22"/>
                <w:szCs w:val="22"/>
                <w:color w:val="auto"/>
              </w:rPr>
            </w:pPr>
          </w:p>
        </w:tc>
        <w:tc>
          <w:tcPr>
            <w:tcW w:w="52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w w:val="79"/>
              </w:rPr>
              <w:t>$</w:t>
            </w: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4,889,909</w:t>
            </w:r>
          </w:p>
        </w:tc>
        <w:tc>
          <w:tcPr>
            <w:tcW w:w="260" w:type="dxa"/>
            <w:vAlign w:val="bottom"/>
            <w:tcBorders>
              <w:bottom w:val="single" w:sz="8" w:color="CFF0FC"/>
            </w:tcBorders>
          </w:tcPr>
          <w:p>
            <w:pPr>
              <w:spacing w:after="0"/>
              <w:rPr>
                <w:sz w:val="22"/>
                <w:szCs w:val="22"/>
                <w:color w:val="auto"/>
              </w:rPr>
            </w:pPr>
          </w:p>
        </w:tc>
        <w:tc>
          <w:tcPr>
            <w:tcW w:w="180" w:type="dxa"/>
            <w:vAlign w:val="bottom"/>
            <w:tcBorders>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4,809,243</w:t>
            </w:r>
          </w:p>
        </w:tc>
        <w:tc>
          <w:tcPr>
            <w:tcW w:w="120" w:type="dxa"/>
            <w:vAlign w:val="bottom"/>
            <w:tcBorders>
              <w:bottom w:val="single" w:sz="8" w:color="CFF0FC"/>
            </w:tcBorders>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6600" w:type="dxa"/>
            <w:vAlign w:val="bottom"/>
            <w:gridSpan w:val="2"/>
            <w:shd w:val="clear" w:color="auto" w:fill="CFF0FC"/>
          </w:tcPr>
          <w:p>
            <w:pPr>
              <w:spacing w:after="0"/>
              <w:rPr>
                <w:sz w:val="20"/>
                <w:szCs w:val="20"/>
                <w:color w:val="auto"/>
              </w:rPr>
            </w:pPr>
            <w:r>
              <w:rPr>
                <w:rFonts w:ascii="Arial" w:cs="Arial" w:eastAsia="Arial" w:hAnsi="Arial"/>
                <w:sz w:val="18"/>
                <w:szCs w:val="18"/>
                <w:b w:val="1"/>
                <w:bCs w:val="1"/>
                <w:color w:val="auto"/>
              </w:rPr>
              <w:t>Liabilities and Shareholders' Deficit:</w:t>
            </w:r>
          </w:p>
        </w:tc>
        <w:tc>
          <w:tcPr>
            <w:tcW w:w="140" w:type="dxa"/>
            <w:vAlign w:val="bottom"/>
            <w:shd w:val="clear" w:color="auto" w:fill="CFF0FC"/>
          </w:tcPr>
          <w:p>
            <w:pPr>
              <w:spacing w:after="0"/>
              <w:rPr>
                <w:sz w:val="18"/>
                <w:szCs w:val="18"/>
                <w:color w:val="auto"/>
              </w:rPr>
            </w:pPr>
          </w:p>
        </w:tc>
        <w:tc>
          <w:tcPr>
            <w:tcW w:w="520" w:type="dxa"/>
            <w:vAlign w:val="bottom"/>
            <w:shd w:val="clear" w:color="auto" w:fill="CFF0FC"/>
          </w:tcPr>
          <w:p>
            <w:pPr>
              <w:spacing w:after="0"/>
              <w:rPr>
                <w:sz w:val="18"/>
                <w:szCs w:val="18"/>
                <w:color w:val="auto"/>
              </w:rPr>
            </w:pPr>
          </w:p>
        </w:tc>
        <w:tc>
          <w:tcPr>
            <w:tcW w:w="154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8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6600" w:type="dxa"/>
            <w:vAlign w:val="bottom"/>
            <w:gridSpan w:val="2"/>
          </w:tcPr>
          <w:p>
            <w:pPr>
              <w:spacing w:after="0"/>
              <w:rPr>
                <w:sz w:val="20"/>
                <w:szCs w:val="20"/>
                <w:color w:val="auto"/>
              </w:rPr>
            </w:pPr>
            <w:r>
              <w:rPr>
                <w:rFonts w:ascii="Arial" w:cs="Arial" w:eastAsia="Arial" w:hAnsi="Arial"/>
                <w:sz w:val="18"/>
                <w:szCs w:val="18"/>
                <w:b w:val="1"/>
                <w:bCs w:val="1"/>
                <w:color w:val="auto"/>
              </w:rPr>
              <w:t>Liabilities:</w:t>
            </w: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60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Accounts payable, accrued expenses and other liabilities</w:t>
            </w:r>
          </w:p>
        </w:tc>
        <w:tc>
          <w:tcPr>
            <w:tcW w:w="660" w:type="dxa"/>
            <w:vAlign w:val="bottom"/>
            <w:gridSpan w:val="2"/>
            <w:shd w:val="clear" w:color="auto" w:fill="CFF0FC"/>
          </w:tcPr>
          <w:p>
            <w:pPr>
              <w:jc w:val="right"/>
              <w:ind w:right="330"/>
              <w:spacing w:after="0"/>
              <w:rPr>
                <w:sz w:val="20"/>
                <w:szCs w:val="20"/>
                <w:color w:val="auto"/>
              </w:rPr>
            </w:pPr>
            <w:r>
              <w:rPr>
                <w:rFonts w:ascii="Arial" w:cs="Arial" w:eastAsia="Arial" w:hAnsi="Arial"/>
                <w:sz w:val="18"/>
                <w:szCs w:val="18"/>
                <w:color w:val="auto"/>
              </w:rPr>
              <w:t>$</w:t>
            </w: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122,157</w:t>
            </w:r>
          </w:p>
        </w:tc>
        <w:tc>
          <w:tcPr>
            <w:tcW w:w="260" w:type="dxa"/>
            <w:vAlign w:val="bottom"/>
            <w:shd w:val="clear" w:color="auto" w:fill="CFF0FC"/>
          </w:tcPr>
          <w:p>
            <w:pPr>
              <w:spacing w:after="0"/>
              <w:rPr>
                <w:sz w:val="19"/>
                <w:szCs w:val="19"/>
                <w:color w:val="auto"/>
              </w:rPr>
            </w:pPr>
          </w:p>
        </w:tc>
        <w:tc>
          <w:tcPr>
            <w:tcW w:w="180" w:type="dxa"/>
            <w:vAlign w:val="bottom"/>
            <w:shd w:val="clear" w:color="auto" w:fill="CFF0FC"/>
          </w:tcPr>
          <w:p>
            <w:pPr>
              <w:jc w:val="right"/>
              <w:ind w:right="27"/>
              <w:spacing w:after="0"/>
              <w:rPr>
                <w:sz w:val="20"/>
                <w:szCs w:val="20"/>
                <w:color w:val="auto"/>
              </w:rPr>
            </w:pPr>
            <w:r>
              <w:rPr>
                <w:rFonts w:ascii="Arial" w:cs="Arial" w:eastAsia="Arial" w:hAnsi="Arial"/>
                <w:sz w:val="15"/>
                <w:szCs w:val="15"/>
                <w:color w:val="auto"/>
                <w:w w:val="71"/>
              </w:rPr>
              <w:t>$</w:t>
            </w:r>
          </w:p>
        </w:tc>
        <w:tc>
          <w:tcPr>
            <w:tcW w:w="1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86,868</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600" w:type="dxa"/>
            <w:vAlign w:val="bottom"/>
            <w:gridSpan w:val="2"/>
          </w:tcPr>
          <w:p>
            <w:pPr>
              <w:ind w:left="260"/>
              <w:spacing w:after="0"/>
              <w:rPr>
                <w:sz w:val="20"/>
                <w:szCs w:val="20"/>
                <w:color w:val="auto"/>
              </w:rPr>
            </w:pPr>
            <w:r>
              <w:rPr>
                <w:rFonts w:ascii="Arial" w:cs="Arial" w:eastAsia="Arial" w:hAnsi="Arial"/>
                <w:sz w:val="18"/>
                <w:szCs w:val="18"/>
                <w:color w:val="auto"/>
              </w:rPr>
              <w:t>Settlement payable (Note 13)</w:t>
            </w: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242,261</w:t>
            </w: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80" w:type="dxa"/>
            <w:vAlign w:val="bottom"/>
          </w:tcPr>
          <w:p>
            <w:pPr>
              <w:jc w:val="right"/>
              <w:spacing w:after="0"/>
              <w:rPr>
                <w:sz w:val="20"/>
                <w:szCs w:val="20"/>
                <w:color w:val="auto"/>
              </w:rPr>
            </w:pPr>
            <w:r>
              <w:rPr>
                <w:rFonts w:ascii="Arial" w:cs="Arial" w:eastAsia="Arial" w:hAnsi="Arial"/>
                <w:sz w:val="18"/>
                <w:szCs w:val="18"/>
                <w:color w:val="auto"/>
              </w:rPr>
              <w:t>239,384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60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Intangible liabilities, net</w:t>
            </w:r>
          </w:p>
        </w:tc>
        <w:tc>
          <w:tcPr>
            <w:tcW w:w="140" w:type="dxa"/>
            <w:vAlign w:val="bottom"/>
            <w:shd w:val="clear" w:color="auto" w:fill="CFF0FC"/>
          </w:tcPr>
          <w:p>
            <w:pPr>
              <w:spacing w:after="0"/>
              <w:rPr>
                <w:sz w:val="19"/>
                <w:szCs w:val="19"/>
                <w:color w:val="auto"/>
              </w:rPr>
            </w:pPr>
          </w:p>
        </w:tc>
        <w:tc>
          <w:tcPr>
            <w:tcW w:w="52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175,112</w:t>
            </w:r>
          </w:p>
        </w:tc>
        <w:tc>
          <w:tcPr>
            <w:tcW w:w="2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177,786</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600" w:type="dxa"/>
            <w:vAlign w:val="bottom"/>
            <w:gridSpan w:val="2"/>
          </w:tcPr>
          <w:p>
            <w:pPr>
              <w:ind w:left="260"/>
              <w:spacing w:after="0"/>
              <w:rPr>
                <w:sz w:val="20"/>
                <w:szCs w:val="20"/>
                <w:color w:val="auto"/>
              </w:rPr>
            </w:pPr>
            <w:r>
              <w:rPr>
                <w:rFonts w:ascii="Arial" w:cs="Arial" w:eastAsia="Arial" w:hAnsi="Arial"/>
                <w:sz w:val="18"/>
                <w:szCs w:val="18"/>
                <w:color w:val="auto"/>
              </w:rPr>
              <w:t>Accrued interest payable</w:t>
            </w: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68,298</w:t>
            </w: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80" w:type="dxa"/>
            <w:vAlign w:val="bottom"/>
          </w:tcPr>
          <w:p>
            <w:pPr>
              <w:jc w:val="right"/>
              <w:spacing w:after="0"/>
              <w:rPr>
                <w:sz w:val="20"/>
                <w:szCs w:val="20"/>
                <w:color w:val="auto"/>
              </w:rPr>
            </w:pPr>
            <w:r>
              <w:rPr>
                <w:rFonts w:ascii="Arial" w:cs="Arial" w:eastAsia="Arial" w:hAnsi="Arial"/>
                <w:sz w:val="18"/>
                <w:szCs w:val="18"/>
                <w:color w:val="auto"/>
              </w:rPr>
              <w:t>109,826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60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Deferred revenue</w:t>
            </w:r>
          </w:p>
        </w:tc>
        <w:tc>
          <w:tcPr>
            <w:tcW w:w="140" w:type="dxa"/>
            <w:vAlign w:val="bottom"/>
            <w:shd w:val="clear" w:color="auto" w:fill="CFF0FC"/>
          </w:tcPr>
          <w:p>
            <w:pPr>
              <w:spacing w:after="0"/>
              <w:rPr>
                <w:sz w:val="19"/>
                <w:szCs w:val="19"/>
                <w:color w:val="auto"/>
              </w:rPr>
            </w:pPr>
          </w:p>
        </w:tc>
        <w:tc>
          <w:tcPr>
            <w:tcW w:w="52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1,134,585</w:t>
            </w:r>
          </w:p>
        </w:tc>
        <w:tc>
          <w:tcPr>
            <w:tcW w:w="2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1,134,236</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600" w:type="dxa"/>
            <w:vAlign w:val="bottom"/>
            <w:gridSpan w:val="2"/>
          </w:tcPr>
          <w:p>
            <w:pPr>
              <w:ind w:left="260"/>
              <w:spacing w:after="0"/>
              <w:rPr>
                <w:sz w:val="20"/>
                <w:szCs w:val="20"/>
                <w:color w:val="auto"/>
              </w:rPr>
            </w:pPr>
            <w:r>
              <w:rPr>
                <w:rFonts w:ascii="Arial" w:cs="Arial" w:eastAsia="Arial" w:hAnsi="Arial"/>
                <w:sz w:val="18"/>
                <w:szCs w:val="18"/>
                <w:color w:val="auto"/>
              </w:rPr>
              <w:t>Derivative liability, net</w:t>
            </w: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7,269</w:t>
            </w: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80" w:type="dxa"/>
            <w:vAlign w:val="bottom"/>
          </w:tcPr>
          <w:p>
            <w:pPr>
              <w:jc w:val="right"/>
              <w:spacing w:after="0"/>
              <w:rPr>
                <w:sz w:val="20"/>
                <w:szCs w:val="20"/>
                <w:color w:val="auto"/>
              </w:rPr>
            </w:pPr>
            <w:r>
              <w:rPr>
                <w:rFonts w:ascii="Arial" w:cs="Arial" w:eastAsia="Arial" w:hAnsi="Arial"/>
                <w:sz w:val="18"/>
                <w:szCs w:val="18"/>
                <w:color w:val="auto"/>
              </w:rPr>
              <w:t>10,413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60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Dividends payable</w:t>
            </w:r>
          </w:p>
        </w:tc>
        <w:tc>
          <w:tcPr>
            <w:tcW w:w="140" w:type="dxa"/>
            <w:vAlign w:val="bottom"/>
            <w:shd w:val="clear" w:color="auto" w:fill="CFF0FC"/>
          </w:tcPr>
          <w:p>
            <w:pPr>
              <w:spacing w:after="0"/>
              <w:rPr>
                <w:sz w:val="19"/>
                <w:szCs w:val="19"/>
                <w:color w:val="auto"/>
              </w:rPr>
            </w:pPr>
          </w:p>
        </w:tc>
        <w:tc>
          <w:tcPr>
            <w:tcW w:w="52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37,145</w:t>
            </w:r>
          </w:p>
        </w:tc>
        <w:tc>
          <w:tcPr>
            <w:tcW w:w="2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1,264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600" w:type="dxa"/>
            <w:vAlign w:val="bottom"/>
            <w:gridSpan w:val="2"/>
          </w:tcPr>
          <w:p>
            <w:pPr>
              <w:ind w:left="260"/>
              <w:spacing w:after="0"/>
              <w:rPr>
                <w:sz w:val="20"/>
                <w:szCs w:val="20"/>
                <w:color w:val="auto"/>
              </w:rPr>
            </w:pPr>
            <w:r>
              <w:rPr>
                <w:rFonts w:ascii="Arial" w:cs="Arial" w:eastAsia="Arial" w:hAnsi="Arial"/>
                <w:sz w:val="18"/>
                <w:szCs w:val="18"/>
                <w:color w:val="auto"/>
              </w:rPr>
              <w:t>Operating lease liabilities</w:t>
            </w: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59,679</w:t>
            </w: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80" w:type="dxa"/>
            <w:vAlign w:val="bottom"/>
          </w:tcPr>
          <w:p>
            <w:pPr>
              <w:jc w:val="right"/>
              <w:spacing w:after="0"/>
              <w:rPr>
                <w:sz w:val="20"/>
                <w:szCs w:val="20"/>
                <w:color w:val="auto"/>
              </w:rPr>
            </w:pPr>
            <w:r>
              <w:rPr>
                <w:rFonts w:ascii="Arial" w:cs="Arial" w:eastAsia="Arial" w:hAnsi="Arial"/>
                <w:sz w:val="18"/>
                <w:szCs w:val="18"/>
                <w:color w:val="auto"/>
              </w:rPr>
              <w:t>57,355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60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Finance lease obligations</w:t>
            </w:r>
          </w:p>
        </w:tc>
        <w:tc>
          <w:tcPr>
            <w:tcW w:w="140" w:type="dxa"/>
            <w:vAlign w:val="bottom"/>
            <w:shd w:val="clear" w:color="auto" w:fill="CFF0FC"/>
          </w:tcPr>
          <w:p>
            <w:pPr>
              <w:spacing w:after="0"/>
              <w:rPr>
                <w:sz w:val="19"/>
                <w:szCs w:val="19"/>
                <w:color w:val="auto"/>
              </w:rPr>
            </w:pPr>
          </w:p>
        </w:tc>
        <w:tc>
          <w:tcPr>
            <w:tcW w:w="52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15,144</w:t>
            </w:r>
          </w:p>
        </w:tc>
        <w:tc>
          <w:tcPr>
            <w:tcW w:w="2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15,348</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600" w:type="dxa"/>
            <w:vAlign w:val="bottom"/>
            <w:tcBorders>
              <w:bottom w:val="single" w:sz="8" w:color="CFF0FC"/>
            </w:tcBorders>
            <w:gridSpan w:val="2"/>
          </w:tcPr>
          <w:p>
            <w:pPr>
              <w:ind w:left="260"/>
              <w:spacing w:after="0"/>
              <w:rPr>
                <w:sz w:val="20"/>
                <w:szCs w:val="20"/>
                <w:color w:val="auto"/>
              </w:rPr>
            </w:pPr>
            <w:r>
              <w:rPr>
                <w:rFonts w:ascii="Arial" w:cs="Arial" w:eastAsia="Arial" w:hAnsi="Arial"/>
                <w:sz w:val="18"/>
                <w:szCs w:val="18"/>
                <w:color w:val="auto"/>
              </w:rPr>
              <w:t>Notes and other debt, net</w:t>
            </w:r>
          </w:p>
        </w:tc>
        <w:tc>
          <w:tcPr>
            <w:tcW w:w="140" w:type="dxa"/>
            <w:vAlign w:val="bottom"/>
            <w:tcBorders>
              <w:bottom w:val="single" w:sz="8" w:color="CFF0FC"/>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5,120,281</w:t>
            </w:r>
          </w:p>
        </w:tc>
        <w:tc>
          <w:tcPr>
            <w:tcW w:w="26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5,090,537</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600" w:type="dxa"/>
            <w:vAlign w:val="bottom"/>
            <w:gridSpan w:val="2"/>
            <w:shd w:val="clear" w:color="auto" w:fill="CFF0FC"/>
          </w:tcPr>
          <w:p>
            <w:pPr>
              <w:ind w:left="740"/>
              <w:spacing w:after="0"/>
              <w:rPr>
                <w:sz w:val="20"/>
                <w:szCs w:val="20"/>
                <w:color w:val="auto"/>
              </w:rPr>
            </w:pPr>
            <w:r>
              <w:rPr>
                <w:rFonts w:ascii="Arial" w:cs="Arial" w:eastAsia="Arial" w:hAnsi="Arial"/>
                <w:sz w:val="18"/>
                <w:szCs w:val="18"/>
                <w:color w:val="auto"/>
              </w:rPr>
              <w:t>Total liabilities</w:t>
            </w:r>
          </w:p>
        </w:tc>
        <w:tc>
          <w:tcPr>
            <w:tcW w:w="140" w:type="dxa"/>
            <w:vAlign w:val="bottom"/>
            <w:shd w:val="clear" w:color="auto" w:fill="CFF0FC"/>
          </w:tcPr>
          <w:p>
            <w:pPr>
              <w:spacing w:after="0"/>
              <w:rPr>
                <w:sz w:val="19"/>
                <w:szCs w:val="19"/>
                <w:color w:val="auto"/>
              </w:rPr>
            </w:pPr>
          </w:p>
        </w:tc>
        <w:tc>
          <w:tcPr>
            <w:tcW w:w="520" w:type="dxa"/>
            <w:vAlign w:val="bottom"/>
            <w:tcBorders>
              <w:bottom w:val="single" w:sz="8" w:color="auto"/>
            </w:tcBorders>
            <w:shd w:val="clear" w:color="auto" w:fill="CFF0FC"/>
          </w:tcPr>
          <w:p>
            <w:pPr>
              <w:spacing w:after="0"/>
              <w:rPr>
                <w:sz w:val="19"/>
                <w:szCs w:val="19"/>
                <w:color w:val="auto"/>
              </w:rPr>
            </w:pPr>
          </w:p>
        </w:tc>
        <w:tc>
          <w:tcPr>
            <w:tcW w:w="15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6,981,931</w:t>
            </w:r>
          </w:p>
        </w:tc>
        <w:tc>
          <w:tcPr>
            <w:tcW w:w="26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6,923,017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1280" w:type="dxa"/>
            <w:vAlign w:val="bottom"/>
          </w:tcPr>
          <w:p>
            <w:pPr>
              <w:spacing w:after="0"/>
              <w:rPr>
                <w:sz w:val="19"/>
                <w:szCs w:val="19"/>
                <w:color w:val="auto"/>
              </w:rPr>
            </w:pPr>
          </w:p>
        </w:tc>
        <w:tc>
          <w:tcPr>
            <w:tcW w:w="5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60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Commitments and contingencies (Note 13)</w:t>
            </w:r>
          </w:p>
        </w:tc>
        <w:tc>
          <w:tcPr>
            <w:tcW w:w="140" w:type="dxa"/>
            <w:vAlign w:val="bottom"/>
            <w:shd w:val="clear" w:color="auto" w:fill="CFF0FC"/>
          </w:tcPr>
          <w:p>
            <w:pPr>
              <w:spacing w:after="0"/>
              <w:rPr>
                <w:sz w:val="19"/>
                <w:szCs w:val="19"/>
                <w:color w:val="auto"/>
              </w:rPr>
            </w:pPr>
          </w:p>
        </w:tc>
        <w:tc>
          <w:tcPr>
            <w:tcW w:w="520" w:type="dxa"/>
            <w:vAlign w:val="bottom"/>
            <w:shd w:val="clear" w:color="auto" w:fill="CFF0FC"/>
          </w:tcPr>
          <w:p>
            <w:pPr>
              <w:spacing w:after="0"/>
              <w:rPr>
                <w:sz w:val="19"/>
                <w:szCs w:val="19"/>
                <w:color w:val="auto"/>
              </w:rPr>
            </w:pPr>
          </w:p>
        </w:tc>
        <w:tc>
          <w:tcPr>
            <w:tcW w:w="15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8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280" w:type="dxa"/>
            <w:vAlign w:val="bottom"/>
          </w:tcPr>
          <w:p>
            <w:pPr>
              <w:spacing w:after="0"/>
              <w:rPr>
                <w:sz w:val="19"/>
                <w:szCs w:val="19"/>
                <w:color w:val="auto"/>
              </w:rPr>
            </w:pPr>
          </w:p>
        </w:tc>
        <w:tc>
          <w:tcPr>
            <w:tcW w:w="5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600" w:type="dxa"/>
            <w:vAlign w:val="bottom"/>
            <w:gridSpan w:val="2"/>
            <w:shd w:val="clear" w:color="auto" w:fill="CFF0FC"/>
          </w:tcPr>
          <w:p>
            <w:pPr>
              <w:spacing w:after="0"/>
              <w:rPr>
                <w:sz w:val="20"/>
                <w:szCs w:val="20"/>
                <w:color w:val="auto"/>
              </w:rPr>
            </w:pPr>
            <w:r>
              <w:rPr>
                <w:rFonts w:ascii="Arial" w:cs="Arial" w:eastAsia="Arial" w:hAnsi="Arial"/>
                <w:sz w:val="18"/>
                <w:szCs w:val="18"/>
                <w:b w:val="1"/>
                <w:bCs w:val="1"/>
                <w:color w:val="auto"/>
              </w:rPr>
              <w:t>Shareholders' Deficit:</w:t>
            </w:r>
          </w:p>
        </w:tc>
        <w:tc>
          <w:tcPr>
            <w:tcW w:w="140" w:type="dxa"/>
            <w:vAlign w:val="bottom"/>
            <w:shd w:val="clear" w:color="auto" w:fill="CFF0FC"/>
          </w:tcPr>
          <w:p>
            <w:pPr>
              <w:spacing w:after="0"/>
              <w:rPr>
                <w:sz w:val="19"/>
                <w:szCs w:val="19"/>
                <w:color w:val="auto"/>
              </w:rPr>
            </w:pPr>
          </w:p>
        </w:tc>
        <w:tc>
          <w:tcPr>
            <w:tcW w:w="520" w:type="dxa"/>
            <w:vAlign w:val="bottom"/>
            <w:shd w:val="clear" w:color="auto" w:fill="CFF0FC"/>
          </w:tcPr>
          <w:p>
            <w:pPr>
              <w:spacing w:after="0"/>
              <w:rPr>
                <w:sz w:val="19"/>
                <w:szCs w:val="19"/>
                <w:color w:val="auto"/>
              </w:rPr>
            </w:pPr>
          </w:p>
        </w:tc>
        <w:tc>
          <w:tcPr>
            <w:tcW w:w="15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8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6600" w:type="dxa"/>
            <w:vAlign w:val="bottom"/>
            <w:gridSpan w:val="2"/>
          </w:tcPr>
          <w:p>
            <w:pPr>
              <w:ind w:left="260"/>
              <w:spacing w:after="0"/>
              <w:rPr>
                <w:sz w:val="20"/>
                <w:szCs w:val="20"/>
                <w:color w:val="auto"/>
              </w:rPr>
            </w:pPr>
            <w:r>
              <w:rPr>
                <w:rFonts w:ascii="Arial" w:cs="Arial" w:eastAsia="Arial" w:hAnsi="Arial"/>
                <w:sz w:val="18"/>
                <w:szCs w:val="18"/>
                <w:color w:val="auto"/>
                <w:w w:val="94"/>
              </w:rPr>
              <w:t>Preferred stock, $0.0001 par value, 50,000 shares authorized, no shares issued and</w:t>
            </w:r>
          </w:p>
        </w:tc>
        <w:tc>
          <w:tcPr>
            <w:tcW w:w="1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600" w:type="dxa"/>
            <w:vAlign w:val="bottom"/>
            <w:gridSpan w:val="2"/>
          </w:tcPr>
          <w:p>
            <w:pPr>
              <w:ind w:left="260"/>
              <w:spacing w:after="0"/>
              <w:rPr>
                <w:sz w:val="20"/>
                <w:szCs w:val="20"/>
                <w:color w:val="auto"/>
              </w:rPr>
            </w:pPr>
            <w:r>
              <w:rPr>
                <w:rFonts w:ascii="Arial" w:cs="Arial" w:eastAsia="Arial" w:hAnsi="Arial"/>
                <w:sz w:val="18"/>
                <w:szCs w:val="18"/>
                <w:color w:val="auto"/>
              </w:rPr>
              <w:t>outstanding</w:t>
            </w:r>
          </w:p>
        </w:tc>
        <w:tc>
          <w:tcPr>
            <w:tcW w:w="1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88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5"/>
        </w:trPr>
        <w:tc>
          <w:tcPr>
            <w:tcW w:w="660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w w:val="90"/>
              </w:rPr>
              <w:t>Common stock, $0.0001 par value, 500,000 shares authorized, issued and outstanding:</w:t>
            </w:r>
          </w:p>
        </w:tc>
        <w:tc>
          <w:tcPr>
            <w:tcW w:w="140" w:type="dxa"/>
            <w:vAlign w:val="bottom"/>
            <w:shd w:val="clear" w:color="auto" w:fill="CFF0FC"/>
          </w:tcPr>
          <w:p>
            <w:pPr>
              <w:spacing w:after="0"/>
              <w:rPr>
                <w:sz w:val="18"/>
                <w:szCs w:val="18"/>
                <w:color w:val="auto"/>
              </w:rPr>
            </w:pPr>
          </w:p>
        </w:tc>
        <w:tc>
          <w:tcPr>
            <w:tcW w:w="520" w:type="dxa"/>
            <w:vAlign w:val="bottom"/>
            <w:shd w:val="clear" w:color="auto" w:fill="CFF0FC"/>
          </w:tcPr>
          <w:p>
            <w:pPr>
              <w:spacing w:after="0"/>
              <w:rPr>
                <w:sz w:val="18"/>
                <w:szCs w:val="18"/>
                <w:color w:val="auto"/>
              </w:rPr>
            </w:pPr>
          </w:p>
        </w:tc>
        <w:tc>
          <w:tcPr>
            <w:tcW w:w="154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8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60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235,298 shares at March 31, 2022 and 234,779 at December 31, 2021</w:t>
            </w:r>
          </w:p>
        </w:tc>
        <w:tc>
          <w:tcPr>
            <w:tcW w:w="140" w:type="dxa"/>
            <w:vAlign w:val="bottom"/>
            <w:shd w:val="clear" w:color="auto" w:fill="CFF0FC"/>
          </w:tcPr>
          <w:p>
            <w:pPr>
              <w:spacing w:after="0"/>
              <w:rPr>
                <w:sz w:val="20"/>
                <w:szCs w:val="20"/>
                <w:color w:val="auto"/>
              </w:rPr>
            </w:pPr>
          </w:p>
        </w:tc>
        <w:tc>
          <w:tcPr>
            <w:tcW w:w="520" w:type="dxa"/>
            <w:vAlign w:val="bottom"/>
            <w:shd w:val="clear" w:color="auto" w:fill="CFF0FC"/>
          </w:tcPr>
          <w:p>
            <w:pPr>
              <w:spacing w:after="0"/>
              <w:rPr>
                <w:sz w:val="20"/>
                <w:szCs w:val="20"/>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w:t>
            </w:r>
          </w:p>
        </w:tc>
        <w:tc>
          <w:tcPr>
            <w:tcW w:w="260" w:type="dxa"/>
            <w:vAlign w:val="bottom"/>
            <w:shd w:val="clear" w:color="auto" w:fill="CFF0FC"/>
          </w:tcPr>
          <w:p>
            <w:pPr>
              <w:spacing w:after="0"/>
              <w:rPr>
                <w:sz w:val="20"/>
                <w:szCs w:val="20"/>
                <w:color w:val="auto"/>
              </w:rPr>
            </w:pPr>
          </w:p>
        </w:tc>
        <w:tc>
          <w:tcPr>
            <w:tcW w:w="180" w:type="dxa"/>
            <w:vAlign w:val="bottom"/>
            <w:shd w:val="clear" w:color="auto" w:fill="CFF0FC"/>
          </w:tcPr>
          <w:p>
            <w:pPr>
              <w:spacing w:after="0"/>
              <w:rPr>
                <w:sz w:val="20"/>
                <w:szCs w:val="20"/>
                <w:color w:val="auto"/>
              </w:rPr>
            </w:pPr>
          </w:p>
        </w:tc>
        <w:tc>
          <w:tcPr>
            <w:tcW w:w="1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w:t>
            </w:r>
          </w:p>
        </w:tc>
        <w:tc>
          <w:tcPr>
            <w:tcW w:w="120" w:type="dxa"/>
            <w:vAlign w:val="bottom"/>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6600" w:type="dxa"/>
            <w:vAlign w:val="bottom"/>
            <w:gridSpan w:val="2"/>
          </w:tcPr>
          <w:p>
            <w:pPr>
              <w:ind w:left="260"/>
              <w:spacing w:after="0"/>
              <w:rPr>
                <w:sz w:val="20"/>
                <w:szCs w:val="20"/>
                <w:color w:val="auto"/>
              </w:rPr>
            </w:pPr>
            <w:r>
              <w:rPr>
                <w:rFonts w:ascii="Arial" w:cs="Arial" w:eastAsia="Arial" w:hAnsi="Arial"/>
                <w:sz w:val="18"/>
                <w:szCs w:val="18"/>
                <w:color w:val="auto"/>
              </w:rPr>
              <w:t>Additional paid-in capital</w:t>
            </w: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1,220,039</w:t>
            </w: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80" w:type="dxa"/>
            <w:vAlign w:val="bottom"/>
          </w:tcPr>
          <w:p>
            <w:pPr>
              <w:jc w:val="right"/>
              <w:spacing w:after="0"/>
              <w:rPr>
                <w:sz w:val="20"/>
                <w:szCs w:val="20"/>
                <w:color w:val="auto"/>
              </w:rPr>
            </w:pPr>
            <w:r>
              <w:rPr>
                <w:rFonts w:ascii="Arial" w:cs="Arial" w:eastAsia="Arial" w:hAnsi="Arial"/>
                <w:sz w:val="18"/>
                <w:szCs w:val="18"/>
                <w:color w:val="auto"/>
              </w:rPr>
              <w:t>1,214,830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60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Accumulated other comprehensive loss</w:t>
            </w:r>
          </w:p>
        </w:tc>
        <w:tc>
          <w:tcPr>
            <w:tcW w:w="140" w:type="dxa"/>
            <w:vAlign w:val="bottom"/>
            <w:shd w:val="clear" w:color="auto" w:fill="CFF0FC"/>
          </w:tcPr>
          <w:p>
            <w:pPr>
              <w:spacing w:after="0"/>
              <w:rPr>
                <w:sz w:val="19"/>
                <w:szCs w:val="19"/>
                <w:color w:val="auto"/>
              </w:rPr>
            </w:pPr>
          </w:p>
        </w:tc>
        <w:tc>
          <w:tcPr>
            <w:tcW w:w="520" w:type="dxa"/>
            <w:vAlign w:val="bottom"/>
            <w:shd w:val="clear" w:color="auto" w:fill="CFF0FC"/>
          </w:tcPr>
          <w:p>
            <w:pPr>
              <w:spacing w:after="0"/>
              <w:rPr>
                <w:sz w:val="19"/>
                <w:szCs w:val="19"/>
                <w:color w:val="auto"/>
              </w:rPr>
            </w:pPr>
          </w:p>
        </w:tc>
        <w:tc>
          <w:tcPr>
            <w:tcW w:w="180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(6,341)</w:t>
            </w:r>
          </w:p>
        </w:tc>
        <w:tc>
          <w:tcPr>
            <w:tcW w:w="180" w:type="dxa"/>
            <w:vAlign w:val="bottom"/>
            <w:shd w:val="clear" w:color="auto" w:fill="CFF0FC"/>
          </w:tcPr>
          <w:p>
            <w:pPr>
              <w:spacing w:after="0"/>
              <w:rPr>
                <w:sz w:val="19"/>
                <w:szCs w:val="19"/>
                <w:color w:val="auto"/>
              </w:rPr>
            </w:pPr>
          </w:p>
        </w:tc>
        <w:tc>
          <w:tcPr>
            <w:tcW w:w="200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(9,164)</w:t>
            </w:r>
          </w:p>
        </w:tc>
        <w:tc>
          <w:tcPr>
            <w:tcW w:w="0" w:type="dxa"/>
            <w:vAlign w:val="bottom"/>
          </w:tcPr>
          <w:p>
            <w:pPr>
              <w:spacing w:after="0"/>
              <w:rPr>
                <w:sz w:val="1"/>
                <w:szCs w:val="1"/>
                <w:color w:val="auto"/>
              </w:rPr>
            </w:pPr>
          </w:p>
        </w:tc>
      </w:tr>
      <w:tr>
        <w:trPr>
          <w:trHeight w:val="229"/>
        </w:trPr>
        <w:tc>
          <w:tcPr>
            <w:tcW w:w="6600" w:type="dxa"/>
            <w:vAlign w:val="bottom"/>
            <w:gridSpan w:val="2"/>
          </w:tcPr>
          <w:p>
            <w:pPr>
              <w:ind w:left="260"/>
              <w:spacing w:after="0"/>
              <w:rPr>
                <w:sz w:val="20"/>
                <w:szCs w:val="20"/>
                <w:color w:val="auto"/>
              </w:rPr>
            </w:pPr>
            <w:r>
              <w:rPr>
                <w:rFonts w:ascii="Arial" w:cs="Arial" w:eastAsia="Arial" w:hAnsi="Arial"/>
                <w:sz w:val="18"/>
                <w:szCs w:val="18"/>
                <w:color w:val="auto"/>
              </w:rPr>
              <w:t>Distributions in excess of accumulated earnings</w:t>
            </w: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800" w:type="dxa"/>
            <w:vAlign w:val="bottom"/>
            <w:gridSpan w:val="2"/>
          </w:tcPr>
          <w:p>
            <w:pPr>
              <w:jc w:val="right"/>
              <w:ind w:right="200"/>
              <w:spacing w:after="0"/>
              <w:rPr>
                <w:sz w:val="20"/>
                <w:szCs w:val="20"/>
                <w:color w:val="auto"/>
              </w:rPr>
            </w:pPr>
            <w:r>
              <w:rPr>
                <w:rFonts w:ascii="Arial" w:cs="Arial" w:eastAsia="Arial" w:hAnsi="Arial"/>
                <w:sz w:val="18"/>
                <w:szCs w:val="18"/>
                <w:color w:val="auto"/>
              </w:rPr>
              <w:t>(3,316,781)</w:t>
            </w:r>
          </w:p>
        </w:tc>
        <w:tc>
          <w:tcPr>
            <w:tcW w:w="180" w:type="dxa"/>
            <w:vAlign w:val="bottom"/>
          </w:tcPr>
          <w:p>
            <w:pPr>
              <w:spacing w:after="0"/>
              <w:rPr>
                <w:sz w:val="19"/>
                <w:szCs w:val="19"/>
                <w:color w:val="auto"/>
              </w:rPr>
            </w:pPr>
          </w:p>
        </w:tc>
        <w:tc>
          <w:tcPr>
            <w:tcW w:w="2000" w:type="dxa"/>
            <w:vAlign w:val="bottom"/>
            <w:gridSpan w:val="2"/>
          </w:tcPr>
          <w:p>
            <w:pPr>
              <w:jc w:val="right"/>
              <w:ind w:right="60"/>
              <w:spacing w:after="0"/>
              <w:rPr>
                <w:sz w:val="20"/>
                <w:szCs w:val="20"/>
                <w:color w:val="auto"/>
              </w:rPr>
            </w:pPr>
            <w:r>
              <w:rPr>
                <w:rFonts w:ascii="Arial" w:cs="Arial" w:eastAsia="Arial" w:hAnsi="Arial"/>
                <w:sz w:val="18"/>
                <w:szCs w:val="18"/>
                <w:color w:val="auto"/>
              </w:rPr>
              <w:t>(3,333,481)</w:t>
            </w:r>
          </w:p>
        </w:tc>
        <w:tc>
          <w:tcPr>
            <w:tcW w:w="0" w:type="dxa"/>
            <w:vAlign w:val="bottom"/>
          </w:tcPr>
          <w:p>
            <w:pPr>
              <w:spacing w:after="0"/>
              <w:rPr>
                <w:sz w:val="1"/>
                <w:szCs w:val="1"/>
                <w:color w:val="auto"/>
              </w:rPr>
            </w:pPr>
          </w:p>
        </w:tc>
      </w:tr>
      <w:tr>
        <w:trPr>
          <w:trHeight w:val="223"/>
        </w:trPr>
        <w:tc>
          <w:tcPr>
            <w:tcW w:w="6600" w:type="dxa"/>
            <w:vAlign w:val="bottom"/>
            <w:tcBorders>
              <w:top w:val="single" w:sz="8" w:color="CFF0FC"/>
            </w:tcBorders>
            <w:gridSpan w:val="2"/>
            <w:shd w:val="clear" w:color="auto" w:fill="CFF0FC"/>
          </w:tcPr>
          <w:p>
            <w:pPr>
              <w:ind w:left="260"/>
              <w:spacing w:after="0"/>
              <w:rPr>
                <w:sz w:val="20"/>
                <w:szCs w:val="20"/>
                <w:color w:val="auto"/>
              </w:rPr>
            </w:pPr>
            <w:r>
              <w:rPr>
                <w:rFonts w:ascii="Arial" w:cs="Arial" w:eastAsia="Arial" w:hAnsi="Arial"/>
                <w:sz w:val="18"/>
                <w:szCs w:val="18"/>
                <w:color w:val="auto"/>
              </w:rPr>
              <w:t>Total Uniti shareholders' deficit</w:t>
            </w:r>
          </w:p>
        </w:tc>
        <w:tc>
          <w:tcPr>
            <w:tcW w:w="140" w:type="dxa"/>
            <w:vAlign w:val="bottom"/>
            <w:tcBorders>
              <w:top w:val="single" w:sz="8" w:color="CFF0FC"/>
            </w:tcBorders>
            <w:shd w:val="clear" w:color="auto" w:fill="CFF0FC"/>
          </w:tcPr>
          <w:p>
            <w:pPr>
              <w:spacing w:after="0"/>
              <w:rPr>
                <w:sz w:val="19"/>
                <w:szCs w:val="19"/>
                <w:color w:val="auto"/>
              </w:rPr>
            </w:pPr>
          </w:p>
        </w:tc>
        <w:tc>
          <w:tcPr>
            <w:tcW w:w="520" w:type="dxa"/>
            <w:vAlign w:val="bottom"/>
            <w:tcBorders>
              <w:top w:val="single" w:sz="8" w:color="auto"/>
            </w:tcBorders>
            <w:shd w:val="clear" w:color="auto" w:fill="CFF0FC"/>
          </w:tcPr>
          <w:p>
            <w:pPr>
              <w:spacing w:after="0"/>
              <w:rPr>
                <w:sz w:val="19"/>
                <w:szCs w:val="19"/>
                <w:color w:val="auto"/>
              </w:rPr>
            </w:pPr>
          </w:p>
        </w:tc>
        <w:tc>
          <w:tcPr>
            <w:tcW w:w="15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(2,103,060)</w:t>
            </w:r>
          </w:p>
        </w:tc>
        <w:tc>
          <w:tcPr>
            <w:tcW w:w="26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18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(2,127,792)</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600" w:type="dxa"/>
            <w:vAlign w:val="bottom"/>
            <w:gridSpan w:val="2"/>
          </w:tcPr>
          <w:p>
            <w:pPr>
              <w:ind w:left="260"/>
              <w:spacing w:after="0"/>
              <w:rPr>
                <w:sz w:val="20"/>
                <w:szCs w:val="20"/>
                <w:color w:val="auto"/>
              </w:rPr>
            </w:pPr>
            <w:r>
              <w:rPr>
                <w:rFonts w:ascii="Arial" w:cs="Arial" w:eastAsia="Arial" w:hAnsi="Arial"/>
                <w:sz w:val="18"/>
                <w:szCs w:val="18"/>
                <w:color w:val="auto"/>
              </w:rPr>
              <w:t>Noncontrolling interests:</w:t>
            </w: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600" w:type="dxa"/>
            <w:vAlign w:val="bottom"/>
            <w:gridSpan w:val="2"/>
            <w:shd w:val="clear" w:color="auto" w:fill="CFF0FC"/>
          </w:tcPr>
          <w:p>
            <w:pPr>
              <w:ind w:left="380"/>
              <w:spacing w:after="0"/>
              <w:rPr>
                <w:sz w:val="20"/>
                <w:szCs w:val="20"/>
                <w:color w:val="auto"/>
              </w:rPr>
            </w:pPr>
            <w:r>
              <w:rPr>
                <w:rFonts w:ascii="Arial" w:cs="Arial" w:eastAsia="Arial" w:hAnsi="Arial"/>
                <w:sz w:val="18"/>
                <w:szCs w:val="18"/>
                <w:color w:val="auto"/>
              </w:rPr>
              <w:t>Operating partnership units</w:t>
            </w:r>
          </w:p>
        </w:tc>
        <w:tc>
          <w:tcPr>
            <w:tcW w:w="140" w:type="dxa"/>
            <w:vAlign w:val="bottom"/>
            <w:shd w:val="clear" w:color="auto" w:fill="CFF0FC"/>
          </w:tcPr>
          <w:p>
            <w:pPr>
              <w:spacing w:after="0"/>
              <w:rPr>
                <w:sz w:val="19"/>
                <w:szCs w:val="19"/>
                <w:color w:val="auto"/>
              </w:rPr>
            </w:pPr>
          </w:p>
        </w:tc>
        <w:tc>
          <w:tcPr>
            <w:tcW w:w="52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10,788</w:t>
            </w:r>
          </w:p>
        </w:tc>
        <w:tc>
          <w:tcPr>
            <w:tcW w:w="2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13,893</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6600" w:type="dxa"/>
            <w:vAlign w:val="bottom"/>
            <w:gridSpan w:val="2"/>
          </w:tcPr>
          <w:p>
            <w:pPr>
              <w:ind w:left="380"/>
              <w:spacing w:after="0"/>
              <w:rPr>
                <w:sz w:val="20"/>
                <w:szCs w:val="20"/>
                <w:color w:val="auto"/>
              </w:rPr>
            </w:pPr>
            <w:r>
              <w:rPr>
                <w:rFonts w:ascii="Arial" w:cs="Arial" w:eastAsia="Arial" w:hAnsi="Arial"/>
                <w:sz w:val="18"/>
                <w:szCs w:val="18"/>
                <w:color w:val="auto"/>
              </w:rPr>
              <w:t>Cumulative non-voting convertible preferred stock, $0.01 par value, 6 shares</w:t>
            </w:r>
          </w:p>
        </w:tc>
        <w:tc>
          <w:tcPr>
            <w:tcW w:w="1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600" w:type="dxa"/>
            <w:vAlign w:val="bottom"/>
            <w:tcBorders>
              <w:bottom w:val="single" w:sz="8" w:color="CFF0FC"/>
            </w:tcBorders>
            <w:gridSpan w:val="2"/>
          </w:tcPr>
          <w:p>
            <w:pPr>
              <w:ind w:left="380"/>
              <w:spacing w:after="0"/>
              <w:rPr>
                <w:sz w:val="20"/>
                <w:szCs w:val="20"/>
                <w:color w:val="auto"/>
              </w:rPr>
            </w:pPr>
            <w:r>
              <w:rPr>
                <w:rFonts w:ascii="Arial" w:cs="Arial" w:eastAsia="Arial" w:hAnsi="Arial"/>
                <w:sz w:val="18"/>
                <w:szCs w:val="18"/>
                <w:color w:val="auto"/>
              </w:rPr>
              <w:t>authorized, 3 issued and outstanding</w:t>
            </w:r>
          </w:p>
        </w:tc>
        <w:tc>
          <w:tcPr>
            <w:tcW w:w="140" w:type="dxa"/>
            <w:vAlign w:val="bottom"/>
            <w:tcBorders>
              <w:bottom w:val="single" w:sz="8" w:color="CFF0FC"/>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250</w:t>
            </w:r>
          </w:p>
        </w:tc>
        <w:tc>
          <w:tcPr>
            <w:tcW w:w="260" w:type="dxa"/>
            <w:vAlign w:val="bottom"/>
            <w:tcBorders>
              <w:bottom w:val="single" w:sz="8" w:color="CFF0FC"/>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125</w:t>
            </w:r>
          </w:p>
        </w:tc>
        <w:tc>
          <w:tcPr>
            <w:tcW w:w="120" w:type="dxa"/>
            <w:vAlign w:val="bottom"/>
            <w:tcBorders>
              <w:bottom w:val="single" w:sz="8" w:color="CFF0FC"/>
            </w:tcBorders>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6600" w:type="dxa"/>
            <w:vAlign w:val="bottom"/>
            <w:gridSpan w:val="2"/>
            <w:shd w:val="clear" w:color="auto" w:fill="CFF0FC"/>
          </w:tcPr>
          <w:p>
            <w:pPr>
              <w:ind w:left="740"/>
              <w:spacing w:after="0"/>
              <w:rPr>
                <w:sz w:val="20"/>
                <w:szCs w:val="20"/>
                <w:color w:val="auto"/>
              </w:rPr>
            </w:pPr>
            <w:r>
              <w:rPr>
                <w:rFonts w:ascii="Arial" w:cs="Arial" w:eastAsia="Arial" w:hAnsi="Arial"/>
                <w:sz w:val="18"/>
                <w:szCs w:val="18"/>
                <w:color w:val="auto"/>
              </w:rPr>
              <w:t>Total shareholders' deficit</w:t>
            </w:r>
          </w:p>
        </w:tc>
        <w:tc>
          <w:tcPr>
            <w:tcW w:w="140" w:type="dxa"/>
            <w:vAlign w:val="bottom"/>
            <w:shd w:val="clear" w:color="auto" w:fill="CFF0FC"/>
          </w:tcPr>
          <w:p>
            <w:pPr>
              <w:spacing w:after="0"/>
              <w:rPr>
                <w:sz w:val="19"/>
                <w:szCs w:val="19"/>
                <w:color w:val="auto"/>
              </w:rPr>
            </w:pPr>
          </w:p>
        </w:tc>
        <w:tc>
          <w:tcPr>
            <w:tcW w:w="520" w:type="dxa"/>
            <w:vAlign w:val="bottom"/>
            <w:tcBorders>
              <w:bottom w:val="single" w:sz="8" w:color="auto"/>
            </w:tcBorders>
            <w:shd w:val="clear" w:color="auto" w:fill="CFF0FC"/>
          </w:tcPr>
          <w:p>
            <w:pPr>
              <w:spacing w:after="0"/>
              <w:rPr>
                <w:sz w:val="19"/>
                <w:szCs w:val="19"/>
                <w:color w:val="auto"/>
              </w:rPr>
            </w:pPr>
          </w:p>
        </w:tc>
        <w:tc>
          <w:tcPr>
            <w:tcW w:w="15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(2,092,022)</w:t>
            </w:r>
          </w:p>
        </w:tc>
        <w:tc>
          <w:tcPr>
            <w:tcW w:w="26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(2,113,774)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600" w:type="dxa"/>
            <w:vAlign w:val="bottom"/>
            <w:gridSpan w:val="2"/>
          </w:tcPr>
          <w:p>
            <w:pPr>
              <w:spacing w:after="0"/>
              <w:rPr>
                <w:sz w:val="20"/>
                <w:szCs w:val="20"/>
                <w:color w:val="auto"/>
              </w:rPr>
            </w:pPr>
            <w:r>
              <w:rPr>
                <w:rFonts w:ascii="Arial" w:cs="Arial" w:eastAsia="Arial" w:hAnsi="Arial"/>
                <w:sz w:val="18"/>
                <w:szCs w:val="18"/>
                <w:b w:val="1"/>
                <w:bCs w:val="1"/>
                <w:color w:val="auto"/>
              </w:rPr>
              <w:t>Total Liabilities and Shareholders' Deficit</w:t>
            </w:r>
          </w:p>
        </w:tc>
        <w:tc>
          <w:tcPr>
            <w:tcW w:w="140" w:type="dxa"/>
            <w:vAlign w:val="bottom"/>
          </w:tcPr>
          <w:p>
            <w:pPr>
              <w:spacing w:after="0"/>
              <w:rPr>
                <w:sz w:val="19"/>
                <w:szCs w:val="19"/>
                <w:color w:val="auto"/>
              </w:rPr>
            </w:pPr>
          </w:p>
        </w:tc>
        <w:tc>
          <w:tcPr>
            <w:tcW w:w="52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color w:val="auto"/>
                <w:w w:val="79"/>
              </w:rPr>
              <w:t>$</w:t>
            </w: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4,889,909</w:t>
            </w:r>
          </w:p>
        </w:tc>
        <w:tc>
          <w:tcPr>
            <w:tcW w:w="260" w:type="dxa"/>
            <w:vAlign w:val="bottom"/>
          </w:tcPr>
          <w:p>
            <w:pPr>
              <w:spacing w:after="0"/>
              <w:rPr>
                <w:sz w:val="19"/>
                <w:szCs w:val="19"/>
                <w:color w:val="auto"/>
              </w:rPr>
            </w:pPr>
          </w:p>
        </w:tc>
        <w:tc>
          <w:tcPr>
            <w:tcW w:w="180" w:type="dxa"/>
            <w:vAlign w:val="bottom"/>
            <w:tcBorders>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4,809,243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280" w:type="dxa"/>
            <w:vAlign w:val="bottom"/>
          </w:tcPr>
          <w:p>
            <w:pPr>
              <w:spacing w:after="0" w:line="20" w:lineRule="exact"/>
              <w:rPr>
                <w:sz w:val="1"/>
                <w:szCs w:val="1"/>
                <w:color w:val="auto"/>
              </w:rPr>
            </w:pPr>
          </w:p>
        </w:tc>
        <w:tc>
          <w:tcPr>
            <w:tcW w:w="5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ectPr>
          <w:pgSz w:w="11900" w:h="16838" w:orient="portrait"/>
          <w:cols w:equalWidth="0" w:num="1">
            <w:col w:w="11240"/>
          </w:cols>
          <w:pgMar w:left="320" w:top="108" w:right="339" w:bottom="1440" w:gutter="0" w:footer="0" w:header="0"/>
        </w:sect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107315</wp:posOffset>
            </wp:positionV>
            <wp:extent cx="71577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type w:val="continuous"/>
        </w:sectPr>
      </w:pPr>
    </w:p>
    <w:bookmarkStart w:id="5" w:name="page6"/>
    <w:bookmarkEnd w:id="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Income (Loss)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3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64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Three Months Ended March 31,</w:t>
            </w:r>
          </w:p>
        </w:tc>
        <w:tc>
          <w:tcPr>
            <w:tcW w:w="11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6"/>
        </w:trPr>
        <w:tc>
          <w:tcPr>
            <w:tcW w:w="670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 except per share data)</w:t>
            </w:r>
          </w:p>
        </w:tc>
        <w:tc>
          <w:tcPr>
            <w:tcW w:w="180" w:type="dxa"/>
            <w:vAlign w:val="bottom"/>
            <w:tcBorders>
              <w:bottom w:val="single" w:sz="8" w:color="CFF0FC"/>
            </w:tcBorders>
          </w:tcPr>
          <w:p>
            <w:pPr>
              <w:spacing w:after="0"/>
              <w:rPr>
                <w:sz w:val="20"/>
                <w:szCs w:val="20"/>
                <w:color w:val="auto"/>
              </w:rPr>
            </w:pPr>
          </w:p>
        </w:tc>
        <w:tc>
          <w:tcPr>
            <w:tcW w:w="460" w:type="dxa"/>
            <w:vAlign w:val="bottom"/>
            <w:tcBorders>
              <w:bottom w:val="single" w:sz="8" w:color="auto"/>
            </w:tcBorders>
          </w:tcPr>
          <w:p>
            <w:pPr>
              <w:spacing w:after="0"/>
              <w:rPr>
                <w:sz w:val="20"/>
                <w:szCs w:val="20"/>
                <w:color w:val="auto"/>
              </w:rPr>
            </w:pPr>
          </w:p>
        </w:tc>
        <w:tc>
          <w:tcPr>
            <w:tcW w:w="1520" w:type="dxa"/>
            <w:vAlign w:val="bottom"/>
            <w:tcBorders>
              <w:bottom w:val="single" w:sz="8" w:color="auto"/>
            </w:tcBorders>
          </w:tcPr>
          <w:p>
            <w:pPr>
              <w:jc w:val="right"/>
              <w:ind w:right="771"/>
              <w:spacing w:after="0"/>
              <w:rPr>
                <w:sz w:val="20"/>
                <w:szCs w:val="20"/>
                <w:color w:val="auto"/>
              </w:rPr>
            </w:pPr>
            <w:r>
              <w:rPr>
                <w:rFonts w:ascii="Arial" w:cs="Arial" w:eastAsia="Arial" w:hAnsi="Arial"/>
                <w:sz w:val="14"/>
                <w:szCs w:val="14"/>
                <w:b w:val="1"/>
                <w:bCs w:val="1"/>
                <w:color w:val="auto"/>
              </w:rPr>
              <w:t>2022</w:t>
            </w:r>
          </w:p>
        </w:tc>
        <w:tc>
          <w:tcPr>
            <w:tcW w:w="160" w:type="dxa"/>
            <w:vAlign w:val="bottom"/>
            <w:tcBorders>
              <w:bottom w:val="single" w:sz="8" w:color="CFF0FC"/>
            </w:tcBorders>
          </w:tcPr>
          <w:p>
            <w:pPr>
              <w:spacing w:after="0"/>
              <w:rPr>
                <w:sz w:val="20"/>
                <w:szCs w:val="20"/>
                <w:color w:val="auto"/>
              </w:rPr>
            </w:pPr>
          </w:p>
        </w:tc>
        <w:tc>
          <w:tcPr>
            <w:tcW w:w="120" w:type="dxa"/>
            <w:vAlign w:val="bottom"/>
            <w:tcBorders>
              <w:bottom w:val="single" w:sz="8" w:color="CFF0FC"/>
            </w:tcBorders>
          </w:tcPr>
          <w:p>
            <w:pPr>
              <w:spacing w:after="0"/>
              <w:rPr>
                <w:sz w:val="20"/>
                <w:szCs w:val="20"/>
                <w:color w:val="auto"/>
              </w:rPr>
            </w:pPr>
          </w:p>
        </w:tc>
        <w:tc>
          <w:tcPr>
            <w:tcW w:w="84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771"/>
              <w:spacing w:after="0"/>
              <w:rPr>
                <w:sz w:val="20"/>
                <w:szCs w:val="20"/>
                <w:color w:val="auto"/>
              </w:rPr>
            </w:pPr>
            <w:r>
              <w:rPr>
                <w:rFonts w:ascii="Arial" w:cs="Arial" w:eastAsia="Arial" w:hAnsi="Arial"/>
                <w:sz w:val="14"/>
                <w:szCs w:val="14"/>
                <w:b w:val="1"/>
                <w:bCs w:val="1"/>
                <w:color w:val="auto"/>
                <w:w w:val="89"/>
              </w:rPr>
              <w:t>2021</w:t>
            </w:r>
          </w:p>
        </w:tc>
        <w:tc>
          <w:tcPr>
            <w:tcW w:w="100" w:type="dxa"/>
            <w:vAlign w:val="bottom"/>
            <w:tcBorders>
              <w:bottom w:val="single" w:sz="8" w:color="CFF0FC"/>
            </w:tcBorders>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670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Revenues:</w:t>
            </w:r>
          </w:p>
        </w:tc>
        <w:tc>
          <w:tcPr>
            <w:tcW w:w="18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5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700" w:type="dxa"/>
            <w:vAlign w:val="bottom"/>
          </w:tcPr>
          <w:p>
            <w:pPr>
              <w:ind w:left="260"/>
              <w:spacing w:after="0"/>
              <w:rPr>
                <w:sz w:val="20"/>
                <w:szCs w:val="20"/>
                <w:color w:val="auto"/>
              </w:rPr>
            </w:pPr>
            <w:r>
              <w:rPr>
                <w:rFonts w:ascii="Arial" w:cs="Arial" w:eastAsia="Arial" w:hAnsi="Arial"/>
                <w:sz w:val="18"/>
                <w:szCs w:val="18"/>
                <w:color w:val="auto"/>
              </w:rPr>
              <w:t>Leasing</w:t>
            </w:r>
          </w:p>
        </w:tc>
        <w:tc>
          <w:tcPr>
            <w:tcW w:w="640" w:type="dxa"/>
            <w:vAlign w:val="bottom"/>
            <w:gridSpan w:val="2"/>
          </w:tcPr>
          <w:p>
            <w:pPr>
              <w:jc w:val="right"/>
              <w:ind w:right="307"/>
              <w:spacing w:after="0"/>
              <w:rPr>
                <w:sz w:val="20"/>
                <w:szCs w:val="20"/>
                <w:color w:val="auto"/>
              </w:rPr>
            </w:pPr>
            <w:r>
              <w:rPr>
                <w:rFonts w:ascii="Arial" w:cs="Arial" w:eastAsia="Arial" w:hAnsi="Arial"/>
                <w:sz w:val="18"/>
                <w:szCs w:val="18"/>
                <w:color w:val="auto"/>
              </w:rPr>
              <w:t>$</w:t>
            </w:r>
          </w:p>
        </w:tc>
        <w:tc>
          <w:tcPr>
            <w:tcW w:w="1520" w:type="dxa"/>
            <w:vAlign w:val="bottom"/>
          </w:tcPr>
          <w:p>
            <w:pPr>
              <w:jc w:val="right"/>
              <w:spacing w:after="0"/>
              <w:rPr>
                <w:sz w:val="20"/>
                <w:szCs w:val="20"/>
                <w:color w:val="auto"/>
              </w:rPr>
            </w:pPr>
            <w:r>
              <w:rPr>
                <w:rFonts w:ascii="Arial" w:cs="Arial" w:eastAsia="Arial" w:hAnsi="Arial"/>
                <w:sz w:val="18"/>
                <w:szCs w:val="18"/>
                <w:color w:val="auto"/>
              </w:rPr>
              <w:t>204,641</w:t>
            </w:r>
          </w:p>
        </w:tc>
        <w:tc>
          <w:tcPr>
            <w:tcW w:w="160" w:type="dxa"/>
            <w:vAlign w:val="bottom"/>
          </w:tcPr>
          <w:p>
            <w:pPr>
              <w:spacing w:after="0"/>
              <w:rPr>
                <w:sz w:val="19"/>
                <w:szCs w:val="19"/>
                <w:color w:val="auto"/>
              </w:rPr>
            </w:pPr>
          </w:p>
        </w:tc>
        <w:tc>
          <w:tcPr>
            <w:tcW w:w="960" w:type="dxa"/>
            <w:vAlign w:val="bottom"/>
            <w:gridSpan w:val="2"/>
          </w:tcPr>
          <w:p>
            <w:pPr>
              <w:jc w:val="right"/>
              <w:ind w:right="650"/>
              <w:spacing w:after="0"/>
              <w:rPr>
                <w:sz w:val="20"/>
                <w:szCs w:val="20"/>
                <w:color w:val="auto"/>
              </w:rPr>
            </w:pPr>
            <w:r>
              <w:rPr>
                <w:rFonts w:ascii="Arial" w:cs="Arial" w:eastAsia="Arial" w:hAnsi="Arial"/>
                <w:sz w:val="18"/>
                <w:szCs w:val="18"/>
                <w:color w:val="auto"/>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194,936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7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Fiber Infrastructure</w:t>
            </w:r>
          </w:p>
        </w:tc>
        <w:tc>
          <w:tcPr>
            <w:tcW w:w="180" w:type="dxa"/>
            <w:vAlign w:val="bottom"/>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spacing w:after="0"/>
              <w:rPr>
                <w:sz w:val="19"/>
                <w:szCs w:val="19"/>
                <w:color w:val="auto"/>
              </w:rPr>
            </w:pPr>
          </w:p>
        </w:tc>
        <w:tc>
          <w:tcPr>
            <w:tcW w:w="15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73,393</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40" w:type="dxa"/>
            <w:vAlign w:val="bottom"/>
            <w:tcBorders>
              <w:bottom w:val="single" w:sz="8" w:color="auto"/>
            </w:tcBorders>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77,650</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700" w:type="dxa"/>
            <w:vAlign w:val="bottom"/>
          </w:tcPr>
          <w:p>
            <w:pPr>
              <w:ind w:left="500"/>
              <w:spacing w:after="0"/>
              <w:rPr>
                <w:sz w:val="20"/>
                <w:szCs w:val="20"/>
                <w:color w:val="auto"/>
              </w:rPr>
            </w:pPr>
            <w:r>
              <w:rPr>
                <w:rFonts w:ascii="Arial" w:cs="Arial" w:eastAsia="Arial" w:hAnsi="Arial"/>
                <w:sz w:val="18"/>
                <w:szCs w:val="18"/>
                <w:color w:val="auto"/>
              </w:rPr>
              <w:t>Total revenues</w:t>
            </w: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278,034</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272,586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670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Costs and Expenses:</w:t>
            </w:r>
          </w:p>
        </w:tc>
        <w:tc>
          <w:tcPr>
            <w:tcW w:w="180" w:type="dxa"/>
            <w:vAlign w:val="bottom"/>
            <w:tcBorders>
              <w:bottom w:val="single" w:sz="8" w:color="CFF0FC"/>
            </w:tcBorders>
            <w:shd w:val="clear" w:color="auto" w:fill="CFF0FC"/>
          </w:tcPr>
          <w:p>
            <w:pPr>
              <w:spacing w:after="0"/>
              <w:rPr>
                <w:sz w:val="20"/>
                <w:szCs w:val="20"/>
                <w:color w:val="auto"/>
              </w:rPr>
            </w:pPr>
          </w:p>
        </w:tc>
        <w:tc>
          <w:tcPr>
            <w:tcW w:w="460" w:type="dxa"/>
            <w:vAlign w:val="bottom"/>
            <w:tcBorders>
              <w:bottom w:val="single" w:sz="8" w:color="CFF0FC"/>
            </w:tcBorders>
            <w:shd w:val="clear" w:color="auto" w:fill="CFF0FC"/>
          </w:tcPr>
          <w:p>
            <w:pPr>
              <w:spacing w:after="0"/>
              <w:rPr>
                <w:sz w:val="20"/>
                <w:szCs w:val="20"/>
                <w:color w:val="auto"/>
              </w:rPr>
            </w:pPr>
          </w:p>
        </w:tc>
        <w:tc>
          <w:tcPr>
            <w:tcW w:w="1520" w:type="dxa"/>
            <w:vAlign w:val="bottom"/>
            <w:tcBorders>
              <w:bottom w:val="single" w:sz="8" w:color="CFF0FC"/>
            </w:tcBorders>
            <w:shd w:val="clear" w:color="auto" w:fill="CFF0FC"/>
          </w:tcPr>
          <w:p>
            <w:pPr>
              <w:spacing w:after="0"/>
              <w:rPr>
                <w:sz w:val="20"/>
                <w:szCs w:val="20"/>
                <w:color w:val="auto"/>
              </w:rPr>
            </w:pPr>
          </w:p>
        </w:tc>
        <w:tc>
          <w:tcPr>
            <w:tcW w:w="160" w:type="dxa"/>
            <w:vAlign w:val="bottom"/>
            <w:tcBorders>
              <w:bottom w:val="single" w:sz="8" w:color="CFF0FC"/>
            </w:tcBorders>
            <w:shd w:val="clear" w:color="auto" w:fill="CFF0FC"/>
          </w:tcPr>
          <w:p>
            <w:pPr>
              <w:spacing w:after="0"/>
              <w:rPr>
                <w:sz w:val="20"/>
                <w:szCs w:val="20"/>
                <w:color w:val="auto"/>
              </w:rPr>
            </w:pPr>
          </w:p>
        </w:tc>
        <w:tc>
          <w:tcPr>
            <w:tcW w:w="120" w:type="dxa"/>
            <w:vAlign w:val="bottom"/>
            <w:tcBorders>
              <w:bottom w:val="single" w:sz="8" w:color="CFF0FC"/>
            </w:tcBorders>
            <w:shd w:val="clear" w:color="auto" w:fill="CFF0FC"/>
          </w:tcPr>
          <w:p>
            <w:pPr>
              <w:spacing w:after="0"/>
              <w:rPr>
                <w:sz w:val="20"/>
                <w:szCs w:val="20"/>
                <w:color w:val="auto"/>
              </w:rPr>
            </w:pPr>
          </w:p>
        </w:tc>
        <w:tc>
          <w:tcPr>
            <w:tcW w:w="840" w:type="dxa"/>
            <w:vAlign w:val="bottom"/>
            <w:tcBorders>
              <w:bottom w:val="single" w:sz="8" w:color="CFF0FC"/>
            </w:tcBorders>
            <w:shd w:val="clear" w:color="auto" w:fill="CFF0FC"/>
          </w:tcPr>
          <w:p>
            <w:pPr>
              <w:spacing w:after="0"/>
              <w:rPr>
                <w:sz w:val="20"/>
                <w:szCs w:val="20"/>
                <w:color w:val="auto"/>
              </w:rPr>
            </w:pPr>
          </w:p>
        </w:tc>
        <w:tc>
          <w:tcPr>
            <w:tcW w:w="1160" w:type="dxa"/>
            <w:vAlign w:val="bottom"/>
            <w:tcBorders>
              <w:bottom w:val="single" w:sz="8" w:color="CFF0FC"/>
            </w:tcBorders>
            <w:shd w:val="clear" w:color="auto" w:fill="CFF0FC"/>
          </w:tcPr>
          <w:p>
            <w:pPr>
              <w:spacing w:after="0"/>
              <w:rPr>
                <w:sz w:val="20"/>
                <w:szCs w:val="20"/>
                <w:color w:val="auto"/>
              </w:rPr>
            </w:pPr>
          </w:p>
        </w:tc>
        <w:tc>
          <w:tcPr>
            <w:tcW w:w="100" w:type="dxa"/>
            <w:vAlign w:val="bottom"/>
            <w:tcBorders>
              <w:bottom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6700" w:type="dxa"/>
            <w:vAlign w:val="bottom"/>
          </w:tcPr>
          <w:p>
            <w:pPr>
              <w:ind w:left="260"/>
              <w:spacing w:after="0"/>
              <w:rPr>
                <w:sz w:val="20"/>
                <w:szCs w:val="20"/>
                <w:color w:val="auto"/>
              </w:rPr>
            </w:pPr>
            <w:r>
              <w:rPr>
                <w:rFonts w:ascii="Arial" w:cs="Arial" w:eastAsia="Arial" w:hAnsi="Arial"/>
                <w:sz w:val="18"/>
                <w:szCs w:val="18"/>
                <w:color w:val="auto"/>
              </w:rPr>
              <w:t>Interest expense, net</w:t>
            </w: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96,172</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140,581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7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Depreciation and amortization</w:t>
            </w:r>
          </w:p>
        </w:tc>
        <w:tc>
          <w:tcPr>
            <w:tcW w:w="18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5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71,457</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70,964</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700" w:type="dxa"/>
            <w:vAlign w:val="bottom"/>
          </w:tcPr>
          <w:p>
            <w:pPr>
              <w:ind w:left="260"/>
              <w:spacing w:after="0"/>
              <w:rPr>
                <w:sz w:val="20"/>
                <w:szCs w:val="20"/>
                <w:color w:val="auto"/>
              </w:rPr>
            </w:pPr>
            <w:r>
              <w:rPr>
                <w:rFonts w:ascii="Arial" w:cs="Arial" w:eastAsia="Arial" w:hAnsi="Arial"/>
                <w:sz w:val="18"/>
                <w:szCs w:val="18"/>
                <w:color w:val="auto"/>
              </w:rPr>
              <w:t>General and administrative expense</w:t>
            </w: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23,870</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25,823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7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Operating expense (exclusive of depreciation and amortization)</w:t>
            </w:r>
          </w:p>
        </w:tc>
        <w:tc>
          <w:tcPr>
            <w:tcW w:w="18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5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34,976</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38,084</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700" w:type="dxa"/>
            <w:vAlign w:val="bottom"/>
          </w:tcPr>
          <w:p>
            <w:pPr>
              <w:ind w:left="260"/>
              <w:spacing w:after="0"/>
              <w:rPr>
                <w:sz w:val="20"/>
                <w:szCs w:val="20"/>
                <w:color w:val="auto"/>
              </w:rPr>
            </w:pPr>
            <w:r>
              <w:rPr>
                <w:rFonts w:ascii="Arial" w:cs="Arial" w:eastAsia="Arial" w:hAnsi="Arial"/>
                <w:sz w:val="18"/>
                <w:szCs w:val="18"/>
                <w:color w:val="auto"/>
              </w:rPr>
              <w:t>Transaction related and other costs</w:t>
            </w: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1,714</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4,137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7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 (income) expense, net</w:t>
            </w:r>
          </w:p>
        </w:tc>
        <w:tc>
          <w:tcPr>
            <w:tcW w:w="18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6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(398)</w:t>
            </w:r>
          </w:p>
        </w:tc>
        <w:tc>
          <w:tcPr>
            <w:tcW w:w="12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454</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700" w:type="dxa"/>
            <w:vAlign w:val="bottom"/>
            <w:tcBorders>
              <w:bottom w:val="single" w:sz="8" w:color="CFF0FC"/>
            </w:tcBorders>
          </w:tcPr>
          <w:p>
            <w:pPr>
              <w:ind w:left="520"/>
              <w:spacing w:after="0"/>
              <w:rPr>
                <w:sz w:val="20"/>
                <w:szCs w:val="20"/>
                <w:color w:val="auto"/>
              </w:rPr>
            </w:pPr>
            <w:r>
              <w:rPr>
                <w:rFonts w:ascii="Arial" w:cs="Arial" w:eastAsia="Arial" w:hAnsi="Arial"/>
                <w:sz w:val="18"/>
                <w:szCs w:val="18"/>
                <w:color w:val="auto"/>
              </w:rPr>
              <w:t>Total costs and expenses</w:t>
            </w:r>
          </w:p>
        </w:tc>
        <w:tc>
          <w:tcPr>
            <w:tcW w:w="180" w:type="dxa"/>
            <w:vAlign w:val="bottom"/>
            <w:tcBorders>
              <w:bottom w:val="single" w:sz="8" w:color="CFF0FC"/>
            </w:tcBorders>
          </w:tcPr>
          <w:p>
            <w:pPr>
              <w:spacing w:after="0"/>
              <w:rPr>
                <w:sz w:val="19"/>
                <w:szCs w:val="19"/>
                <w:color w:val="auto"/>
              </w:rPr>
            </w:pPr>
          </w:p>
        </w:tc>
        <w:tc>
          <w:tcPr>
            <w:tcW w:w="460" w:type="dxa"/>
            <w:vAlign w:val="bottom"/>
            <w:tcBorders>
              <w:top w:val="single" w:sz="8" w:color="auto"/>
              <w:bottom w:val="single" w:sz="8" w:color="auto"/>
            </w:tcBorders>
          </w:tcPr>
          <w:p>
            <w:pPr>
              <w:spacing w:after="0"/>
              <w:rPr>
                <w:sz w:val="19"/>
                <w:szCs w:val="19"/>
                <w:color w:val="auto"/>
              </w:rPr>
            </w:pPr>
          </w:p>
        </w:tc>
        <w:tc>
          <w:tcPr>
            <w:tcW w:w="1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227,791</w:t>
            </w:r>
          </w:p>
        </w:tc>
        <w:tc>
          <w:tcPr>
            <w:tcW w:w="16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840" w:type="dxa"/>
            <w:vAlign w:val="bottom"/>
            <w:tcBorders>
              <w:top w:val="single" w:sz="8" w:color="auto"/>
              <w:bottom w:val="single" w:sz="8" w:color="auto"/>
            </w:tcBorders>
          </w:tcPr>
          <w:p>
            <w:pPr>
              <w:spacing w:after="0"/>
              <w:rPr>
                <w:sz w:val="19"/>
                <w:szCs w:val="19"/>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280,043</w:t>
            </w:r>
          </w:p>
        </w:tc>
        <w:tc>
          <w:tcPr>
            <w:tcW w:w="10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7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5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700" w:type="dxa"/>
            <w:vAlign w:val="bottom"/>
          </w:tcPr>
          <w:p>
            <w:pPr>
              <w:spacing w:after="0"/>
              <w:rPr>
                <w:sz w:val="20"/>
                <w:szCs w:val="20"/>
                <w:color w:val="auto"/>
              </w:rPr>
            </w:pPr>
            <w:r>
              <w:rPr>
                <w:rFonts w:ascii="Arial" w:cs="Arial" w:eastAsia="Arial" w:hAnsi="Arial"/>
                <w:sz w:val="18"/>
                <w:szCs w:val="18"/>
                <w:b w:val="1"/>
                <w:bCs w:val="1"/>
                <w:color w:val="auto"/>
                <w:w w:val="89"/>
              </w:rPr>
              <w:t>Income (loss) before income taxes and equity in earnings from unconsolidated entities</w:t>
            </w: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50,243</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260" w:type="dxa"/>
            <w:vAlign w:val="bottom"/>
            <w:gridSpan w:val="2"/>
          </w:tcPr>
          <w:p>
            <w:pPr>
              <w:jc w:val="right"/>
              <w:ind w:right="40"/>
              <w:spacing w:after="0"/>
              <w:rPr>
                <w:sz w:val="20"/>
                <w:szCs w:val="20"/>
                <w:color w:val="auto"/>
              </w:rPr>
            </w:pPr>
            <w:r>
              <w:rPr>
                <w:rFonts w:ascii="Arial" w:cs="Arial" w:eastAsia="Arial" w:hAnsi="Arial"/>
                <w:sz w:val="18"/>
                <w:szCs w:val="18"/>
                <w:color w:val="auto"/>
              </w:rPr>
              <w:t>(7,457)</w:t>
            </w:r>
          </w:p>
        </w:tc>
        <w:tc>
          <w:tcPr>
            <w:tcW w:w="0" w:type="dxa"/>
            <w:vAlign w:val="bottom"/>
          </w:tcPr>
          <w:p>
            <w:pPr>
              <w:spacing w:after="0"/>
              <w:rPr>
                <w:sz w:val="1"/>
                <w:szCs w:val="1"/>
                <w:color w:val="auto"/>
              </w:rPr>
            </w:pPr>
          </w:p>
        </w:tc>
      </w:tr>
      <w:tr>
        <w:trPr>
          <w:trHeight w:val="229"/>
        </w:trPr>
        <w:tc>
          <w:tcPr>
            <w:tcW w:w="67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Income tax benefit</w:t>
            </w:r>
          </w:p>
        </w:tc>
        <w:tc>
          <w:tcPr>
            <w:tcW w:w="18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6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(2,071)</w:t>
            </w:r>
          </w:p>
        </w:tc>
        <w:tc>
          <w:tcPr>
            <w:tcW w:w="12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(2,557)</w:t>
            </w:r>
          </w:p>
        </w:tc>
        <w:tc>
          <w:tcPr>
            <w:tcW w:w="0" w:type="dxa"/>
            <w:vAlign w:val="bottom"/>
          </w:tcPr>
          <w:p>
            <w:pPr>
              <w:spacing w:after="0"/>
              <w:rPr>
                <w:sz w:val="1"/>
                <w:szCs w:val="1"/>
                <w:color w:val="auto"/>
              </w:rPr>
            </w:pPr>
          </w:p>
        </w:tc>
      </w:tr>
      <w:tr>
        <w:trPr>
          <w:trHeight w:val="230"/>
        </w:trPr>
        <w:tc>
          <w:tcPr>
            <w:tcW w:w="6700" w:type="dxa"/>
            <w:vAlign w:val="bottom"/>
          </w:tcPr>
          <w:p>
            <w:pPr>
              <w:ind w:left="260"/>
              <w:spacing w:after="0"/>
              <w:rPr>
                <w:sz w:val="20"/>
                <w:szCs w:val="20"/>
                <w:color w:val="auto"/>
              </w:rPr>
            </w:pPr>
            <w:r>
              <w:rPr>
                <w:rFonts w:ascii="Arial" w:cs="Arial" w:eastAsia="Arial" w:hAnsi="Arial"/>
                <w:sz w:val="18"/>
                <w:szCs w:val="18"/>
                <w:color w:val="auto"/>
              </w:rPr>
              <w:t>Equity in earnings from unconsolidated entities</w:t>
            </w: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(544)</w:t>
            </w:r>
          </w:p>
        </w:tc>
        <w:tc>
          <w:tcPr>
            <w:tcW w:w="1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260" w:type="dxa"/>
            <w:vAlign w:val="bottom"/>
            <w:gridSpan w:val="2"/>
          </w:tcPr>
          <w:p>
            <w:pPr>
              <w:jc w:val="right"/>
              <w:ind w:right="40"/>
              <w:spacing w:after="0"/>
              <w:rPr>
                <w:sz w:val="20"/>
                <w:szCs w:val="20"/>
                <w:color w:val="auto"/>
              </w:rPr>
            </w:pPr>
            <w:r>
              <w:rPr>
                <w:rFonts w:ascii="Arial" w:cs="Arial" w:eastAsia="Arial" w:hAnsi="Arial"/>
                <w:sz w:val="18"/>
                <w:szCs w:val="18"/>
                <w:color w:val="auto"/>
              </w:rPr>
              <w:t>(398)</w:t>
            </w:r>
          </w:p>
        </w:tc>
        <w:tc>
          <w:tcPr>
            <w:tcW w:w="0" w:type="dxa"/>
            <w:vAlign w:val="bottom"/>
          </w:tcPr>
          <w:p>
            <w:pPr>
              <w:spacing w:after="0"/>
              <w:rPr>
                <w:sz w:val="1"/>
                <w:szCs w:val="1"/>
                <w:color w:val="auto"/>
              </w:rPr>
            </w:pPr>
          </w:p>
        </w:tc>
      </w:tr>
      <w:tr>
        <w:trPr>
          <w:trHeight w:val="223"/>
        </w:trPr>
        <w:tc>
          <w:tcPr>
            <w:tcW w:w="67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Net income (loss)</w:t>
            </w:r>
          </w:p>
        </w:tc>
        <w:tc>
          <w:tcPr>
            <w:tcW w:w="180" w:type="dxa"/>
            <w:vAlign w:val="bottom"/>
            <w:tcBorders>
              <w:top w:val="single" w:sz="8" w:color="CFF0FC"/>
            </w:tcBorders>
            <w:shd w:val="clear" w:color="auto" w:fill="CFF0FC"/>
          </w:tcPr>
          <w:p>
            <w:pPr>
              <w:spacing w:after="0"/>
              <w:rPr>
                <w:sz w:val="19"/>
                <w:szCs w:val="19"/>
                <w:color w:val="auto"/>
              </w:rPr>
            </w:pPr>
          </w:p>
        </w:tc>
        <w:tc>
          <w:tcPr>
            <w:tcW w:w="460" w:type="dxa"/>
            <w:vAlign w:val="bottom"/>
            <w:tcBorders>
              <w:top w:val="single" w:sz="8" w:color="auto"/>
            </w:tcBorders>
            <w:shd w:val="clear" w:color="auto" w:fill="CFF0FC"/>
          </w:tcPr>
          <w:p>
            <w:pPr>
              <w:spacing w:after="0"/>
              <w:rPr>
                <w:sz w:val="19"/>
                <w:szCs w:val="19"/>
                <w:color w:val="auto"/>
              </w:rPr>
            </w:pPr>
          </w:p>
        </w:tc>
        <w:tc>
          <w:tcPr>
            <w:tcW w:w="15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52,858</w:t>
            </w:r>
          </w:p>
        </w:tc>
        <w:tc>
          <w:tcPr>
            <w:tcW w:w="16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840" w:type="dxa"/>
            <w:vAlign w:val="bottom"/>
            <w:tcBorders>
              <w:top w:val="single" w:sz="8" w:color="auto"/>
            </w:tcBorders>
            <w:shd w:val="clear" w:color="auto" w:fill="CFF0FC"/>
          </w:tcPr>
          <w:p>
            <w:pPr>
              <w:spacing w:after="0"/>
              <w:rPr>
                <w:sz w:val="19"/>
                <w:szCs w:val="19"/>
                <w:color w:val="auto"/>
              </w:rPr>
            </w:pPr>
          </w:p>
        </w:tc>
        <w:tc>
          <w:tcPr>
            <w:tcW w:w="11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(4,502)</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700" w:type="dxa"/>
            <w:vAlign w:val="bottom"/>
          </w:tcPr>
          <w:p>
            <w:pPr>
              <w:spacing w:after="0"/>
              <w:rPr>
                <w:sz w:val="20"/>
                <w:szCs w:val="20"/>
                <w:color w:val="auto"/>
              </w:rPr>
            </w:pPr>
            <w:r>
              <w:rPr>
                <w:rFonts w:ascii="Arial" w:cs="Arial" w:eastAsia="Arial" w:hAnsi="Arial"/>
                <w:sz w:val="18"/>
                <w:szCs w:val="18"/>
                <w:color w:val="auto"/>
              </w:rPr>
              <w:t>Net income (loss) attributable to noncontrolling interests</w:t>
            </w: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128</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260" w:type="dxa"/>
            <w:vAlign w:val="bottom"/>
            <w:gridSpan w:val="2"/>
          </w:tcPr>
          <w:p>
            <w:pPr>
              <w:jc w:val="right"/>
              <w:ind w:right="40"/>
              <w:spacing w:after="0"/>
              <w:rPr>
                <w:sz w:val="20"/>
                <w:szCs w:val="20"/>
                <w:color w:val="auto"/>
              </w:rPr>
            </w:pPr>
            <w:r>
              <w:rPr>
                <w:rFonts w:ascii="Arial" w:cs="Arial" w:eastAsia="Arial" w:hAnsi="Arial"/>
                <w:sz w:val="18"/>
                <w:szCs w:val="18"/>
                <w:color w:val="auto"/>
              </w:rPr>
              <w:t>(64)</w:t>
            </w:r>
          </w:p>
        </w:tc>
        <w:tc>
          <w:tcPr>
            <w:tcW w:w="0" w:type="dxa"/>
            <w:vAlign w:val="bottom"/>
          </w:tcPr>
          <w:p>
            <w:pPr>
              <w:spacing w:after="0"/>
              <w:rPr>
                <w:sz w:val="1"/>
                <w:szCs w:val="1"/>
                <w:color w:val="auto"/>
              </w:rPr>
            </w:pPr>
          </w:p>
        </w:tc>
      </w:tr>
      <w:tr>
        <w:trPr>
          <w:trHeight w:val="223"/>
        </w:trPr>
        <w:tc>
          <w:tcPr>
            <w:tcW w:w="67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Net income (loss) attributable to shareholders</w:t>
            </w:r>
          </w:p>
        </w:tc>
        <w:tc>
          <w:tcPr>
            <w:tcW w:w="180" w:type="dxa"/>
            <w:vAlign w:val="bottom"/>
            <w:tcBorders>
              <w:top w:val="single" w:sz="8" w:color="CFF0FC"/>
            </w:tcBorders>
            <w:shd w:val="clear" w:color="auto" w:fill="CFF0FC"/>
          </w:tcPr>
          <w:p>
            <w:pPr>
              <w:spacing w:after="0"/>
              <w:rPr>
                <w:sz w:val="19"/>
                <w:szCs w:val="19"/>
                <w:color w:val="auto"/>
              </w:rPr>
            </w:pPr>
          </w:p>
        </w:tc>
        <w:tc>
          <w:tcPr>
            <w:tcW w:w="460" w:type="dxa"/>
            <w:vAlign w:val="bottom"/>
            <w:tcBorders>
              <w:top w:val="single" w:sz="8" w:color="auto"/>
            </w:tcBorders>
            <w:shd w:val="clear" w:color="auto" w:fill="CFF0FC"/>
          </w:tcPr>
          <w:p>
            <w:pPr>
              <w:spacing w:after="0"/>
              <w:rPr>
                <w:sz w:val="19"/>
                <w:szCs w:val="19"/>
                <w:color w:val="auto"/>
              </w:rPr>
            </w:pPr>
          </w:p>
        </w:tc>
        <w:tc>
          <w:tcPr>
            <w:tcW w:w="15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52,730</w:t>
            </w:r>
          </w:p>
        </w:tc>
        <w:tc>
          <w:tcPr>
            <w:tcW w:w="16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840" w:type="dxa"/>
            <w:vAlign w:val="bottom"/>
            <w:tcBorders>
              <w:top w:val="single" w:sz="8" w:color="auto"/>
            </w:tcBorders>
            <w:shd w:val="clear" w:color="auto" w:fill="CFF0FC"/>
          </w:tcPr>
          <w:p>
            <w:pPr>
              <w:spacing w:after="0"/>
              <w:rPr>
                <w:sz w:val="19"/>
                <w:szCs w:val="19"/>
                <w:color w:val="auto"/>
              </w:rPr>
            </w:pPr>
          </w:p>
        </w:tc>
        <w:tc>
          <w:tcPr>
            <w:tcW w:w="11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(4,438)</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700" w:type="dxa"/>
            <w:vAlign w:val="bottom"/>
          </w:tcPr>
          <w:p>
            <w:pPr>
              <w:ind w:left="260"/>
              <w:spacing w:after="0"/>
              <w:rPr>
                <w:sz w:val="20"/>
                <w:szCs w:val="20"/>
                <w:color w:val="auto"/>
              </w:rPr>
            </w:pPr>
            <w:r>
              <w:rPr>
                <w:rFonts w:ascii="Arial" w:cs="Arial" w:eastAsia="Arial" w:hAnsi="Arial"/>
                <w:sz w:val="18"/>
                <w:szCs w:val="18"/>
                <w:color w:val="auto"/>
              </w:rPr>
              <w:t>Participating securities' share in earnings</w:t>
            </w: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(331)</w:t>
            </w:r>
          </w:p>
        </w:tc>
        <w:tc>
          <w:tcPr>
            <w:tcW w:w="1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260" w:type="dxa"/>
            <w:vAlign w:val="bottom"/>
            <w:gridSpan w:val="2"/>
          </w:tcPr>
          <w:p>
            <w:pPr>
              <w:jc w:val="right"/>
              <w:ind w:right="40"/>
              <w:spacing w:after="0"/>
              <w:rPr>
                <w:sz w:val="20"/>
                <w:szCs w:val="20"/>
                <w:color w:val="auto"/>
              </w:rPr>
            </w:pPr>
            <w:r>
              <w:rPr>
                <w:rFonts w:ascii="Arial" w:cs="Arial" w:eastAsia="Arial" w:hAnsi="Arial"/>
                <w:sz w:val="18"/>
                <w:szCs w:val="18"/>
                <w:color w:val="auto"/>
              </w:rPr>
              <w:t>(248)</w:t>
            </w:r>
          </w:p>
        </w:tc>
        <w:tc>
          <w:tcPr>
            <w:tcW w:w="0" w:type="dxa"/>
            <w:vAlign w:val="bottom"/>
          </w:tcPr>
          <w:p>
            <w:pPr>
              <w:spacing w:after="0"/>
              <w:rPr>
                <w:sz w:val="1"/>
                <w:szCs w:val="1"/>
                <w:color w:val="auto"/>
              </w:rPr>
            </w:pPr>
          </w:p>
        </w:tc>
      </w:tr>
      <w:tr>
        <w:trPr>
          <w:trHeight w:val="230"/>
        </w:trPr>
        <w:tc>
          <w:tcPr>
            <w:tcW w:w="67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Dividends declared on convertible preferred stock</w:t>
            </w:r>
          </w:p>
        </w:tc>
        <w:tc>
          <w:tcPr>
            <w:tcW w:w="18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6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(5)</w:t>
            </w:r>
          </w:p>
        </w:tc>
        <w:tc>
          <w:tcPr>
            <w:tcW w:w="12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63"/>
        </w:trPr>
        <w:tc>
          <w:tcPr>
            <w:tcW w:w="6700" w:type="dxa"/>
            <w:vAlign w:val="bottom"/>
            <w:tcBorders>
              <w:bottom w:val="single" w:sz="8" w:color="CFF0FC"/>
            </w:tcBorders>
          </w:tcPr>
          <w:p>
            <w:pPr>
              <w:spacing w:after="0"/>
              <w:rPr>
                <w:sz w:val="20"/>
                <w:szCs w:val="20"/>
                <w:color w:val="auto"/>
              </w:rPr>
            </w:pPr>
            <w:r>
              <w:rPr>
                <w:rFonts w:ascii="Arial" w:cs="Arial" w:eastAsia="Arial" w:hAnsi="Arial"/>
                <w:sz w:val="18"/>
                <w:szCs w:val="18"/>
                <w:b w:val="1"/>
                <w:bCs w:val="1"/>
                <w:color w:val="auto"/>
              </w:rPr>
              <w:t>Net income (loss) attributable to common shareholders</w:t>
            </w:r>
          </w:p>
        </w:tc>
        <w:tc>
          <w:tcPr>
            <w:tcW w:w="180" w:type="dxa"/>
            <w:vAlign w:val="bottom"/>
            <w:tcBorders>
              <w:bottom w:val="single" w:sz="8" w:color="CFF0FC"/>
            </w:tcBorders>
          </w:tcPr>
          <w:p>
            <w:pPr>
              <w:spacing w:after="0"/>
              <w:rPr>
                <w:sz w:val="22"/>
                <w:szCs w:val="22"/>
                <w:color w:val="auto"/>
              </w:rPr>
            </w:pPr>
          </w:p>
        </w:tc>
        <w:tc>
          <w:tcPr>
            <w:tcW w:w="460" w:type="dxa"/>
            <w:vAlign w:val="bottom"/>
            <w:tcBorders>
              <w:top w:val="single" w:sz="8" w:color="auto"/>
              <w:bottom w:val="single" w:sz="8" w:color="auto"/>
            </w:tcBorders>
          </w:tcPr>
          <w:p>
            <w:pPr>
              <w:jc w:val="right"/>
              <w:ind w:right="307"/>
              <w:spacing w:after="0"/>
              <w:rPr>
                <w:sz w:val="20"/>
                <w:szCs w:val="20"/>
                <w:color w:val="auto"/>
              </w:rPr>
            </w:pPr>
            <w:r>
              <w:rPr>
                <w:rFonts w:ascii="Arial" w:cs="Arial" w:eastAsia="Arial" w:hAnsi="Arial"/>
                <w:sz w:val="15"/>
                <w:szCs w:val="15"/>
                <w:color w:val="auto"/>
                <w:w w:val="71"/>
              </w:rPr>
              <w:t>$</w:t>
            </w:r>
          </w:p>
        </w:tc>
        <w:tc>
          <w:tcPr>
            <w:tcW w:w="1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52,394</w:t>
            </w:r>
          </w:p>
        </w:tc>
        <w:tc>
          <w:tcPr>
            <w:tcW w:w="160" w:type="dxa"/>
            <w:vAlign w:val="bottom"/>
            <w:tcBorders>
              <w:bottom w:val="single" w:sz="8" w:color="CFF0FC"/>
            </w:tcBorders>
          </w:tcPr>
          <w:p>
            <w:pPr>
              <w:spacing w:after="0"/>
              <w:rPr>
                <w:sz w:val="22"/>
                <w:szCs w:val="22"/>
                <w:color w:val="auto"/>
              </w:rPr>
            </w:pPr>
          </w:p>
        </w:tc>
        <w:tc>
          <w:tcPr>
            <w:tcW w:w="120" w:type="dxa"/>
            <w:vAlign w:val="bottom"/>
            <w:tcBorders>
              <w:bottom w:val="single" w:sz="8" w:color="CFF0FC"/>
            </w:tcBorders>
          </w:tcPr>
          <w:p>
            <w:pPr>
              <w:spacing w:after="0"/>
              <w:rPr>
                <w:sz w:val="22"/>
                <w:szCs w:val="22"/>
                <w:color w:val="auto"/>
              </w:rPr>
            </w:pPr>
          </w:p>
        </w:tc>
        <w:tc>
          <w:tcPr>
            <w:tcW w:w="840" w:type="dxa"/>
            <w:vAlign w:val="bottom"/>
            <w:tcBorders>
              <w:top w:val="single" w:sz="8" w:color="auto"/>
              <w:bottom w:val="single" w:sz="8" w:color="auto"/>
            </w:tcBorders>
          </w:tcPr>
          <w:p>
            <w:pPr>
              <w:jc w:val="right"/>
              <w:ind w:right="65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(4,689)</w:t>
            </w:r>
          </w:p>
        </w:tc>
        <w:tc>
          <w:tcPr>
            <w:tcW w:w="100" w:type="dxa"/>
            <w:vAlign w:val="bottom"/>
            <w:tcBorders>
              <w:bottom w:val="single" w:sz="8" w:color="CFF0FC"/>
            </w:tcBorders>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670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15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1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700" w:type="dxa"/>
            <w:vAlign w:val="bottom"/>
          </w:tcPr>
          <w:p>
            <w:pPr>
              <w:spacing w:after="0"/>
              <w:rPr>
                <w:sz w:val="20"/>
                <w:szCs w:val="20"/>
                <w:color w:val="auto"/>
              </w:rPr>
            </w:pPr>
            <w:r>
              <w:rPr>
                <w:rFonts w:ascii="Arial" w:cs="Arial" w:eastAsia="Arial" w:hAnsi="Arial"/>
                <w:sz w:val="18"/>
                <w:szCs w:val="18"/>
                <w:b w:val="1"/>
                <w:bCs w:val="1"/>
                <w:color w:val="auto"/>
              </w:rPr>
              <w:t>Income (loss) per common share:</w:t>
            </w: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7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Basic</w:t>
            </w:r>
          </w:p>
        </w:tc>
        <w:tc>
          <w:tcPr>
            <w:tcW w:w="640" w:type="dxa"/>
            <w:vAlign w:val="bottom"/>
            <w:gridSpan w:val="2"/>
            <w:shd w:val="clear" w:color="auto" w:fill="CFF0FC"/>
          </w:tcPr>
          <w:p>
            <w:pPr>
              <w:jc w:val="right"/>
              <w:ind w:right="307"/>
              <w:spacing w:after="0"/>
              <w:rPr>
                <w:sz w:val="20"/>
                <w:szCs w:val="20"/>
                <w:color w:val="auto"/>
              </w:rPr>
            </w:pPr>
            <w:r>
              <w:rPr>
                <w:rFonts w:ascii="Arial" w:cs="Arial" w:eastAsia="Arial" w:hAnsi="Arial"/>
                <w:sz w:val="18"/>
                <w:szCs w:val="18"/>
                <w:color w:val="auto"/>
              </w:rPr>
              <w:t>$</w:t>
            </w:r>
          </w:p>
        </w:tc>
        <w:tc>
          <w:tcPr>
            <w:tcW w:w="15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0.22</w:t>
            </w:r>
          </w:p>
        </w:tc>
        <w:tc>
          <w:tcPr>
            <w:tcW w:w="16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65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(0.02)</w:t>
            </w:r>
          </w:p>
        </w:tc>
        <w:tc>
          <w:tcPr>
            <w:tcW w:w="0" w:type="dxa"/>
            <w:vAlign w:val="bottom"/>
          </w:tcPr>
          <w:p>
            <w:pPr>
              <w:spacing w:after="0"/>
              <w:rPr>
                <w:sz w:val="1"/>
                <w:szCs w:val="1"/>
                <w:color w:val="auto"/>
              </w:rPr>
            </w:pPr>
          </w:p>
        </w:tc>
      </w:tr>
      <w:tr>
        <w:trPr>
          <w:trHeight w:val="20"/>
        </w:trPr>
        <w:tc>
          <w:tcPr>
            <w:tcW w:w="6700" w:type="dxa"/>
            <w:vAlign w:val="bottom"/>
            <w:tcBorders>
              <w:top w:val="single" w:sz="8" w:color="CFF0FC"/>
              <w:bottom w:val="single" w:sz="8" w:color="CFF0FC"/>
            </w:tcBorders>
            <w:vMerge w:val="restart"/>
          </w:tcPr>
          <w:p>
            <w:pPr>
              <w:ind w:left="260"/>
              <w:spacing w:after="0"/>
              <w:rPr>
                <w:sz w:val="20"/>
                <w:szCs w:val="20"/>
                <w:color w:val="auto"/>
              </w:rPr>
            </w:pPr>
            <w:r>
              <w:rPr>
                <w:rFonts w:ascii="Arial" w:cs="Arial" w:eastAsia="Arial" w:hAnsi="Arial"/>
                <w:sz w:val="18"/>
                <w:szCs w:val="18"/>
                <w:color w:val="auto"/>
              </w:rPr>
              <w:t>Diluted</w:t>
            </w:r>
          </w:p>
        </w:tc>
        <w:tc>
          <w:tcPr>
            <w:tcW w:w="180" w:type="dxa"/>
            <w:vAlign w:val="bottom"/>
            <w:tcBorders>
              <w:top w:val="single" w:sz="8" w:color="CFF0FC"/>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6700" w:type="dxa"/>
            <w:vAlign w:val="bottom"/>
            <w:tcBorders>
              <w:bottom w:val="single" w:sz="8" w:color="CFF0FC"/>
            </w:tcBorders>
            <w:vMerge w:val="continue"/>
          </w:tcPr>
          <w:p>
            <w:pPr>
              <w:spacing w:after="0"/>
              <w:rPr>
                <w:sz w:val="21"/>
                <w:szCs w:val="21"/>
                <w:color w:val="auto"/>
              </w:rPr>
            </w:pPr>
          </w:p>
        </w:tc>
        <w:tc>
          <w:tcPr>
            <w:tcW w:w="180" w:type="dxa"/>
            <w:vAlign w:val="bottom"/>
            <w:tcBorders>
              <w:bottom w:val="single" w:sz="8" w:color="CFF0FC"/>
            </w:tcBorders>
          </w:tcPr>
          <w:p>
            <w:pPr>
              <w:spacing w:after="0"/>
              <w:rPr>
                <w:sz w:val="21"/>
                <w:szCs w:val="21"/>
                <w:color w:val="auto"/>
              </w:rPr>
            </w:pPr>
          </w:p>
        </w:tc>
        <w:tc>
          <w:tcPr>
            <w:tcW w:w="460" w:type="dxa"/>
            <w:vAlign w:val="bottom"/>
            <w:tcBorders>
              <w:bottom w:val="single" w:sz="8" w:color="auto"/>
            </w:tcBorders>
          </w:tcPr>
          <w:p>
            <w:pPr>
              <w:jc w:val="right"/>
              <w:ind w:right="307"/>
              <w:spacing w:after="0"/>
              <w:rPr>
                <w:sz w:val="20"/>
                <w:szCs w:val="20"/>
                <w:color w:val="auto"/>
              </w:rPr>
            </w:pPr>
            <w:r>
              <w:rPr>
                <w:rFonts w:ascii="Arial" w:cs="Arial" w:eastAsia="Arial" w:hAnsi="Arial"/>
                <w:sz w:val="15"/>
                <w:szCs w:val="15"/>
                <w:color w:val="auto"/>
                <w:w w:val="71"/>
              </w:rPr>
              <w:t>$</w:t>
            </w: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0.21</w:t>
            </w:r>
          </w:p>
        </w:tc>
        <w:tc>
          <w:tcPr>
            <w:tcW w:w="160" w:type="dxa"/>
            <w:vAlign w:val="bottom"/>
            <w:tcBorders>
              <w:bottom w:val="single" w:sz="8" w:color="CFF0FC"/>
            </w:tcBorders>
          </w:tcPr>
          <w:p>
            <w:pPr>
              <w:spacing w:after="0"/>
              <w:rPr>
                <w:sz w:val="21"/>
                <w:szCs w:val="21"/>
                <w:color w:val="auto"/>
              </w:rPr>
            </w:pPr>
          </w:p>
        </w:tc>
        <w:tc>
          <w:tcPr>
            <w:tcW w:w="120" w:type="dxa"/>
            <w:vAlign w:val="bottom"/>
            <w:tcBorders>
              <w:bottom w:val="single" w:sz="8" w:color="CFF0FC"/>
            </w:tcBorders>
          </w:tcPr>
          <w:p>
            <w:pPr>
              <w:spacing w:after="0"/>
              <w:rPr>
                <w:sz w:val="21"/>
                <w:szCs w:val="21"/>
                <w:color w:val="auto"/>
              </w:rPr>
            </w:pPr>
          </w:p>
        </w:tc>
        <w:tc>
          <w:tcPr>
            <w:tcW w:w="840" w:type="dxa"/>
            <w:vAlign w:val="bottom"/>
            <w:tcBorders>
              <w:bottom w:val="single" w:sz="8" w:color="auto"/>
            </w:tcBorders>
          </w:tcPr>
          <w:p>
            <w:pPr>
              <w:jc w:val="right"/>
              <w:ind w:right="65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(0.02)</w:t>
            </w:r>
          </w:p>
        </w:tc>
        <w:tc>
          <w:tcPr>
            <w:tcW w:w="100" w:type="dxa"/>
            <w:vAlign w:val="bottom"/>
            <w:tcBorders>
              <w:bottom w:val="single" w:sz="8" w:color="CFF0FC"/>
            </w:tcBorders>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670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15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1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6700" w:type="dxa"/>
            <w:vAlign w:val="bottom"/>
          </w:tcPr>
          <w:p>
            <w:pPr>
              <w:spacing w:after="0"/>
              <w:rPr>
                <w:sz w:val="20"/>
                <w:szCs w:val="20"/>
                <w:color w:val="auto"/>
              </w:rPr>
            </w:pPr>
            <w:r>
              <w:rPr>
                <w:rFonts w:ascii="Arial" w:cs="Arial" w:eastAsia="Arial" w:hAnsi="Arial"/>
                <w:sz w:val="18"/>
                <w:szCs w:val="18"/>
                <w:b w:val="1"/>
                <w:bCs w:val="1"/>
                <w:color w:val="auto"/>
              </w:rPr>
              <w:t>Weighted-average number of common shares outstanding:</w:t>
            </w: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700" w:type="dxa"/>
            <w:vAlign w:val="bottom"/>
            <w:tcBorders>
              <w:bottom w:val="single" w:sz="8" w:color="CFF0FC"/>
            </w:tcBorders>
            <w:shd w:val="clear" w:color="auto" w:fill="CFF0FC"/>
          </w:tcPr>
          <w:p>
            <w:pPr>
              <w:ind w:left="260"/>
              <w:spacing w:after="0"/>
              <w:rPr>
                <w:sz w:val="20"/>
                <w:szCs w:val="20"/>
                <w:color w:val="auto"/>
              </w:rPr>
            </w:pPr>
            <w:r>
              <w:rPr>
                <w:rFonts w:ascii="Arial" w:cs="Arial" w:eastAsia="Arial" w:hAnsi="Arial"/>
                <w:sz w:val="18"/>
                <w:szCs w:val="18"/>
                <w:color w:val="auto"/>
              </w:rPr>
              <w:t>Basic</w:t>
            </w:r>
          </w:p>
        </w:tc>
        <w:tc>
          <w:tcPr>
            <w:tcW w:w="180" w:type="dxa"/>
            <w:vAlign w:val="bottom"/>
            <w:tcBorders>
              <w:bottom w:val="single" w:sz="8" w:color="CFF0FC"/>
            </w:tcBorders>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spacing w:after="0"/>
              <w:rPr>
                <w:sz w:val="19"/>
                <w:szCs w:val="19"/>
                <w:color w:val="auto"/>
              </w:rPr>
            </w:pPr>
          </w:p>
        </w:tc>
        <w:tc>
          <w:tcPr>
            <w:tcW w:w="15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235,046</w:t>
            </w:r>
          </w:p>
        </w:tc>
        <w:tc>
          <w:tcPr>
            <w:tcW w:w="160" w:type="dxa"/>
            <w:vAlign w:val="bottom"/>
            <w:tcBorders>
              <w:bottom w:val="single" w:sz="8" w:color="CFF0FC"/>
            </w:tcBorders>
            <w:shd w:val="clear" w:color="auto" w:fill="CFF0FC"/>
          </w:tcPr>
          <w:p>
            <w:pPr>
              <w:spacing w:after="0"/>
              <w:rPr>
                <w:sz w:val="19"/>
                <w:szCs w:val="19"/>
                <w:color w:val="auto"/>
              </w:rPr>
            </w:pPr>
          </w:p>
        </w:tc>
        <w:tc>
          <w:tcPr>
            <w:tcW w:w="120" w:type="dxa"/>
            <w:vAlign w:val="bottom"/>
            <w:tcBorders>
              <w:bottom w:val="single" w:sz="8" w:color="CFF0FC"/>
            </w:tcBorders>
            <w:shd w:val="clear" w:color="auto" w:fill="CFF0FC"/>
          </w:tcPr>
          <w:p>
            <w:pPr>
              <w:spacing w:after="0"/>
              <w:rPr>
                <w:sz w:val="19"/>
                <w:szCs w:val="19"/>
                <w:color w:val="auto"/>
              </w:rPr>
            </w:pPr>
          </w:p>
        </w:tc>
        <w:tc>
          <w:tcPr>
            <w:tcW w:w="840" w:type="dxa"/>
            <w:vAlign w:val="bottom"/>
            <w:tcBorders>
              <w:bottom w:val="single" w:sz="8" w:color="auto"/>
            </w:tcBorders>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231,469</w:t>
            </w:r>
          </w:p>
        </w:tc>
        <w:tc>
          <w:tcPr>
            <w:tcW w:w="10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700" w:type="dxa"/>
            <w:vAlign w:val="bottom"/>
            <w:vMerge w:val="restart"/>
          </w:tcPr>
          <w:p>
            <w:pPr>
              <w:ind w:left="260"/>
              <w:spacing w:after="0"/>
              <w:rPr>
                <w:sz w:val="20"/>
                <w:szCs w:val="20"/>
                <w:color w:val="auto"/>
              </w:rPr>
            </w:pPr>
            <w:r>
              <w:rPr>
                <w:rFonts w:ascii="Arial" w:cs="Arial" w:eastAsia="Arial" w:hAnsi="Arial"/>
                <w:sz w:val="18"/>
                <w:szCs w:val="18"/>
                <w:color w:val="auto"/>
              </w:rPr>
              <w:t>Diluted</w:t>
            </w:r>
          </w:p>
        </w:tc>
        <w:tc>
          <w:tcPr>
            <w:tcW w:w="18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700" w:type="dxa"/>
            <w:vAlign w:val="bottom"/>
            <w:vMerge w:val="continue"/>
          </w:tcPr>
          <w:p>
            <w:pPr>
              <w:spacing w:after="0"/>
              <w:rPr>
                <w:sz w:val="18"/>
                <w:szCs w:val="18"/>
                <w:color w:val="auto"/>
              </w:rPr>
            </w:pPr>
          </w:p>
        </w:tc>
        <w:tc>
          <w:tcPr>
            <w:tcW w:w="180" w:type="dxa"/>
            <w:vAlign w:val="bottom"/>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267,304</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231,469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7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ectPr>
          <w:pgSz w:w="11900" w:h="16838" w:orient="portrait"/>
          <w:cols w:equalWidth="0" w:num="1">
            <w:col w:w="11240"/>
          </w:cols>
          <w:pgMar w:left="320" w:top="125"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107315</wp:posOffset>
            </wp:positionV>
            <wp:extent cx="71577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type w:val="continuous"/>
        </w:sectPr>
      </w:pPr>
    </w:p>
    <w:bookmarkStart w:id="6" w:name="page7"/>
    <w:bookmarkEnd w:id="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Comprehensive Income (Loss)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3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7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Three Months Ended March 31,</w:t>
            </w:r>
          </w:p>
        </w:tc>
        <w:tc>
          <w:tcPr>
            <w:tcW w:w="116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r>
      <w:tr>
        <w:trPr>
          <w:trHeight w:val="223"/>
        </w:trPr>
        <w:tc>
          <w:tcPr>
            <w:tcW w:w="660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w:t>
            </w:r>
          </w:p>
        </w:tc>
        <w:tc>
          <w:tcPr>
            <w:tcW w:w="200" w:type="dxa"/>
            <w:vAlign w:val="bottom"/>
            <w:tcBorders>
              <w:bottom w:val="single" w:sz="8" w:color="CFF0FC"/>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540" w:type="dxa"/>
            <w:vAlign w:val="bottom"/>
            <w:tcBorders>
              <w:bottom w:val="single" w:sz="8" w:color="auto"/>
            </w:tcBorders>
          </w:tcPr>
          <w:p>
            <w:pPr>
              <w:jc w:val="right"/>
              <w:ind w:right="775"/>
              <w:spacing w:after="0"/>
              <w:rPr>
                <w:sz w:val="20"/>
                <w:szCs w:val="20"/>
                <w:color w:val="auto"/>
              </w:rPr>
            </w:pPr>
            <w:r>
              <w:rPr>
                <w:rFonts w:ascii="Arial" w:cs="Arial" w:eastAsia="Arial" w:hAnsi="Arial"/>
                <w:sz w:val="14"/>
                <w:szCs w:val="14"/>
                <w:b w:val="1"/>
                <w:bCs w:val="1"/>
                <w:color w:val="auto"/>
              </w:rPr>
              <w:t>2022</w:t>
            </w:r>
          </w:p>
        </w:tc>
        <w:tc>
          <w:tcPr>
            <w:tcW w:w="300" w:type="dxa"/>
            <w:vAlign w:val="bottom"/>
            <w:tcBorders>
              <w:bottom w:val="single" w:sz="8" w:color="CFF0FC"/>
            </w:tcBorders>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ind w:right="793"/>
              <w:spacing w:after="0"/>
              <w:rPr>
                <w:sz w:val="20"/>
                <w:szCs w:val="20"/>
                <w:color w:val="auto"/>
              </w:rPr>
            </w:pPr>
            <w:r>
              <w:rPr>
                <w:rFonts w:ascii="Arial" w:cs="Arial" w:eastAsia="Arial" w:hAnsi="Arial"/>
                <w:sz w:val="14"/>
                <w:szCs w:val="14"/>
                <w:b w:val="1"/>
                <w:bCs w:val="1"/>
                <w:color w:val="auto"/>
                <w:w w:val="83"/>
              </w:rPr>
              <w:t>2021</w:t>
            </w:r>
          </w:p>
        </w:tc>
        <w:tc>
          <w:tcPr>
            <w:tcW w:w="120" w:type="dxa"/>
            <w:vAlign w:val="bottom"/>
            <w:tcBorders>
              <w:bottom w:val="single" w:sz="8" w:color="CFF0FC"/>
            </w:tcBorders>
          </w:tcPr>
          <w:p>
            <w:pPr>
              <w:spacing w:after="0"/>
              <w:rPr>
                <w:sz w:val="19"/>
                <w:szCs w:val="19"/>
                <w:color w:val="auto"/>
              </w:rPr>
            </w:pPr>
          </w:p>
        </w:tc>
      </w:tr>
      <w:tr>
        <w:trPr>
          <w:trHeight w:val="223"/>
        </w:trPr>
        <w:tc>
          <w:tcPr>
            <w:tcW w:w="6600" w:type="dxa"/>
            <w:vAlign w:val="bottom"/>
            <w:shd w:val="clear" w:color="auto" w:fill="CFF0FC"/>
          </w:tcPr>
          <w:p>
            <w:pPr>
              <w:spacing w:after="0"/>
              <w:rPr>
                <w:sz w:val="20"/>
                <w:szCs w:val="20"/>
                <w:color w:val="auto"/>
              </w:rPr>
            </w:pPr>
            <w:r>
              <w:rPr>
                <w:rFonts w:ascii="Arial" w:cs="Arial" w:eastAsia="Arial" w:hAnsi="Arial"/>
                <w:sz w:val="18"/>
                <w:szCs w:val="18"/>
                <w:color w:val="auto"/>
              </w:rPr>
              <w:t>Net income (loss)</w:t>
            </w:r>
          </w:p>
        </w:tc>
        <w:tc>
          <w:tcPr>
            <w:tcW w:w="200" w:type="dxa"/>
            <w:vAlign w:val="bottom"/>
            <w:shd w:val="clear" w:color="auto" w:fill="CFF0FC"/>
          </w:tcPr>
          <w:p>
            <w:pPr>
              <w:spacing w:after="0"/>
              <w:rPr>
                <w:sz w:val="19"/>
                <w:szCs w:val="19"/>
                <w:color w:val="auto"/>
              </w:rPr>
            </w:pPr>
          </w:p>
        </w:tc>
        <w:tc>
          <w:tcPr>
            <w:tcW w:w="460" w:type="dxa"/>
            <w:vAlign w:val="bottom"/>
            <w:shd w:val="clear" w:color="auto" w:fill="CFF0FC"/>
          </w:tcPr>
          <w:p>
            <w:pPr>
              <w:jc w:val="right"/>
              <w:ind w:right="307"/>
              <w:spacing w:after="0"/>
              <w:rPr>
                <w:sz w:val="20"/>
                <w:szCs w:val="20"/>
                <w:color w:val="auto"/>
              </w:rPr>
            </w:pPr>
            <w:r>
              <w:rPr>
                <w:rFonts w:ascii="Arial" w:cs="Arial" w:eastAsia="Arial" w:hAnsi="Arial"/>
                <w:sz w:val="15"/>
                <w:szCs w:val="15"/>
                <w:color w:val="auto"/>
                <w:w w:val="71"/>
              </w:rPr>
              <w:t>$</w:t>
            </w: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52,858</w:t>
            </w:r>
          </w:p>
        </w:tc>
        <w:tc>
          <w:tcPr>
            <w:tcW w:w="300" w:type="dxa"/>
            <w:vAlign w:val="bottom"/>
            <w:shd w:val="clear" w:color="auto" w:fill="CFF0FC"/>
          </w:tcPr>
          <w:p>
            <w:pPr>
              <w:spacing w:after="0"/>
              <w:rPr>
                <w:sz w:val="19"/>
                <w:szCs w:val="19"/>
                <w:color w:val="auto"/>
              </w:rPr>
            </w:pPr>
          </w:p>
        </w:tc>
        <w:tc>
          <w:tcPr>
            <w:tcW w:w="860" w:type="dxa"/>
            <w:vAlign w:val="bottom"/>
            <w:shd w:val="clear" w:color="auto" w:fill="CFF0FC"/>
          </w:tcPr>
          <w:p>
            <w:pPr>
              <w:jc w:val="right"/>
              <w:ind w:right="670"/>
              <w:spacing w:after="0"/>
              <w:rPr>
                <w:sz w:val="20"/>
                <w:szCs w:val="20"/>
                <w:color w:val="auto"/>
              </w:rPr>
            </w:pPr>
            <w:r>
              <w:rPr>
                <w:rFonts w:ascii="Arial" w:cs="Arial" w:eastAsia="Arial" w:hAnsi="Arial"/>
                <w:sz w:val="18"/>
                <w:szCs w:val="18"/>
                <w:color w:val="auto"/>
                <w:w w:val="79"/>
              </w:rPr>
              <w:t>$</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(4,502)</w:t>
            </w:r>
          </w:p>
        </w:tc>
        <w:tc>
          <w:tcPr>
            <w:tcW w:w="120" w:type="dxa"/>
            <w:vAlign w:val="bottom"/>
            <w:shd w:val="clear" w:color="auto" w:fill="CFF0FC"/>
          </w:tcPr>
          <w:p>
            <w:pPr>
              <w:spacing w:after="0"/>
              <w:rPr>
                <w:sz w:val="19"/>
                <w:szCs w:val="19"/>
                <w:color w:val="auto"/>
              </w:rPr>
            </w:pPr>
          </w:p>
        </w:tc>
      </w:tr>
      <w:tr>
        <w:trPr>
          <w:trHeight w:val="229"/>
        </w:trPr>
        <w:tc>
          <w:tcPr>
            <w:tcW w:w="6600" w:type="dxa"/>
            <w:vAlign w:val="bottom"/>
          </w:tcPr>
          <w:p>
            <w:pPr>
              <w:spacing w:after="0"/>
              <w:rPr>
                <w:sz w:val="20"/>
                <w:szCs w:val="20"/>
                <w:color w:val="auto"/>
              </w:rPr>
            </w:pPr>
            <w:r>
              <w:rPr>
                <w:rFonts w:ascii="Arial" w:cs="Arial" w:eastAsia="Arial" w:hAnsi="Arial"/>
                <w:sz w:val="18"/>
                <w:szCs w:val="18"/>
                <w:color w:val="auto"/>
              </w:rPr>
              <w:t>Other comprehensive income:</w:t>
            </w:r>
          </w:p>
        </w:tc>
        <w:tc>
          <w:tcPr>
            <w:tcW w:w="2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30"/>
        </w:trPr>
        <w:tc>
          <w:tcPr>
            <w:tcW w:w="66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Interest rate swap termination</w:t>
            </w:r>
          </w:p>
        </w:tc>
        <w:tc>
          <w:tcPr>
            <w:tcW w:w="200" w:type="dxa"/>
            <w:vAlign w:val="bottom"/>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spacing w:after="0"/>
              <w:rPr>
                <w:sz w:val="19"/>
                <w:szCs w:val="19"/>
                <w:color w:val="auto"/>
              </w:rPr>
            </w:pPr>
          </w:p>
        </w:tc>
        <w:tc>
          <w:tcPr>
            <w:tcW w:w="15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2,830</w:t>
            </w:r>
          </w:p>
        </w:tc>
        <w:tc>
          <w:tcPr>
            <w:tcW w:w="300" w:type="dxa"/>
            <w:vAlign w:val="bottom"/>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2,829</w:t>
            </w:r>
          </w:p>
        </w:tc>
        <w:tc>
          <w:tcPr>
            <w:tcW w:w="120" w:type="dxa"/>
            <w:vAlign w:val="bottom"/>
            <w:shd w:val="clear" w:color="auto" w:fill="CFF0FC"/>
          </w:tcPr>
          <w:p>
            <w:pPr>
              <w:spacing w:after="0"/>
              <w:rPr>
                <w:sz w:val="19"/>
                <w:szCs w:val="19"/>
                <w:color w:val="auto"/>
              </w:rPr>
            </w:pPr>
          </w:p>
        </w:tc>
      </w:tr>
      <w:tr>
        <w:trPr>
          <w:trHeight w:val="223"/>
        </w:trPr>
        <w:tc>
          <w:tcPr>
            <w:tcW w:w="66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Other comprehensive income:</w:t>
            </w:r>
          </w:p>
        </w:tc>
        <w:tc>
          <w:tcPr>
            <w:tcW w:w="200" w:type="dxa"/>
            <w:vAlign w:val="bottom"/>
            <w:tcBorders>
              <w:bottom w:val="single" w:sz="8" w:color="CFF0FC"/>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2,830</w:t>
            </w:r>
          </w:p>
        </w:tc>
        <w:tc>
          <w:tcPr>
            <w:tcW w:w="300" w:type="dxa"/>
            <w:vAlign w:val="bottom"/>
            <w:tcBorders>
              <w:bottom w:val="single" w:sz="8" w:color="CFF0FC"/>
            </w:tcBorders>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2,829</w:t>
            </w:r>
          </w:p>
        </w:tc>
        <w:tc>
          <w:tcPr>
            <w:tcW w:w="120" w:type="dxa"/>
            <w:vAlign w:val="bottom"/>
            <w:tcBorders>
              <w:bottom w:val="single" w:sz="8" w:color="CFF0FC"/>
            </w:tcBorders>
          </w:tcPr>
          <w:p>
            <w:pPr>
              <w:spacing w:after="0"/>
              <w:rPr>
                <w:sz w:val="19"/>
                <w:szCs w:val="19"/>
                <w:color w:val="auto"/>
              </w:rPr>
            </w:pPr>
          </w:p>
        </w:tc>
      </w:tr>
      <w:tr>
        <w:trPr>
          <w:trHeight w:val="223"/>
        </w:trPr>
        <w:tc>
          <w:tcPr>
            <w:tcW w:w="6600" w:type="dxa"/>
            <w:vAlign w:val="bottom"/>
            <w:shd w:val="clear" w:color="auto" w:fill="CFF0FC"/>
          </w:tcPr>
          <w:p>
            <w:pPr>
              <w:spacing w:after="0"/>
              <w:rPr>
                <w:sz w:val="20"/>
                <w:szCs w:val="20"/>
                <w:color w:val="auto"/>
              </w:rPr>
            </w:pPr>
            <w:r>
              <w:rPr>
                <w:rFonts w:ascii="Arial" w:cs="Arial" w:eastAsia="Arial" w:hAnsi="Arial"/>
                <w:sz w:val="18"/>
                <w:szCs w:val="18"/>
                <w:color w:val="auto"/>
              </w:rPr>
              <w:t>Comprehensive income (loss)</w:t>
            </w:r>
          </w:p>
        </w:tc>
        <w:tc>
          <w:tcPr>
            <w:tcW w:w="20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55,688</w:t>
            </w:r>
          </w:p>
        </w:tc>
        <w:tc>
          <w:tcPr>
            <w:tcW w:w="30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(1,673)</w:t>
            </w:r>
          </w:p>
        </w:tc>
        <w:tc>
          <w:tcPr>
            <w:tcW w:w="120" w:type="dxa"/>
            <w:vAlign w:val="bottom"/>
            <w:shd w:val="clear" w:color="auto" w:fill="CFF0FC"/>
          </w:tcPr>
          <w:p>
            <w:pPr>
              <w:spacing w:after="0"/>
              <w:rPr>
                <w:sz w:val="19"/>
                <w:szCs w:val="19"/>
                <w:color w:val="auto"/>
              </w:rPr>
            </w:pPr>
          </w:p>
        </w:tc>
      </w:tr>
      <w:tr>
        <w:trPr>
          <w:trHeight w:val="229"/>
        </w:trPr>
        <w:tc>
          <w:tcPr>
            <w:tcW w:w="6600" w:type="dxa"/>
            <w:vAlign w:val="bottom"/>
          </w:tcPr>
          <w:p>
            <w:pPr>
              <w:spacing w:after="0"/>
              <w:rPr>
                <w:sz w:val="20"/>
                <w:szCs w:val="20"/>
                <w:color w:val="auto"/>
              </w:rPr>
            </w:pPr>
            <w:r>
              <w:rPr>
                <w:rFonts w:ascii="Arial" w:cs="Arial" w:eastAsia="Arial" w:hAnsi="Arial"/>
                <w:sz w:val="18"/>
                <w:szCs w:val="18"/>
                <w:color w:val="auto"/>
              </w:rPr>
              <w:t>Comprehensive income (loss) attributable to noncontrolling interest</w:t>
            </w:r>
          </w:p>
        </w:tc>
        <w:tc>
          <w:tcPr>
            <w:tcW w:w="2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135</w:t>
            </w:r>
          </w:p>
        </w:tc>
        <w:tc>
          <w:tcPr>
            <w:tcW w:w="3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280" w:type="dxa"/>
            <w:vAlign w:val="bottom"/>
            <w:gridSpan w:val="2"/>
          </w:tcPr>
          <w:p>
            <w:pPr>
              <w:jc w:val="right"/>
              <w:ind w:right="60"/>
              <w:spacing w:after="0"/>
              <w:rPr>
                <w:sz w:val="20"/>
                <w:szCs w:val="20"/>
                <w:color w:val="auto"/>
              </w:rPr>
            </w:pPr>
            <w:r>
              <w:rPr>
                <w:rFonts w:ascii="Arial" w:cs="Arial" w:eastAsia="Arial" w:hAnsi="Arial"/>
                <w:sz w:val="18"/>
                <w:szCs w:val="18"/>
                <w:color w:val="auto"/>
              </w:rPr>
              <w:t>(22)</w:t>
            </w:r>
          </w:p>
        </w:tc>
      </w:tr>
      <w:tr>
        <w:trPr>
          <w:trHeight w:val="223"/>
        </w:trPr>
        <w:tc>
          <w:tcPr>
            <w:tcW w:w="660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Comprehensive income (loss) attributable to shareholders</w:t>
            </w:r>
          </w:p>
        </w:tc>
        <w:tc>
          <w:tcPr>
            <w:tcW w:w="200" w:type="dxa"/>
            <w:vAlign w:val="bottom"/>
            <w:tcBorders>
              <w:top w:val="single" w:sz="8" w:color="CFF0FC"/>
              <w:bottom w:val="single" w:sz="8" w:color="CFF0FC"/>
            </w:tcBorders>
            <w:shd w:val="clear" w:color="auto" w:fill="CFF0FC"/>
          </w:tcPr>
          <w:p>
            <w:pPr>
              <w:spacing w:after="0"/>
              <w:rPr>
                <w:sz w:val="19"/>
                <w:szCs w:val="19"/>
                <w:color w:val="auto"/>
              </w:rPr>
            </w:pPr>
          </w:p>
        </w:tc>
        <w:tc>
          <w:tcPr>
            <w:tcW w:w="460" w:type="dxa"/>
            <w:vAlign w:val="bottom"/>
            <w:tcBorders>
              <w:top w:val="single" w:sz="8" w:color="auto"/>
              <w:bottom w:val="single" w:sz="8" w:color="auto"/>
            </w:tcBorders>
            <w:shd w:val="clear" w:color="auto" w:fill="CFF0FC"/>
          </w:tcPr>
          <w:p>
            <w:pPr>
              <w:jc w:val="right"/>
              <w:ind w:right="307"/>
              <w:spacing w:after="0"/>
              <w:rPr>
                <w:sz w:val="20"/>
                <w:szCs w:val="20"/>
                <w:color w:val="auto"/>
              </w:rPr>
            </w:pPr>
            <w:r>
              <w:rPr>
                <w:rFonts w:ascii="Arial" w:cs="Arial" w:eastAsia="Arial" w:hAnsi="Arial"/>
                <w:sz w:val="15"/>
                <w:szCs w:val="15"/>
                <w:color w:val="auto"/>
                <w:w w:val="71"/>
              </w:rPr>
              <w:t>$</w:t>
            </w:r>
          </w:p>
        </w:tc>
        <w:tc>
          <w:tcPr>
            <w:tcW w:w="15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55,553</w:t>
            </w:r>
          </w:p>
        </w:tc>
        <w:tc>
          <w:tcPr>
            <w:tcW w:w="300" w:type="dxa"/>
            <w:vAlign w:val="bottom"/>
            <w:tcBorders>
              <w:top w:val="single" w:sz="8" w:color="CFF0FC"/>
              <w:bottom w:val="single" w:sz="8" w:color="CFF0FC"/>
            </w:tcBorders>
            <w:shd w:val="clear" w:color="auto" w:fill="CFF0FC"/>
          </w:tcPr>
          <w:p>
            <w:pPr>
              <w:spacing w:after="0"/>
              <w:rPr>
                <w:sz w:val="19"/>
                <w:szCs w:val="19"/>
                <w:color w:val="auto"/>
              </w:rPr>
            </w:pPr>
          </w:p>
        </w:tc>
        <w:tc>
          <w:tcPr>
            <w:tcW w:w="860" w:type="dxa"/>
            <w:vAlign w:val="bottom"/>
            <w:tcBorders>
              <w:top w:val="single" w:sz="8" w:color="auto"/>
              <w:bottom w:val="single" w:sz="8" w:color="auto"/>
            </w:tcBorders>
            <w:shd w:val="clear" w:color="auto" w:fill="CFF0FC"/>
          </w:tcPr>
          <w:p>
            <w:pPr>
              <w:jc w:val="right"/>
              <w:ind w:right="67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(1,651)</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r>
      <w:tr>
        <w:trPr>
          <w:trHeight w:val="20"/>
        </w:trPr>
        <w:tc>
          <w:tcPr>
            <w:tcW w:w="66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ectPr>
          <w:pgSz w:w="11900" w:h="16838" w:orient="portrait"/>
          <w:cols w:equalWidth="0" w:num="1">
            <w:col w:w="11240"/>
          </w:cols>
          <w:pgMar w:left="320" w:top="125"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107315</wp:posOffset>
            </wp:positionV>
            <wp:extent cx="71577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type w:val="continuous"/>
        </w:sectPr>
      </w:pPr>
    </w:p>
    <w:bookmarkStart w:id="7" w:name="page8"/>
    <w:bookmarkEnd w:id="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Shareholders’ Deficit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38" w:lineRule="exact"/>
        <w:rPr>
          <w:sz w:val="20"/>
          <w:szCs w:val="20"/>
          <w:color w:val="auto"/>
        </w:rPr>
      </w:pPr>
    </w:p>
    <w:p>
      <w:pPr>
        <w:ind w:left="5180"/>
        <w:spacing w:after="0"/>
        <w:rPr>
          <w:sz w:val="20"/>
          <w:szCs w:val="20"/>
          <w:color w:val="auto"/>
        </w:rPr>
      </w:pPr>
      <w:r>
        <w:rPr>
          <w:rFonts w:ascii="Arial" w:cs="Arial" w:eastAsia="Arial" w:hAnsi="Arial"/>
          <w:sz w:val="16"/>
          <w:szCs w:val="16"/>
          <w:b w:val="1"/>
          <w:bCs w:val="1"/>
          <w:color w:val="auto"/>
        </w:rPr>
        <w:t>For the Three Months Ended March 31,</w:t>
      </w:r>
    </w:p>
    <w:p>
      <w:pPr>
        <w:spacing w:after="0" w:line="26" w:lineRule="exact"/>
        <w:rPr>
          <w:sz w:val="20"/>
          <w:szCs w:val="20"/>
          <w:color w:val="auto"/>
        </w:rPr>
      </w:pPr>
    </w:p>
    <w:tbl>
      <w:tblPr>
        <w:tblLayout w:type="fixed"/>
        <w:tblInd w:w="0" w:type="dxa"/>
        <w:tblCellMar>
          <w:top w:w="0" w:type="dxa"/>
          <w:left w:w="0" w:type="dxa"/>
          <w:bottom w:w="0" w:type="dxa"/>
          <w:right w:w="0" w:type="dxa"/>
        </w:tblCellMar>
      </w:tblPr>
      <w:tr>
        <w:trPr>
          <w:trHeight w:val="143"/>
        </w:trPr>
        <w:tc>
          <w:tcPr>
            <w:tcW w:w="19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44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4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42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120" w:type="dxa"/>
            <w:vAlign w:val="bottom"/>
            <w:tcBorders>
              <w:top w:val="single" w:sz="8" w:color="auto"/>
            </w:tcBorders>
            <w:gridSpan w:val="4"/>
          </w:tcPr>
          <w:p>
            <w:pPr>
              <w:ind w:left="60"/>
              <w:spacing w:after="0" w:line="143" w:lineRule="exact"/>
              <w:rPr>
                <w:sz w:val="20"/>
                <w:szCs w:val="20"/>
                <w:color w:val="auto"/>
              </w:rPr>
            </w:pPr>
            <w:r>
              <w:rPr>
                <w:rFonts w:ascii="Arial" w:cs="Arial" w:eastAsia="Arial" w:hAnsi="Arial"/>
                <w:sz w:val="14"/>
                <w:szCs w:val="14"/>
                <w:color w:val="auto"/>
              </w:rPr>
              <w:t>Noncontrolling</w:t>
            </w:r>
          </w:p>
        </w:tc>
        <w:tc>
          <w:tcPr>
            <w:tcW w:w="1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9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gridSpan w:val="3"/>
          </w:tcPr>
          <w:p>
            <w:pPr>
              <w:jc w:val="center"/>
              <w:ind w:right="160"/>
              <w:spacing w:after="0" w:line="149" w:lineRule="exact"/>
              <w:rPr>
                <w:sz w:val="20"/>
                <w:szCs w:val="20"/>
                <w:color w:val="auto"/>
              </w:rPr>
            </w:pPr>
            <w:r>
              <w:rPr>
                <w:rFonts w:ascii="Arial" w:cs="Arial" w:eastAsia="Arial" w:hAnsi="Arial"/>
                <w:sz w:val="14"/>
                <w:szCs w:val="14"/>
                <w:color w:val="auto"/>
                <w:w w:val="93"/>
              </w:rPr>
              <w:t>Accumulated</w:t>
            </w:r>
          </w:p>
        </w:tc>
        <w:tc>
          <w:tcPr>
            <w:tcW w:w="1000" w:type="dxa"/>
            <w:vAlign w:val="bottom"/>
            <w:gridSpan w:val="3"/>
          </w:tcPr>
          <w:p>
            <w:pPr>
              <w:jc w:val="center"/>
              <w:ind w:right="160"/>
              <w:spacing w:after="0" w:line="149" w:lineRule="exact"/>
              <w:rPr>
                <w:sz w:val="20"/>
                <w:szCs w:val="20"/>
                <w:color w:val="auto"/>
              </w:rPr>
            </w:pPr>
            <w:r>
              <w:rPr>
                <w:rFonts w:ascii="Arial" w:cs="Arial" w:eastAsia="Arial" w:hAnsi="Arial"/>
                <w:sz w:val="14"/>
                <w:szCs w:val="14"/>
                <w:color w:val="auto"/>
                <w:w w:val="98"/>
              </w:rPr>
              <w:t>Distributions</w:t>
            </w: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60" w:type="dxa"/>
            <w:vAlign w:val="bottom"/>
            <w:gridSpan w:val="3"/>
          </w:tcPr>
          <w:p>
            <w:pPr>
              <w:ind w:left="20"/>
              <w:spacing w:after="0" w:line="149" w:lineRule="exact"/>
              <w:rPr>
                <w:sz w:val="20"/>
                <w:szCs w:val="20"/>
                <w:color w:val="auto"/>
              </w:rPr>
            </w:pPr>
            <w:r>
              <w:rPr>
                <w:rFonts w:ascii="Arial" w:cs="Arial" w:eastAsia="Arial" w:hAnsi="Arial"/>
                <w:sz w:val="14"/>
                <w:szCs w:val="14"/>
                <w:color w:val="auto"/>
              </w:rPr>
              <w:t>Interest - Non-</w:t>
            </w: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19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gridSpan w:val="3"/>
          </w:tcPr>
          <w:p>
            <w:pPr>
              <w:jc w:val="right"/>
              <w:ind w:right="240"/>
              <w:spacing w:after="0" w:line="149" w:lineRule="exact"/>
              <w:rPr>
                <w:sz w:val="20"/>
                <w:szCs w:val="20"/>
                <w:color w:val="auto"/>
              </w:rPr>
            </w:pPr>
            <w:r>
              <w:rPr>
                <w:rFonts w:ascii="Arial" w:cs="Arial" w:eastAsia="Arial" w:hAnsi="Arial"/>
                <w:sz w:val="14"/>
                <w:szCs w:val="14"/>
                <w:color w:val="auto"/>
              </w:rPr>
              <w:t>Additional</w:t>
            </w:r>
          </w:p>
        </w:tc>
        <w:tc>
          <w:tcPr>
            <w:tcW w:w="200" w:type="dxa"/>
            <w:vAlign w:val="bottom"/>
          </w:tcPr>
          <w:p>
            <w:pPr>
              <w:spacing w:after="0"/>
              <w:rPr>
                <w:sz w:val="12"/>
                <w:szCs w:val="12"/>
                <w:color w:val="auto"/>
              </w:rPr>
            </w:pPr>
          </w:p>
        </w:tc>
        <w:tc>
          <w:tcPr>
            <w:tcW w:w="880" w:type="dxa"/>
            <w:vAlign w:val="bottom"/>
            <w:gridSpan w:val="2"/>
          </w:tcPr>
          <w:p>
            <w:pPr>
              <w:jc w:val="center"/>
              <w:ind w:right="360"/>
              <w:spacing w:after="0" w:line="149" w:lineRule="exact"/>
              <w:rPr>
                <w:sz w:val="20"/>
                <w:szCs w:val="20"/>
                <w:color w:val="auto"/>
              </w:rPr>
            </w:pPr>
            <w:r>
              <w:rPr>
                <w:rFonts w:ascii="Arial" w:cs="Arial" w:eastAsia="Arial" w:hAnsi="Arial"/>
                <w:sz w:val="14"/>
                <w:szCs w:val="14"/>
                <w:color w:val="auto"/>
                <w:w w:val="91"/>
              </w:rPr>
              <w:t>Other</w:t>
            </w:r>
          </w:p>
        </w:tc>
        <w:tc>
          <w:tcPr>
            <w:tcW w:w="1000" w:type="dxa"/>
            <w:vAlign w:val="bottom"/>
            <w:gridSpan w:val="3"/>
          </w:tcPr>
          <w:p>
            <w:pPr>
              <w:jc w:val="center"/>
              <w:ind w:right="180"/>
              <w:spacing w:after="0" w:line="149" w:lineRule="exact"/>
              <w:rPr>
                <w:sz w:val="20"/>
                <w:szCs w:val="20"/>
                <w:color w:val="auto"/>
              </w:rPr>
            </w:pPr>
            <w:r>
              <w:rPr>
                <w:rFonts w:ascii="Arial" w:cs="Arial" w:eastAsia="Arial" w:hAnsi="Arial"/>
                <w:sz w:val="14"/>
                <w:szCs w:val="14"/>
                <w:color w:val="auto"/>
                <w:w w:val="92"/>
              </w:rPr>
              <w:t>in Excess of</w:t>
            </w:r>
          </w:p>
        </w:tc>
        <w:tc>
          <w:tcPr>
            <w:tcW w:w="1020" w:type="dxa"/>
            <w:vAlign w:val="bottom"/>
            <w:gridSpan w:val="3"/>
          </w:tcPr>
          <w:p>
            <w:pPr>
              <w:spacing w:after="0" w:line="149" w:lineRule="exact"/>
              <w:rPr>
                <w:sz w:val="20"/>
                <w:szCs w:val="20"/>
                <w:color w:val="auto"/>
              </w:rPr>
            </w:pPr>
            <w:r>
              <w:rPr>
                <w:rFonts w:ascii="Arial" w:cs="Arial" w:eastAsia="Arial" w:hAnsi="Arial"/>
                <w:sz w:val="14"/>
                <w:szCs w:val="14"/>
                <w:color w:val="auto"/>
              </w:rPr>
              <w:t>Noncontrolling</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tcPr>
          <w:p>
            <w:pPr>
              <w:jc w:val="center"/>
              <w:ind w:right="300"/>
              <w:spacing w:after="0" w:line="149" w:lineRule="exact"/>
              <w:rPr>
                <w:sz w:val="20"/>
                <w:szCs w:val="20"/>
                <w:color w:val="auto"/>
              </w:rPr>
            </w:pPr>
            <w:r>
              <w:rPr>
                <w:rFonts w:ascii="Arial" w:cs="Arial" w:eastAsia="Arial" w:hAnsi="Arial"/>
                <w:sz w:val="14"/>
                <w:szCs w:val="14"/>
                <w:color w:val="auto"/>
                <w:w w:val="96"/>
              </w:rPr>
              <w:t>voting</w:t>
            </w:r>
          </w:p>
        </w:tc>
        <w:tc>
          <w:tcPr>
            <w:tcW w:w="100" w:type="dxa"/>
            <w:vAlign w:val="bottom"/>
          </w:tcPr>
          <w:p>
            <w:pPr>
              <w:spacing w:after="0"/>
              <w:rPr>
                <w:sz w:val="12"/>
                <w:szCs w:val="12"/>
                <w:color w:val="auto"/>
              </w:rPr>
            </w:pPr>
          </w:p>
        </w:tc>
        <w:tc>
          <w:tcPr>
            <w:tcW w:w="820" w:type="dxa"/>
            <w:vAlign w:val="bottom"/>
            <w:gridSpan w:val="2"/>
          </w:tcPr>
          <w:p>
            <w:pPr>
              <w:jc w:val="right"/>
              <w:ind w:right="360"/>
              <w:spacing w:after="0" w:line="149" w:lineRule="exact"/>
              <w:rPr>
                <w:sz w:val="20"/>
                <w:szCs w:val="20"/>
                <w:color w:val="auto"/>
              </w:rPr>
            </w:pPr>
            <w:r>
              <w:rPr>
                <w:rFonts w:ascii="Arial" w:cs="Arial" w:eastAsia="Arial" w:hAnsi="Arial"/>
                <w:sz w:val="14"/>
                <w:szCs w:val="14"/>
                <w:color w:val="auto"/>
              </w:rPr>
              <w:t>Total</w:t>
            </w:r>
          </w:p>
        </w:tc>
        <w:tc>
          <w:tcPr>
            <w:tcW w:w="0" w:type="dxa"/>
            <w:vAlign w:val="bottom"/>
          </w:tcPr>
          <w:p>
            <w:pPr>
              <w:spacing w:after="0"/>
              <w:rPr>
                <w:sz w:val="1"/>
                <w:szCs w:val="1"/>
                <w:color w:val="auto"/>
              </w:rPr>
            </w:pPr>
          </w:p>
        </w:tc>
      </w:tr>
      <w:tr>
        <w:trPr>
          <w:trHeight w:val="148"/>
        </w:trPr>
        <w:tc>
          <w:tcPr>
            <w:tcW w:w="19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gridSpan w:val="2"/>
          </w:tcPr>
          <w:p>
            <w:pPr>
              <w:jc w:val="right"/>
              <w:ind w:right="340"/>
              <w:spacing w:after="0" w:line="149" w:lineRule="exact"/>
              <w:rPr>
                <w:sz w:val="20"/>
                <w:szCs w:val="20"/>
                <w:color w:val="auto"/>
              </w:rPr>
            </w:pPr>
            <w:r>
              <w:rPr>
                <w:rFonts w:ascii="Arial" w:cs="Arial" w:eastAsia="Arial" w:hAnsi="Arial"/>
                <w:sz w:val="14"/>
                <w:szCs w:val="14"/>
                <w:color w:val="auto"/>
              </w:rPr>
              <w:t>Paid-in</w:t>
            </w:r>
          </w:p>
        </w:tc>
        <w:tc>
          <w:tcPr>
            <w:tcW w:w="1080" w:type="dxa"/>
            <w:vAlign w:val="bottom"/>
            <w:gridSpan w:val="3"/>
          </w:tcPr>
          <w:p>
            <w:pPr>
              <w:ind w:left="20"/>
              <w:spacing w:after="0" w:line="149" w:lineRule="exact"/>
              <w:rPr>
                <w:sz w:val="20"/>
                <w:szCs w:val="20"/>
                <w:color w:val="auto"/>
              </w:rPr>
            </w:pPr>
            <w:r>
              <w:rPr>
                <w:rFonts w:ascii="Arial" w:cs="Arial" w:eastAsia="Arial" w:hAnsi="Arial"/>
                <w:sz w:val="14"/>
                <w:szCs w:val="14"/>
                <w:color w:val="auto"/>
              </w:rPr>
              <w:t>Comprehensive</w:t>
            </w:r>
          </w:p>
        </w:tc>
        <w:tc>
          <w:tcPr>
            <w:tcW w:w="1000" w:type="dxa"/>
            <w:vAlign w:val="bottom"/>
            <w:gridSpan w:val="3"/>
          </w:tcPr>
          <w:p>
            <w:pPr>
              <w:jc w:val="center"/>
              <w:ind w:right="160"/>
              <w:spacing w:after="0" w:line="149" w:lineRule="exact"/>
              <w:rPr>
                <w:sz w:val="20"/>
                <w:szCs w:val="20"/>
                <w:color w:val="auto"/>
              </w:rPr>
            </w:pPr>
            <w:r>
              <w:rPr>
                <w:rFonts w:ascii="Arial" w:cs="Arial" w:eastAsia="Arial" w:hAnsi="Arial"/>
                <w:sz w:val="14"/>
                <w:szCs w:val="14"/>
                <w:color w:val="auto"/>
                <w:w w:val="93"/>
              </w:rPr>
              <w:t>Accumulated</w:t>
            </w:r>
          </w:p>
        </w:tc>
        <w:tc>
          <w:tcPr>
            <w:tcW w:w="1020" w:type="dxa"/>
            <w:vAlign w:val="bottom"/>
            <w:gridSpan w:val="3"/>
          </w:tcPr>
          <w:p>
            <w:pPr>
              <w:ind w:left="80"/>
              <w:spacing w:after="0" w:line="149" w:lineRule="exact"/>
              <w:rPr>
                <w:sz w:val="20"/>
                <w:szCs w:val="20"/>
                <w:color w:val="auto"/>
              </w:rPr>
            </w:pPr>
            <w:r>
              <w:rPr>
                <w:rFonts w:ascii="Arial" w:cs="Arial" w:eastAsia="Arial" w:hAnsi="Arial"/>
                <w:sz w:val="14"/>
                <w:szCs w:val="14"/>
                <w:color w:val="auto"/>
              </w:rPr>
              <w:t>Interest - OP</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tcPr>
          <w:p>
            <w:pPr>
              <w:jc w:val="center"/>
              <w:ind w:right="320"/>
              <w:spacing w:after="0" w:line="149" w:lineRule="exact"/>
              <w:rPr>
                <w:sz w:val="20"/>
                <w:szCs w:val="20"/>
                <w:color w:val="auto"/>
              </w:rPr>
            </w:pPr>
            <w:r>
              <w:rPr>
                <w:rFonts w:ascii="Arial" w:cs="Arial" w:eastAsia="Arial" w:hAnsi="Arial"/>
                <w:sz w:val="14"/>
                <w:szCs w:val="14"/>
                <w:color w:val="auto"/>
                <w:w w:val="92"/>
              </w:rPr>
              <w:t>Preferred</w:t>
            </w:r>
          </w:p>
        </w:tc>
        <w:tc>
          <w:tcPr>
            <w:tcW w:w="920" w:type="dxa"/>
            <w:vAlign w:val="bottom"/>
            <w:gridSpan w:val="3"/>
          </w:tcPr>
          <w:p>
            <w:pPr>
              <w:ind w:left="20"/>
              <w:spacing w:after="0" w:line="149" w:lineRule="exact"/>
              <w:rPr>
                <w:sz w:val="20"/>
                <w:szCs w:val="20"/>
                <w:color w:val="auto"/>
              </w:rPr>
            </w:pPr>
            <w:r>
              <w:rPr>
                <w:rFonts w:ascii="Arial" w:cs="Arial" w:eastAsia="Arial" w:hAnsi="Arial"/>
                <w:sz w:val="14"/>
                <w:szCs w:val="14"/>
                <w:color w:val="auto"/>
              </w:rPr>
              <w:t>Shareholders'</w:t>
            </w:r>
          </w:p>
        </w:tc>
        <w:tc>
          <w:tcPr>
            <w:tcW w:w="0" w:type="dxa"/>
            <w:vAlign w:val="bottom"/>
          </w:tcPr>
          <w:p>
            <w:pPr>
              <w:spacing w:after="0"/>
              <w:rPr>
                <w:sz w:val="1"/>
                <w:szCs w:val="1"/>
                <w:color w:val="auto"/>
              </w:rPr>
            </w:pPr>
          </w:p>
        </w:tc>
      </w:tr>
      <w:tr>
        <w:trPr>
          <w:trHeight w:val="167"/>
        </w:trPr>
        <w:tc>
          <w:tcPr>
            <w:tcW w:w="1900" w:type="dxa"/>
            <w:vAlign w:val="bottom"/>
            <w:tcBorders>
              <w:bottom w:val="single" w:sz="8" w:color="auto"/>
            </w:tcBorders>
          </w:tcPr>
          <w:p>
            <w:pPr>
              <w:spacing w:after="0"/>
              <w:rPr>
                <w:sz w:val="20"/>
                <w:szCs w:val="20"/>
                <w:color w:val="auto"/>
              </w:rPr>
            </w:pPr>
            <w:r>
              <w:rPr>
                <w:rFonts w:ascii="Arial" w:cs="Arial" w:eastAsia="Arial" w:hAnsi="Arial"/>
                <w:sz w:val="14"/>
                <w:szCs w:val="14"/>
                <w:color w:val="auto"/>
                <w:w w:val="95"/>
              </w:rPr>
              <w:t>(Thousands, except share data)</w:t>
            </w:r>
          </w:p>
        </w:tc>
        <w:tc>
          <w:tcPr>
            <w:tcW w:w="80" w:type="dxa"/>
            <w:vAlign w:val="bottom"/>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color w:val="auto"/>
              </w:rPr>
              <w:t>Preferred Stock</w:t>
            </w:r>
          </w:p>
        </w:tc>
        <w:tc>
          <w:tcPr>
            <w:tcW w:w="10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gridSpan w:val="5"/>
          </w:tcPr>
          <w:p>
            <w:pPr>
              <w:jc w:val="right"/>
              <w:ind w:right="19"/>
              <w:spacing w:after="0"/>
              <w:rPr>
                <w:sz w:val="20"/>
                <w:szCs w:val="20"/>
                <w:color w:val="auto"/>
              </w:rPr>
            </w:pPr>
            <w:r>
              <w:rPr>
                <w:rFonts w:ascii="Arial" w:cs="Arial" w:eastAsia="Arial" w:hAnsi="Arial"/>
                <w:sz w:val="14"/>
                <w:szCs w:val="14"/>
                <w:color w:val="auto"/>
              </w:rPr>
              <w:t>Common Stock</w:t>
            </w:r>
          </w:p>
        </w:tc>
        <w:tc>
          <w:tcPr>
            <w:tcW w:w="24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100"/>
              <w:spacing w:after="0"/>
              <w:rPr>
                <w:sz w:val="20"/>
                <w:szCs w:val="20"/>
                <w:color w:val="auto"/>
              </w:rPr>
            </w:pPr>
            <w:r>
              <w:rPr>
                <w:rFonts w:ascii="Arial" w:cs="Arial" w:eastAsia="Arial" w:hAnsi="Arial"/>
                <w:sz w:val="14"/>
                <w:szCs w:val="14"/>
                <w:color w:val="auto"/>
              </w:rPr>
              <w:t>Capital</w:t>
            </w:r>
          </w:p>
        </w:tc>
        <w:tc>
          <w:tcPr>
            <w:tcW w:w="160" w:type="dxa"/>
            <w:vAlign w:val="bottom"/>
          </w:tcPr>
          <w:p>
            <w:pPr>
              <w:spacing w:after="0"/>
              <w:rPr>
                <w:sz w:val="14"/>
                <w:szCs w:val="14"/>
                <w:color w:val="auto"/>
              </w:rPr>
            </w:pPr>
          </w:p>
        </w:tc>
        <w:tc>
          <w:tcPr>
            <w:tcW w:w="92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color w:val="auto"/>
                <w:w w:val="94"/>
              </w:rPr>
              <w:t>Income (Loss)</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center"/>
              <w:ind w:right="19"/>
              <w:spacing w:after="0"/>
              <w:rPr>
                <w:sz w:val="20"/>
                <w:szCs w:val="20"/>
                <w:color w:val="auto"/>
              </w:rPr>
            </w:pPr>
            <w:r>
              <w:rPr>
                <w:rFonts w:ascii="Arial" w:cs="Arial" w:eastAsia="Arial" w:hAnsi="Arial"/>
                <w:sz w:val="14"/>
                <w:szCs w:val="14"/>
                <w:color w:val="auto"/>
                <w:w w:val="94"/>
              </w:rPr>
              <w:t>Earnings</w:t>
            </w:r>
          </w:p>
        </w:tc>
        <w:tc>
          <w:tcPr>
            <w:tcW w:w="16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219"/>
              <w:spacing w:after="0"/>
              <w:rPr>
                <w:sz w:val="20"/>
                <w:szCs w:val="20"/>
                <w:color w:val="auto"/>
              </w:rPr>
            </w:pPr>
            <w:r>
              <w:rPr>
                <w:rFonts w:ascii="Arial" w:cs="Arial" w:eastAsia="Arial" w:hAnsi="Arial"/>
                <w:sz w:val="14"/>
                <w:szCs w:val="14"/>
                <w:color w:val="auto"/>
              </w:rPr>
              <w:t>Units</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center"/>
              <w:ind w:right="60"/>
              <w:spacing w:after="0"/>
              <w:rPr>
                <w:sz w:val="20"/>
                <w:szCs w:val="20"/>
                <w:color w:val="auto"/>
              </w:rPr>
            </w:pPr>
            <w:r>
              <w:rPr>
                <w:rFonts w:ascii="Arial" w:cs="Arial" w:eastAsia="Arial" w:hAnsi="Arial"/>
                <w:sz w:val="14"/>
                <w:szCs w:val="14"/>
                <w:color w:val="auto"/>
                <w:w w:val="85"/>
              </w:rPr>
              <w:t>Shares</w:t>
            </w: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40"/>
              <w:spacing w:after="0"/>
              <w:rPr>
                <w:sz w:val="20"/>
                <w:szCs w:val="20"/>
                <w:color w:val="auto"/>
              </w:rPr>
            </w:pPr>
            <w:r>
              <w:rPr>
                <w:rFonts w:ascii="Arial" w:cs="Arial" w:eastAsia="Arial" w:hAnsi="Arial"/>
                <w:sz w:val="14"/>
                <w:szCs w:val="14"/>
                <w:color w:val="auto"/>
              </w:rPr>
              <w:t>Deficit</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19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80" w:type="dxa"/>
            <w:vAlign w:val="bottom"/>
            <w:gridSpan w:val="4"/>
          </w:tcPr>
          <w:p>
            <w:pPr>
              <w:ind w:left="40"/>
              <w:spacing w:after="0" w:line="183" w:lineRule="exact"/>
              <w:rPr>
                <w:sz w:val="20"/>
                <w:szCs w:val="20"/>
                <w:color w:val="auto"/>
              </w:rPr>
            </w:pPr>
            <w:r>
              <w:rPr>
                <w:rFonts w:ascii="Arial" w:cs="Arial" w:eastAsia="Arial" w:hAnsi="Arial"/>
                <w:sz w:val="16"/>
                <w:szCs w:val="16"/>
                <w:color w:val="auto"/>
              </w:rPr>
              <w:t>Shares</w:t>
            </w:r>
          </w:p>
        </w:tc>
        <w:tc>
          <w:tcPr>
            <w:tcW w:w="20" w:type="dxa"/>
            <w:vAlign w:val="bottom"/>
          </w:tcPr>
          <w:p>
            <w:pPr>
              <w:spacing w:after="0"/>
              <w:rPr>
                <w:sz w:val="15"/>
                <w:szCs w:val="15"/>
                <w:color w:val="auto"/>
              </w:rPr>
            </w:pPr>
          </w:p>
        </w:tc>
        <w:tc>
          <w:tcPr>
            <w:tcW w:w="700" w:type="dxa"/>
            <w:vAlign w:val="bottom"/>
            <w:gridSpan w:val="4"/>
          </w:tcPr>
          <w:p>
            <w:pPr>
              <w:spacing w:after="0" w:line="183" w:lineRule="exact"/>
              <w:rPr>
                <w:sz w:val="20"/>
                <w:szCs w:val="20"/>
                <w:color w:val="auto"/>
              </w:rPr>
            </w:pPr>
            <w:r>
              <w:rPr>
                <w:rFonts w:ascii="Arial" w:cs="Arial" w:eastAsia="Arial" w:hAnsi="Arial"/>
                <w:sz w:val="16"/>
                <w:szCs w:val="16"/>
                <w:color w:val="auto"/>
              </w:rPr>
              <w:t>Amount</w:t>
            </w:r>
          </w:p>
        </w:tc>
        <w:tc>
          <w:tcPr>
            <w:tcW w:w="1060" w:type="dxa"/>
            <w:vAlign w:val="bottom"/>
            <w:gridSpan w:val="4"/>
          </w:tcPr>
          <w:p>
            <w:pPr>
              <w:ind w:left="240"/>
              <w:spacing w:after="0" w:line="183" w:lineRule="exact"/>
              <w:rPr>
                <w:sz w:val="20"/>
                <w:szCs w:val="20"/>
                <w:color w:val="auto"/>
              </w:rPr>
            </w:pPr>
            <w:r>
              <w:rPr>
                <w:rFonts w:ascii="Arial" w:cs="Arial" w:eastAsia="Arial" w:hAnsi="Arial"/>
                <w:sz w:val="16"/>
                <w:szCs w:val="16"/>
                <w:color w:val="auto"/>
              </w:rPr>
              <w:t>Shares</w:t>
            </w:r>
          </w:p>
        </w:tc>
        <w:tc>
          <w:tcPr>
            <w:tcW w:w="20" w:type="dxa"/>
            <w:vAlign w:val="bottom"/>
          </w:tcPr>
          <w:p>
            <w:pPr>
              <w:spacing w:after="0"/>
              <w:rPr>
                <w:sz w:val="15"/>
                <w:szCs w:val="15"/>
                <w:color w:val="auto"/>
              </w:rPr>
            </w:pPr>
          </w:p>
        </w:tc>
        <w:tc>
          <w:tcPr>
            <w:tcW w:w="700" w:type="dxa"/>
            <w:vAlign w:val="bottom"/>
            <w:gridSpan w:val="4"/>
          </w:tcPr>
          <w:p>
            <w:pPr>
              <w:spacing w:after="0" w:line="183" w:lineRule="exact"/>
              <w:rPr>
                <w:sz w:val="20"/>
                <w:szCs w:val="20"/>
                <w:color w:val="auto"/>
              </w:rPr>
            </w:pPr>
            <w:r>
              <w:rPr>
                <w:rFonts w:ascii="Arial" w:cs="Arial" w:eastAsia="Arial" w:hAnsi="Arial"/>
                <w:sz w:val="16"/>
                <w:szCs w:val="16"/>
                <w:color w:val="auto"/>
              </w:rPr>
              <w:t>Amount</w:t>
            </w:r>
          </w:p>
        </w:tc>
        <w:tc>
          <w:tcPr>
            <w:tcW w:w="1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19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40" w:type="dxa"/>
            <w:vAlign w:val="bottom"/>
            <w:tcBorders>
              <w:top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Borders>
              <w:top w:val="single" w:sz="8" w:color="auto"/>
            </w:tcBorders>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20" w:type="dxa"/>
            <w:vAlign w:val="bottom"/>
            <w:tcBorders>
              <w:top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Borders>
              <w:top w:val="single" w:sz="8" w:color="auto"/>
            </w:tcBorders>
          </w:tcPr>
          <w:p>
            <w:pPr>
              <w:spacing w:after="0" w:line="20" w:lineRule="exact"/>
              <w:rPr>
                <w:sz w:val="1"/>
                <w:szCs w:val="1"/>
                <w:color w:val="auto"/>
              </w:rPr>
            </w:pPr>
          </w:p>
        </w:tc>
        <w:tc>
          <w:tcPr>
            <w:tcW w:w="240" w:type="dxa"/>
            <w:vAlign w:val="bottom"/>
            <w:tcBorders>
              <w:top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9"/>
        </w:trPr>
        <w:tc>
          <w:tcPr>
            <w:tcW w:w="198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Balance at December 31, 2020</w:t>
            </w:r>
          </w:p>
        </w:tc>
        <w:tc>
          <w:tcPr>
            <w:tcW w:w="5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9"/>
                <w:szCs w:val="19"/>
                <w:color w:val="auto"/>
              </w:rPr>
            </w:pPr>
          </w:p>
        </w:tc>
        <w:tc>
          <w:tcPr>
            <w:tcW w:w="440" w:type="dxa"/>
            <w:vAlign w:val="bottom"/>
            <w:gridSpan w:val="2"/>
            <w:shd w:val="clear" w:color="auto" w:fill="CFF0FC"/>
          </w:tcPr>
          <w:p>
            <w:pPr>
              <w:jc w:val="right"/>
              <w:ind w:right="279"/>
              <w:spacing w:after="0"/>
              <w:rPr>
                <w:sz w:val="20"/>
                <w:szCs w:val="20"/>
                <w:color w:val="auto"/>
              </w:rPr>
            </w:pPr>
            <w:r>
              <w:rPr>
                <w:rFonts w:ascii="Arial" w:cs="Arial" w:eastAsia="Arial" w:hAnsi="Arial"/>
                <w:sz w:val="15"/>
                <w:szCs w:val="15"/>
                <w:color w:val="auto"/>
                <w:w w:val="71"/>
              </w:rPr>
              <w:t>$</w:t>
            </w:r>
          </w:p>
        </w:tc>
        <w:tc>
          <w:tcPr>
            <w:tcW w:w="14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9"/>
                <w:szCs w:val="19"/>
                <w:color w:val="auto"/>
              </w:rPr>
            </w:pPr>
          </w:p>
        </w:tc>
        <w:tc>
          <w:tcPr>
            <w:tcW w:w="90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w w:val="98"/>
              </w:rPr>
              <w:t>231,261,958</w:t>
            </w:r>
          </w:p>
        </w:tc>
        <w:tc>
          <w:tcPr>
            <w:tcW w:w="160" w:type="dxa"/>
            <w:vAlign w:val="bottom"/>
            <w:shd w:val="clear" w:color="auto" w:fill="CFF0FC"/>
          </w:tcPr>
          <w:p>
            <w:pPr>
              <w:spacing w:after="0"/>
              <w:rPr>
                <w:sz w:val="19"/>
                <w:szCs w:val="19"/>
                <w:color w:val="auto"/>
              </w:rPr>
            </w:pPr>
          </w:p>
        </w:tc>
        <w:tc>
          <w:tcPr>
            <w:tcW w:w="300" w:type="dxa"/>
            <w:vAlign w:val="bottom"/>
            <w:gridSpan w:val="2"/>
            <w:shd w:val="clear" w:color="auto" w:fill="CFF0FC"/>
          </w:tcPr>
          <w:p>
            <w:pPr>
              <w:jc w:val="right"/>
              <w:ind w:right="139"/>
              <w:spacing w:after="0"/>
              <w:rPr>
                <w:sz w:val="20"/>
                <w:szCs w:val="20"/>
                <w:color w:val="auto"/>
              </w:rPr>
            </w:pPr>
            <w:r>
              <w:rPr>
                <w:rFonts w:ascii="Arial" w:cs="Arial" w:eastAsia="Arial" w:hAnsi="Arial"/>
                <w:sz w:val="15"/>
                <w:szCs w:val="15"/>
                <w:color w:val="auto"/>
                <w:w w:val="71"/>
              </w:rPr>
              <w:t>$</w:t>
            </w:r>
          </w:p>
        </w:tc>
        <w:tc>
          <w:tcPr>
            <w:tcW w:w="28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23</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FF0FC"/>
          </w:tcPr>
          <w:p>
            <w:pPr>
              <w:jc w:val="right"/>
              <w:spacing w:after="0"/>
              <w:rPr>
                <w:sz w:val="20"/>
                <w:szCs w:val="20"/>
                <w:color w:val="auto"/>
              </w:rPr>
            </w:pPr>
            <w:r>
              <w:rPr>
                <w:rFonts w:ascii="Arial" w:cs="Arial" w:eastAsia="Arial" w:hAnsi="Arial"/>
                <w:sz w:val="16"/>
                <w:szCs w:val="16"/>
                <w:color w:val="auto"/>
                <w:w w:val="89"/>
              </w:rPr>
              <w:t>1,209,141</w:t>
            </w:r>
          </w:p>
        </w:tc>
        <w:tc>
          <w:tcPr>
            <w:tcW w:w="160" w:type="dxa"/>
            <w:vAlign w:val="bottom"/>
            <w:shd w:val="clear" w:color="auto" w:fill="CFF0FC"/>
          </w:tcPr>
          <w:p>
            <w:pPr>
              <w:spacing w:after="0"/>
              <w:rPr>
                <w:sz w:val="19"/>
                <w:szCs w:val="19"/>
                <w:color w:val="auto"/>
              </w:rPr>
            </w:pPr>
          </w:p>
        </w:tc>
        <w:tc>
          <w:tcPr>
            <w:tcW w:w="200" w:type="dxa"/>
            <w:vAlign w:val="bottom"/>
            <w:shd w:val="clear" w:color="auto" w:fill="CFF0FC"/>
          </w:tcPr>
          <w:p>
            <w:pPr>
              <w:ind w:left="20"/>
              <w:spacing w:after="0"/>
              <w:rPr>
                <w:sz w:val="20"/>
                <w:szCs w:val="20"/>
                <w:color w:val="auto"/>
              </w:rPr>
            </w:pPr>
            <w:r>
              <w:rPr>
                <w:rFonts w:ascii="Arial" w:cs="Arial" w:eastAsia="Arial" w:hAnsi="Arial"/>
                <w:sz w:val="16"/>
                <w:szCs w:val="16"/>
                <w:color w:val="auto"/>
              </w:rPr>
              <w:t>$</w:t>
            </w:r>
          </w:p>
        </w:tc>
        <w:tc>
          <w:tcPr>
            <w:tcW w:w="880" w:type="dxa"/>
            <w:vAlign w:val="bottom"/>
            <w:gridSpan w:val="2"/>
            <w:shd w:val="clear" w:color="auto" w:fill="CFF0FC"/>
          </w:tcPr>
          <w:p>
            <w:pPr>
              <w:jc w:val="right"/>
              <w:ind w:right="120"/>
              <w:spacing w:after="0"/>
              <w:rPr>
                <w:sz w:val="20"/>
                <w:szCs w:val="20"/>
                <w:color w:val="auto"/>
              </w:rPr>
            </w:pPr>
            <w:r>
              <w:rPr>
                <w:rFonts w:ascii="Arial" w:cs="Arial" w:eastAsia="Arial" w:hAnsi="Arial"/>
                <w:sz w:val="16"/>
                <w:szCs w:val="16"/>
                <w:color w:val="auto"/>
              </w:rPr>
              <w:t>(20,367)</w:t>
            </w:r>
          </w:p>
        </w:tc>
        <w:tc>
          <w:tcPr>
            <w:tcW w:w="100" w:type="dxa"/>
            <w:vAlign w:val="bottom"/>
            <w:shd w:val="clear" w:color="auto" w:fill="CFF0FC"/>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gridSpan w:val="2"/>
            <w:shd w:val="clear" w:color="auto" w:fill="CFF0FC"/>
          </w:tcPr>
          <w:p>
            <w:pPr>
              <w:jc w:val="right"/>
              <w:ind w:right="120"/>
              <w:spacing w:after="0"/>
              <w:rPr>
                <w:sz w:val="20"/>
                <w:szCs w:val="20"/>
                <w:color w:val="auto"/>
              </w:rPr>
            </w:pPr>
            <w:r>
              <w:rPr>
                <w:rFonts w:ascii="Arial" w:cs="Arial" w:eastAsia="Arial" w:hAnsi="Arial"/>
                <w:sz w:val="16"/>
                <w:szCs w:val="16"/>
                <w:color w:val="auto"/>
                <w:w w:val="92"/>
              </w:rPr>
              <w:t>(3,330,455)</w:t>
            </w:r>
          </w:p>
        </w:tc>
        <w:tc>
          <w:tcPr>
            <w:tcW w:w="200" w:type="dxa"/>
            <w:vAlign w:val="bottom"/>
            <w:shd w:val="clear" w:color="auto" w:fill="CFF0FC"/>
          </w:tcPr>
          <w:p>
            <w:pPr>
              <w:spacing w:after="0"/>
              <w:rPr>
                <w:sz w:val="20"/>
                <w:szCs w:val="20"/>
                <w:color w:val="auto"/>
              </w:rPr>
            </w:pPr>
            <w:r>
              <w:rPr>
                <w:rFonts w:ascii="Arial" w:cs="Arial" w:eastAsia="Arial" w:hAnsi="Arial"/>
                <w:sz w:val="16"/>
                <w:szCs w:val="16"/>
                <w:color w:val="auto"/>
              </w:rPr>
              <w:t>$</w:t>
            </w:r>
          </w:p>
        </w:tc>
        <w:tc>
          <w:tcPr>
            <w:tcW w:w="7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69,157</w:t>
            </w:r>
          </w:p>
        </w:tc>
        <w:tc>
          <w:tcPr>
            <w:tcW w:w="120" w:type="dxa"/>
            <w:vAlign w:val="bottom"/>
            <w:shd w:val="clear" w:color="auto" w:fill="CFF0FC"/>
          </w:tcPr>
          <w:p>
            <w:pPr>
              <w:spacing w:after="0"/>
              <w:rPr>
                <w:sz w:val="19"/>
                <w:szCs w:val="19"/>
                <w:color w:val="auto"/>
              </w:rPr>
            </w:pPr>
          </w:p>
        </w:tc>
        <w:tc>
          <w:tcPr>
            <w:tcW w:w="180" w:type="dxa"/>
            <w:vAlign w:val="bottom"/>
            <w:gridSpan w:val="2"/>
            <w:shd w:val="clear" w:color="auto" w:fill="CFF0FC"/>
          </w:tcPr>
          <w:p>
            <w:pPr>
              <w:ind w:left="60"/>
              <w:spacing w:after="0"/>
              <w:rPr>
                <w:sz w:val="20"/>
                <w:szCs w:val="20"/>
                <w:color w:val="auto"/>
              </w:rPr>
            </w:pPr>
            <w:r>
              <w:rPr>
                <w:rFonts w:ascii="Arial" w:cs="Arial" w:eastAsia="Arial" w:hAnsi="Arial"/>
                <w:sz w:val="16"/>
                <w:szCs w:val="16"/>
                <w:color w:val="auto"/>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125</w:t>
            </w: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20"/>
                <w:szCs w:val="20"/>
                <w:color w:val="auto"/>
              </w:rPr>
            </w:pPr>
            <w:r>
              <w:rPr>
                <w:rFonts w:ascii="Arial" w:cs="Arial" w:eastAsia="Arial" w:hAnsi="Arial"/>
                <w:sz w:val="16"/>
                <w:szCs w:val="16"/>
                <w:color w:val="auto"/>
                <w:w w:val="89"/>
              </w:rPr>
              <w:t>$</w:t>
            </w:r>
          </w:p>
        </w:tc>
        <w:tc>
          <w:tcPr>
            <w:tcW w:w="820" w:type="dxa"/>
            <w:vAlign w:val="bottom"/>
            <w:gridSpan w:val="2"/>
            <w:shd w:val="clear" w:color="auto" w:fill="CFF0FC"/>
          </w:tcPr>
          <w:p>
            <w:pPr>
              <w:jc w:val="right"/>
              <w:ind w:right="40"/>
              <w:spacing w:after="0"/>
              <w:rPr>
                <w:sz w:val="20"/>
                <w:szCs w:val="20"/>
                <w:color w:val="auto"/>
              </w:rPr>
            </w:pPr>
            <w:r>
              <w:rPr>
                <w:rFonts w:ascii="Arial" w:cs="Arial" w:eastAsia="Arial" w:hAnsi="Arial"/>
                <w:sz w:val="16"/>
                <w:szCs w:val="16"/>
                <w:color w:val="auto"/>
                <w:w w:val="92"/>
              </w:rPr>
              <w:t>(2,072,376)</w:t>
            </w:r>
          </w:p>
        </w:tc>
        <w:tc>
          <w:tcPr>
            <w:tcW w:w="0" w:type="dxa"/>
            <w:vAlign w:val="bottom"/>
          </w:tcPr>
          <w:p>
            <w:pPr>
              <w:spacing w:after="0"/>
              <w:rPr>
                <w:sz w:val="1"/>
                <w:szCs w:val="1"/>
                <w:color w:val="auto"/>
              </w:rPr>
            </w:pPr>
          </w:p>
        </w:tc>
      </w:tr>
      <w:tr>
        <w:trPr>
          <w:trHeight w:val="143"/>
        </w:trPr>
        <w:tc>
          <w:tcPr>
            <w:tcW w:w="1980" w:type="dxa"/>
            <w:vAlign w:val="bottom"/>
            <w:gridSpan w:val="2"/>
          </w:tcPr>
          <w:p>
            <w:pPr>
              <w:spacing w:after="0" w:line="143" w:lineRule="exact"/>
              <w:rPr>
                <w:sz w:val="20"/>
                <w:szCs w:val="20"/>
                <w:color w:val="auto"/>
              </w:rPr>
            </w:pPr>
            <w:r>
              <w:rPr>
                <w:rFonts w:ascii="Arial" w:cs="Arial" w:eastAsia="Arial" w:hAnsi="Arial"/>
                <w:sz w:val="14"/>
                <w:szCs w:val="14"/>
                <w:color w:val="auto"/>
              </w:rPr>
              <w:t>Cumulative effect adjustment</w:t>
            </w:r>
          </w:p>
        </w:tc>
        <w:tc>
          <w:tcPr>
            <w:tcW w:w="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1980" w:type="dxa"/>
            <w:vAlign w:val="bottom"/>
            <w:gridSpan w:val="2"/>
          </w:tcPr>
          <w:p>
            <w:pPr>
              <w:spacing w:after="0" w:line="149" w:lineRule="exact"/>
              <w:rPr>
                <w:sz w:val="20"/>
                <w:szCs w:val="20"/>
                <w:color w:val="auto"/>
              </w:rPr>
            </w:pPr>
            <w:r>
              <w:rPr>
                <w:rFonts w:ascii="Arial" w:cs="Arial" w:eastAsia="Arial" w:hAnsi="Arial"/>
                <w:sz w:val="14"/>
                <w:szCs w:val="14"/>
                <w:color w:val="auto"/>
              </w:rPr>
              <w:t>for adoption of new accounting</w:t>
            </w:r>
          </w:p>
        </w:tc>
        <w:tc>
          <w:tcPr>
            <w:tcW w:w="520" w:type="dxa"/>
            <w:vAlign w:val="bottom"/>
            <w:gridSpan w:val="3"/>
            <w:vMerge w:val="restart"/>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2"/>
                <w:szCs w:val="12"/>
                <w:color w:val="auto"/>
              </w:rPr>
            </w:pPr>
          </w:p>
        </w:tc>
        <w:tc>
          <w:tcPr>
            <w:tcW w:w="440" w:type="dxa"/>
            <w:vAlign w:val="bottom"/>
            <w:gridSpan w:val="2"/>
            <w:vMerge w:val="restart"/>
          </w:tcPr>
          <w:p>
            <w:pPr>
              <w:jc w:val="right"/>
              <w:ind w:right="279"/>
              <w:spacing w:after="0"/>
              <w:rPr>
                <w:sz w:val="20"/>
                <w:szCs w:val="20"/>
                <w:color w:val="auto"/>
              </w:rPr>
            </w:pPr>
            <w:r>
              <w:rPr>
                <w:rFonts w:ascii="Arial" w:cs="Arial" w:eastAsia="Arial" w:hAnsi="Arial"/>
                <w:sz w:val="15"/>
                <w:szCs w:val="15"/>
                <w:color w:val="auto"/>
                <w:w w:val="71"/>
              </w:rPr>
              <w:t>$</w:t>
            </w:r>
          </w:p>
        </w:tc>
        <w:tc>
          <w:tcPr>
            <w:tcW w:w="140" w:type="dxa"/>
            <w:vAlign w:val="bottom"/>
            <w:gridSpan w:val="2"/>
            <w:vMerge w:val="restart"/>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2"/>
                <w:szCs w:val="12"/>
                <w:color w:val="auto"/>
              </w:rPr>
            </w:pPr>
          </w:p>
        </w:tc>
        <w:tc>
          <w:tcPr>
            <w:tcW w:w="900" w:type="dxa"/>
            <w:vAlign w:val="bottom"/>
            <w:gridSpan w:val="3"/>
            <w:vMerge w:val="restart"/>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2"/>
                <w:szCs w:val="12"/>
                <w:color w:val="auto"/>
              </w:rPr>
            </w:pPr>
          </w:p>
        </w:tc>
        <w:tc>
          <w:tcPr>
            <w:tcW w:w="300" w:type="dxa"/>
            <w:vAlign w:val="bottom"/>
            <w:gridSpan w:val="2"/>
            <w:vMerge w:val="restart"/>
          </w:tcPr>
          <w:p>
            <w:pPr>
              <w:jc w:val="right"/>
              <w:ind w:right="139"/>
              <w:spacing w:after="0"/>
              <w:rPr>
                <w:sz w:val="20"/>
                <w:szCs w:val="20"/>
                <w:color w:val="auto"/>
              </w:rPr>
            </w:pPr>
            <w:r>
              <w:rPr>
                <w:rFonts w:ascii="Arial" w:cs="Arial" w:eastAsia="Arial" w:hAnsi="Arial"/>
                <w:sz w:val="15"/>
                <w:szCs w:val="15"/>
                <w:color w:val="auto"/>
                <w:w w:val="71"/>
              </w:rPr>
              <w:t>$</w:t>
            </w:r>
          </w:p>
        </w:tc>
        <w:tc>
          <w:tcPr>
            <w:tcW w:w="280" w:type="dxa"/>
            <w:vAlign w:val="bottom"/>
            <w:gridSpan w:val="2"/>
            <w:vMerge w:val="restart"/>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2"/>
                <w:szCs w:val="12"/>
                <w:color w:val="auto"/>
              </w:rPr>
            </w:pPr>
          </w:p>
        </w:tc>
        <w:tc>
          <w:tcPr>
            <w:tcW w:w="100" w:type="dxa"/>
            <w:vAlign w:val="bottom"/>
            <w:vMerge w:val="restart"/>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vMerge w:val="restart"/>
          </w:tcPr>
          <w:p>
            <w:pPr>
              <w:jc w:val="right"/>
              <w:ind w:right="120"/>
              <w:spacing w:after="0"/>
              <w:rPr>
                <w:sz w:val="20"/>
                <w:szCs w:val="20"/>
                <w:color w:val="auto"/>
              </w:rPr>
            </w:pPr>
            <w:r>
              <w:rPr>
                <w:rFonts w:ascii="Arial" w:cs="Arial" w:eastAsia="Arial" w:hAnsi="Arial"/>
                <w:sz w:val="16"/>
                <w:szCs w:val="16"/>
                <w:color w:val="auto"/>
              </w:rPr>
              <w:t>(59,908)</w:t>
            </w:r>
          </w:p>
        </w:tc>
        <w:tc>
          <w:tcPr>
            <w:tcW w:w="200" w:type="dxa"/>
            <w:vAlign w:val="bottom"/>
            <w:vMerge w:val="restart"/>
          </w:tcPr>
          <w:p>
            <w:pPr>
              <w:ind w:left="20"/>
              <w:spacing w:after="0"/>
              <w:rPr>
                <w:sz w:val="20"/>
                <w:szCs w:val="20"/>
                <w:color w:val="auto"/>
              </w:rPr>
            </w:pPr>
            <w:r>
              <w:rPr>
                <w:rFonts w:ascii="Arial" w:cs="Arial" w:eastAsia="Arial" w:hAnsi="Arial"/>
                <w:sz w:val="16"/>
                <w:szCs w:val="16"/>
                <w:color w:val="auto"/>
              </w:rPr>
              <w:t>$</w:t>
            </w:r>
          </w:p>
        </w:tc>
        <w:tc>
          <w:tcPr>
            <w:tcW w:w="72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2"/>
                <w:szCs w:val="12"/>
                <w:color w:val="auto"/>
              </w:rPr>
            </w:pPr>
          </w:p>
        </w:tc>
        <w:tc>
          <w:tcPr>
            <w:tcW w:w="100" w:type="dxa"/>
            <w:vAlign w:val="bottom"/>
            <w:vMerge w:val="restart"/>
          </w:tcPr>
          <w:p>
            <w:pPr>
              <w:jc w:val="right"/>
              <w:spacing w:after="0"/>
              <w:rPr>
                <w:sz w:val="20"/>
                <w:szCs w:val="20"/>
                <w:color w:val="auto"/>
              </w:rPr>
            </w:pPr>
            <w:r>
              <w:rPr>
                <w:rFonts w:ascii="Arial" w:cs="Arial" w:eastAsia="Arial" w:hAnsi="Arial"/>
                <w:sz w:val="16"/>
                <w:szCs w:val="16"/>
                <w:color w:val="auto"/>
                <w:w w:val="89"/>
              </w:rPr>
              <w:t>$</w:t>
            </w:r>
          </w:p>
        </w:tc>
        <w:tc>
          <w:tcPr>
            <w:tcW w:w="740" w:type="dxa"/>
            <w:vAlign w:val="bottom"/>
            <w:vMerge w:val="restart"/>
          </w:tcPr>
          <w:p>
            <w:pPr>
              <w:jc w:val="right"/>
              <w:spacing w:after="0"/>
              <w:rPr>
                <w:sz w:val="20"/>
                <w:szCs w:val="20"/>
                <w:color w:val="auto"/>
              </w:rPr>
            </w:pPr>
            <w:r>
              <w:rPr>
                <w:rFonts w:ascii="Arial" w:cs="Arial" w:eastAsia="Arial" w:hAnsi="Arial"/>
                <w:sz w:val="16"/>
                <w:szCs w:val="16"/>
                <w:color w:val="auto"/>
              </w:rPr>
              <w:t>14,598</w:t>
            </w:r>
          </w:p>
        </w:tc>
        <w:tc>
          <w:tcPr>
            <w:tcW w:w="160" w:type="dxa"/>
            <w:vAlign w:val="bottom"/>
          </w:tcPr>
          <w:p>
            <w:pPr>
              <w:spacing w:after="0"/>
              <w:rPr>
                <w:sz w:val="12"/>
                <w:szCs w:val="12"/>
                <w:color w:val="auto"/>
              </w:rPr>
            </w:pPr>
          </w:p>
        </w:tc>
        <w:tc>
          <w:tcPr>
            <w:tcW w:w="200" w:type="dxa"/>
            <w:vAlign w:val="bottom"/>
            <w:vMerge w:val="restart"/>
          </w:tcPr>
          <w:p>
            <w:pPr>
              <w:spacing w:after="0"/>
              <w:rPr>
                <w:sz w:val="20"/>
                <w:szCs w:val="20"/>
                <w:color w:val="auto"/>
              </w:rPr>
            </w:pPr>
            <w:r>
              <w:rPr>
                <w:rFonts w:ascii="Arial" w:cs="Arial" w:eastAsia="Arial" w:hAnsi="Arial"/>
                <w:sz w:val="16"/>
                <w:szCs w:val="16"/>
                <w:color w:val="auto"/>
              </w:rPr>
              <w:t>$</w:t>
            </w:r>
          </w:p>
        </w:tc>
        <w:tc>
          <w:tcPr>
            <w:tcW w:w="7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2"/>
                <w:szCs w:val="12"/>
                <w:color w:val="auto"/>
              </w:rPr>
            </w:pPr>
          </w:p>
        </w:tc>
        <w:tc>
          <w:tcPr>
            <w:tcW w:w="180" w:type="dxa"/>
            <w:vAlign w:val="bottom"/>
            <w:gridSpan w:val="2"/>
            <w:vMerge w:val="restart"/>
          </w:tcPr>
          <w:p>
            <w:pPr>
              <w:ind w:left="60"/>
              <w:spacing w:after="0"/>
              <w:rPr>
                <w:sz w:val="20"/>
                <w:szCs w:val="20"/>
                <w:color w:val="auto"/>
              </w:rPr>
            </w:pPr>
            <w:r>
              <w:rPr>
                <w:rFonts w:ascii="Arial" w:cs="Arial" w:eastAsia="Arial" w:hAnsi="Arial"/>
                <w:sz w:val="16"/>
                <w:szCs w:val="16"/>
                <w:color w:val="auto"/>
              </w:rPr>
              <w:t>$</w:t>
            </w:r>
          </w:p>
        </w:tc>
        <w:tc>
          <w:tcPr>
            <w:tcW w:w="76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2"/>
                <w:szCs w:val="12"/>
                <w:color w:val="auto"/>
              </w:rPr>
            </w:pPr>
          </w:p>
        </w:tc>
        <w:tc>
          <w:tcPr>
            <w:tcW w:w="100" w:type="dxa"/>
            <w:vAlign w:val="bottom"/>
            <w:vMerge w:val="restart"/>
          </w:tcPr>
          <w:p>
            <w:pPr>
              <w:spacing w:after="0"/>
              <w:rPr>
                <w:sz w:val="20"/>
                <w:szCs w:val="20"/>
                <w:color w:val="auto"/>
              </w:rPr>
            </w:pPr>
            <w:r>
              <w:rPr>
                <w:rFonts w:ascii="Arial" w:cs="Arial" w:eastAsia="Arial" w:hAnsi="Arial"/>
                <w:sz w:val="16"/>
                <w:szCs w:val="16"/>
                <w:color w:val="auto"/>
                <w:w w:val="89"/>
              </w:rPr>
              <w:t>$</w:t>
            </w:r>
          </w:p>
        </w:tc>
        <w:tc>
          <w:tcPr>
            <w:tcW w:w="820" w:type="dxa"/>
            <w:vAlign w:val="bottom"/>
            <w:gridSpan w:val="2"/>
            <w:vMerge w:val="restart"/>
          </w:tcPr>
          <w:p>
            <w:pPr>
              <w:jc w:val="right"/>
              <w:ind w:right="40"/>
              <w:spacing w:after="0"/>
              <w:rPr>
                <w:sz w:val="20"/>
                <w:szCs w:val="20"/>
                <w:color w:val="auto"/>
              </w:rPr>
            </w:pPr>
            <w:r>
              <w:rPr>
                <w:rFonts w:ascii="Arial" w:cs="Arial" w:eastAsia="Arial" w:hAnsi="Arial"/>
                <w:sz w:val="16"/>
                <w:szCs w:val="16"/>
                <w:color w:val="auto"/>
              </w:rPr>
              <w:t>(45,310)</w:t>
            </w:r>
          </w:p>
        </w:tc>
        <w:tc>
          <w:tcPr>
            <w:tcW w:w="0" w:type="dxa"/>
            <w:vAlign w:val="bottom"/>
          </w:tcPr>
          <w:p>
            <w:pPr>
              <w:spacing w:after="0"/>
              <w:rPr>
                <w:sz w:val="1"/>
                <w:szCs w:val="1"/>
                <w:color w:val="auto"/>
              </w:rPr>
            </w:pPr>
          </w:p>
        </w:tc>
      </w:tr>
      <w:tr>
        <w:trPr>
          <w:trHeight w:val="167"/>
        </w:trPr>
        <w:tc>
          <w:tcPr>
            <w:tcW w:w="1980" w:type="dxa"/>
            <w:vAlign w:val="bottom"/>
            <w:gridSpan w:val="2"/>
          </w:tcPr>
          <w:p>
            <w:pPr>
              <w:spacing w:after="0"/>
              <w:rPr>
                <w:sz w:val="20"/>
                <w:szCs w:val="20"/>
                <w:color w:val="auto"/>
              </w:rPr>
            </w:pPr>
            <w:r>
              <w:rPr>
                <w:rFonts w:ascii="Arial" w:cs="Arial" w:eastAsia="Arial" w:hAnsi="Arial"/>
                <w:sz w:val="14"/>
                <w:szCs w:val="14"/>
                <w:color w:val="auto"/>
              </w:rPr>
              <w:t>standard</w:t>
            </w:r>
          </w:p>
        </w:tc>
        <w:tc>
          <w:tcPr>
            <w:tcW w:w="520" w:type="dxa"/>
            <w:vAlign w:val="bottom"/>
            <w:gridSpan w:val="3"/>
            <w:vMerge w:val="continue"/>
          </w:tcPr>
          <w:p>
            <w:pPr>
              <w:spacing w:after="0"/>
              <w:rPr>
                <w:sz w:val="14"/>
                <w:szCs w:val="14"/>
                <w:color w:val="auto"/>
              </w:rPr>
            </w:pPr>
          </w:p>
        </w:tc>
        <w:tc>
          <w:tcPr>
            <w:tcW w:w="160" w:type="dxa"/>
            <w:vAlign w:val="bottom"/>
          </w:tcPr>
          <w:p>
            <w:pPr>
              <w:spacing w:after="0"/>
              <w:rPr>
                <w:sz w:val="14"/>
                <w:szCs w:val="14"/>
                <w:color w:val="auto"/>
              </w:rPr>
            </w:pPr>
          </w:p>
        </w:tc>
        <w:tc>
          <w:tcPr>
            <w:tcW w:w="440" w:type="dxa"/>
            <w:vAlign w:val="bottom"/>
            <w:gridSpan w:val="2"/>
            <w:vMerge w:val="continue"/>
          </w:tcPr>
          <w:p>
            <w:pPr>
              <w:spacing w:after="0"/>
              <w:rPr>
                <w:sz w:val="14"/>
                <w:szCs w:val="14"/>
                <w:color w:val="auto"/>
              </w:rPr>
            </w:pPr>
          </w:p>
        </w:tc>
        <w:tc>
          <w:tcPr>
            <w:tcW w:w="14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gridSpan w:val="3"/>
            <w:vMerge w:val="continue"/>
          </w:tcPr>
          <w:p>
            <w:pPr>
              <w:spacing w:after="0"/>
              <w:rPr>
                <w:sz w:val="14"/>
                <w:szCs w:val="14"/>
                <w:color w:val="auto"/>
              </w:rPr>
            </w:pPr>
          </w:p>
        </w:tc>
        <w:tc>
          <w:tcPr>
            <w:tcW w:w="160" w:type="dxa"/>
            <w:vAlign w:val="bottom"/>
          </w:tcPr>
          <w:p>
            <w:pPr>
              <w:spacing w:after="0"/>
              <w:rPr>
                <w:sz w:val="14"/>
                <w:szCs w:val="14"/>
                <w:color w:val="auto"/>
              </w:rPr>
            </w:pPr>
          </w:p>
        </w:tc>
        <w:tc>
          <w:tcPr>
            <w:tcW w:w="300" w:type="dxa"/>
            <w:vAlign w:val="bottom"/>
            <w:gridSpan w:val="2"/>
            <w:vMerge w:val="continue"/>
          </w:tcPr>
          <w:p>
            <w:pPr>
              <w:spacing w:after="0"/>
              <w:rPr>
                <w:sz w:val="14"/>
                <w:szCs w:val="14"/>
                <w:color w:val="auto"/>
              </w:rPr>
            </w:pPr>
          </w:p>
        </w:tc>
        <w:tc>
          <w:tcPr>
            <w:tcW w:w="28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vMerge w:val="continue"/>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200" w:type="dxa"/>
            <w:vAlign w:val="bottom"/>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vMerge w:val="continue"/>
          </w:tcPr>
          <w:p>
            <w:pPr>
              <w:spacing w:after="0"/>
              <w:rPr>
                <w:sz w:val="14"/>
                <w:szCs w:val="14"/>
                <w:color w:val="auto"/>
              </w:rPr>
            </w:pPr>
          </w:p>
        </w:tc>
        <w:tc>
          <w:tcPr>
            <w:tcW w:w="74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200" w:type="dxa"/>
            <w:vAlign w:val="bottom"/>
            <w:vMerge w:val="continue"/>
          </w:tcPr>
          <w:p>
            <w:pPr>
              <w:spacing w:after="0"/>
              <w:rPr>
                <w:sz w:val="14"/>
                <w:szCs w:val="14"/>
                <w:color w:val="auto"/>
              </w:rPr>
            </w:pPr>
          </w:p>
        </w:tc>
        <w:tc>
          <w:tcPr>
            <w:tcW w:w="70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gridSpan w:val="2"/>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vMerge w:val="continue"/>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9"/>
        </w:trPr>
        <w:tc>
          <w:tcPr>
            <w:tcW w:w="198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Net loss</w:t>
            </w:r>
          </w:p>
        </w:tc>
        <w:tc>
          <w:tcPr>
            <w:tcW w:w="5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4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9"/>
                <w:szCs w:val="19"/>
                <w:color w:val="auto"/>
              </w:rPr>
            </w:pPr>
          </w:p>
        </w:tc>
        <w:tc>
          <w:tcPr>
            <w:tcW w:w="90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8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120"/>
              <w:spacing w:after="0"/>
              <w:rPr>
                <w:sz w:val="20"/>
                <w:szCs w:val="20"/>
                <w:color w:val="auto"/>
              </w:rPr>
            </w:pPr>
            <w:r>
              <w:rPr>
                <w:rFonts w:ascii="Arial" w:cs="Arial" w:eastAsia="Arial" w:hAnsi="Arial"/>
                <w:sz w:val="16"/>
                <w:szCs w:val="16"/>
                <w:color w:val="auto"/>
              </w:rPr>
              <w:t>(4,438)</w:t>
            </w:r>
          </w:p>
        </w:tc>
        <w:tc>
          <w:tcPr>
            <w:tcW w:w="200" w:type="dxa"/>
            <w:vAlign w:val="bottom"/>
            <w:shd w:val="clear" w:color="auto" w:fill="CFF0FC"/>
          </w:tcPr>
          <w:p>
            <w:pPr>
              <w:spacing w:after="0"/>
              <w:rPr>
                <w:sz w:val="19"/>
                <w:szCs w:val="19"/>
                <w:color w:val="auto"/>
              </w:rPr>
            </w:pPr>
          </w:p>
        </w:tc>
        <w:tc>
          <w:tcPr>
            <w:tcW w:w="82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(64)</w:t>
            </w:r>
          </w:p>
        </w:tc>
        <w:tc>
          <w:tcPr>
            <w:tcW w:w="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gridSpan w:val="2"/>
            <w:shd w:val="clear" w:color="auto" w:fill="CFF0FC"/>
          </w:tcPr>
          <w:p>
            <w:pPr>
              <w:jc w:val="right"/>
              <w:ind w:right="40"/>
              <w:spacing w:after="0"/>
              <w:rPr>
                <w:sz w:val="20"/>
                <w:szCs w:val="20"/>
                <w:color w:val="auto"/>
              </w:rPr>
            </w:pPr>
            <w:r>
              <w:rPr>
                <w:rFonts w:ascii="Arial" w:cs="Arial" w:eastAsia="Arial" w:hAnsi="Arial"/>
                <w:sz w:val="16"/>
                <w:szCs w:val="16"/>
                <w:color w:val="auto"/>
              </w:rPr>
              <w:t>(4,502)</w:t>
            </w:r>
          </w:p>
        </w:tc>
        <w:tc>
          <w:tcPr>
            <w:tcW w:w="0" w:type="dxa"/>
            <w:vAlign w:val="bottom"/>
          </w:tcPr>
          <w:p>
            <w:pPr>
              <w:spacing w:after="0"/>
              <w:rPr>
                <w:sz w:val="1"/>
                <w:szCs w:val="1"/>
                <w:color w:val="auto"/>
              </w:rPr>
            </w:pPr>
          </w:p>
        </w:tc>
      </w:tr>
      <w:tr>
        <w:trPr>
          <w:trHeight w:val="230"/>
        </w:trPr>
        <w:tc>
          <w:tcPr>
            <w:tcW w:w="1980" w:type="dxa"/>
            <w:vAlign w:val="bottom"/>
            <w:gridSpan w:val="2"/>
          </w:tcPr>
          <w:p>
            <w:pPr>
              <w:spacing w:after="0"/>
              <w:rPr>
                <w:sz w:val="20"/>
                <w:szCs w:val="20"/>
                <w:color w:val="auto"/>
              </w:rPr>
            </w:pPr>
            <w:r>
              <w:rPr>
                <w:rFonts w:ascii="Arial" w:cs="Arial" w:eastAsia="Arial" w:hAnsi="Arial"/>
                <w:sz w:val="14"/>
                <w:szCs w:val="14"/>
                <w:color w:val="auto"/>
              </w:rPr>
              <w:t>Other comprehensive income</w:t>
            </w:r>
          </w:p>
        </w:tc>
        <w:tc>
          <w:tcPr>
            <w:tcW w:w="5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90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2,787</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42</w:t>
            </w: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2,829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43"/>
        </w:trPr>
        <w:tc>
          <w:tcPr>
            <w:tcW w:w="1980" w:type="dxa"/>
            <w:vAlign w:val="bottom"/>
            <w:gridSpan w:val="2"/>
            <w:shd w:val="clear" w:color="auto" w:fill="CFF0FC"/>
          </w:tcPr>
          <w:p>
            <w:pPr>
              <w:spacing w:after="0" w:line="143" w:lineRule="exact"/>
              <w:rPr>
                <w:sz w:val="20"/>
                <w:szCs w:val="20"/>
                <w:color w:val="auto"/>
              </w:rPr>
            </w:pPr>
            <w:r>
              <w:rPr>
                <w:rFonts w:ascii="Arial" w:cs="Arial" w:eastAsia="Arial" w:hAnsi="Arial"/>
                <w:sz w:val="14"/>
                <w:szCs w:val="14"/>
                <w:color w:val="auto"/>
              </w:rPr>
              <w:t>Common stock dividends</w:t>
            </w:r>
          </w:p>
        </w:tc>
        <w:tc>
          <w:tcPr>
            <w:tcW w:w="520" w:type="dxa"/>
            <w:vAlign w:val="bottom"/>
            <w:gridSpan w:val="3"/>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420" w:type="dxa"/>
            <w:vAlign w:val="bottom"/>
            <w:shd w:val="clear" w:color="auto" w:fill="CFF0FC"/>
          </w:tcPr>
          <w:p>
            <w:pPr>
              <w:spacing w:after="0"/>
              <w:rPr>
                <w:sz w:val="12"/>
                <w:szCs w:val="12"/>
                <w:color w:val="auto"/>
              </w:rPr>
            </w:pPr>
          </w:p>
        </w:tc>
        <w:tc>
          <w:tcPr>
            <w:tcW w:w="140" w:type="dxa"/>
            <w:vAlign w:val="bottom"/>
            <w:gridSpan w:val="2"/>
            <w:vMerge w:val="restart"/>
            <w:shd w:val="clear" w:color="auto" w:fill="CFF0FC"/>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2"/>
                <w:szCs w:val="12"/>
                <w:color w:val="auto"/>
              </w:rPr>
            </w:pPr>
          </w:p>
        </w:tc>
        <w:tc>
          <w:tcPr>
            <w:tcW w:w="900" w:type="dxa"/>
            <w:vAlign w:val="bottom"/>
            <w:gridSpan w:val="3"/>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280" w:type="dxa"/>
            <w:vAlign w:val="bottom"/>
            <w:gridSpan w:val="2"/>
            <w:vMerge w:val="restart"/>
            <w:shd w:val="clear" w:color="auto" w:fill="CFF0FC"/>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8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2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900" w:type="dxa"/>
            <w:vAlign w:val="bottom"/>
            <w:gridSpan w:val="2"/>
            <w:vMerge w:val="restart"/>
            <w:shd w:val="clear" w:color="auto" w:fill="CFF0FC"/>
          </w:tcPr>
          <w:p>
            <w:pPr>
              <w:jc w:val="right"/>
              <w:ind w:right="120"/>
              <w:spacing w:after="0"/>
              <w:rPr>
                <w:sz w:val="20"/>
                <w:szCs w:val="20"/>
                <w:color w:val="auto"/>
              </w:rPr>
            </w:pPr>
            <w:r>
              <w:rPr>
                <w:rFonts w:ascii="Arial" w:cs="Arial" w:eastAsia="Arial" w:hAnsi="Arial"/>
                <w:sz w:val="16"/>
                <w:szCs w:val="16"/>
                <w:color w:val="auto"/>
              </w:rPr>
              <w:t>(35,128)</w:t>
            </w:r>
          </w:p>
        </w:tc>
        <w:tc>
          <w:tcPr>
            <w:tcW w:w="200" w:type="dxa"/>
            <w:vAlign w:val="bottom"/>
            <w:shd w:val="clear" w:color="auto" w:fill="CFF0FC"/>
          </w:tcPr>
          <w:p>
            <w:pPr>
              <w:spacing w:after="0"/>
              <w:rPr>
                <w:sz w:val="12"/>
                <w:szCs w:val="12"/>
                <w:color w:val="auto"/>
              </w:rPr>
            </w:pPr>
          </w:p>
        </w:tc>
        <w:tc>
          <w:tcPr>
            <w:tcW w:w="70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6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820" w:type="dxa"/>
            <w:vAlign w:val="bottom"/>
            <w:gridSpan w:val="2"/>
            <w:vMerge w:val="restart"/>
            <w:shd w:val="clear" w:color="auto" w:fill="CFF0FC"/>
          </w:tcPr>
          <w:p>
            <w:pPr>
              <w:jc w:val="right"/>
              <w:ind w:right="40"/>
              <w:spacing w:after="0"/>
              <w:rPr>
                <w:sz w:val="20"/>
                <w:szCs w:val="20"/>
                <w:color w:val="auto"/>
              </w:rPr>
            </w:pPr>
            <w:r>
              <w:rPr>
                <w:rFonts w:ascii="Arial" w:cs="Arial" w:eastAsia="Arial" w:hAnsi="Arial"/>
                <w:sz w:val="16"/>
                <w:szCs w:val="16"/>
                <w:color w:val="auto"/>
              </w:rPr>
              <w:t>(35,128)</w:t>
            </w:r>
          </w:p>
        </w:tc>
        <w:tc>
          <w:tcPr>
            <w:tcW w:w="0" w:type="dxa"/>
            <w:vAlign w:val="bottom"/>
          </w:tcPr>
          <w:p>
            <w:pPr>
              <w:spacing w:after="0"/>
              <w:rPr>
                <w:sz w:val="1"/>
                <w:szCs w:val="1"/>
                <w:color w:val="auto"/>
              </w:rPr>
            </w:pPr>
          </w:p>
        </w:tc>
      </w:tr>
      <w:tr>
        <w:trPr>
          <w:trHeight w:val="167"/>
        </w:trPr>
        <w:tc>
          <w:tcPr>
            <w:tcW w:w="198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declared ($0.15 per share)</w:t>
            </w:r>
          </w:p>
        </w:tc>
        <w:tc>
          <w:tcPr>
            <w:tcW w:w="520" w:type="dxa"/>
            <w:vAlign w:val="bottom"/>
            <w:gridSpan w:val="3"/>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420" w:type="dxa"/>
            <w:vAlign w:val="bottom"/>
            <w:shd w:val="clear" w:color="auto" w:fill="CFF0FC"/>
          </w:tcPr>
          <w:p>
            <w:pPr>
              <w:spacing w:after="0"/>
              <w:rPr>
                <w:sz w:val="14"/>
                <w:szCs w:val="14"/>
                <w:color w:val="auto"/>
              </w:rPr>
            </w:pPr>
          </w:p>
        </w:tc>
        <w:tc>
          <w:tcPr>
            <w:tcW w:w="140" w:type="dxa"/>
            <w:vAlign w:val="bottom"/>
            <w:gridSpan w:val="2"/>
            <w:vMerge w:val="continue"/>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900" w:type="dxa"/>
            <w:vAlign w:val="bottom"/>
            <w:gridSpan w:val="3"/>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280" w:type="dxa"/>
            <w:vAlign w:val="bottom"/>
            <w:gridSpan w:val="2"/>
            <w:vMerge w:val="continue"/>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680" w:type="dxa"/>
            <w:vAlign w:val="bottom"/>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720" w:type="dxa"/>
            <w:vAlign w:val="bottom"/>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900" w:type="dxa"/>
            <w:vAlign w:val="bottom"/>
            <w:gridSpan w:val="2"/>
            <w:vMerge w:val="continue"/>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700" w:type="dxa"/>
            <w:vAlign w:val="bottom"/>
            <w:vMerge w:val="continue"/>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60" w:type="dxa"/>
            <w:vAlign w:val="bottom"/>
            <w:vMerge w:val="continue"/>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20" w:type="dxa"/>
            <w:vAlign w:val="bottom"/>
            <w:gridSpan w:val="2"/>
            <w:vMerge w:val="continue"/>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1980" w:type="dxa"/>
            <w:vAlign w:val="bottom"/>
            <w:gridSpan w:val="2"/>
          </w:tcPr>
          <w:p>
            <w:pPr>
              <w:spacing w:after="0" w:line="143" w:lineRule="exact"/>
              <w:rPr>
                <w:sz w:val="20"/>
                <w:szCs w:val="20"/>
                <w:color w:val="auto"/>
              </w:rPr>
            </w:pPr>
            <w:r>
              <w:rPr>
                <w:rFonts w:ascii="Arial" w:cs="Arial" w:eastAsia="Arial" w:hAnsi="Arial"/>
                <w:sz w:val="14"/>
                <w:szCs w:val="14"/>
                <w:color w:val="auto"/>
              </w:rPr>
              <w:t>Distributions to noncontrolling</w:t>
            </w:r>
          </w:p>
        </w:tc>
        <w:tc>
          <w:tcPr>
            <w:tcW w:w="520" w:type="dxa"/>
            <w:vAlign w:val="bottom"/>
            <w:gridSpan w:val="3"/>
            <w:vMerge w:val="restart"/>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40" w:type="dxa"/>
            <w:vAlign w:val="bottom"/>
            <w:gridSpan w:val="2"/>
            <w:vMerge w:val="restart"/>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2"/>
                <w:szCs w:val="12"/>
                <w:color w:val="auto"/>
              </w:rPr>
            </w:pPr>
          </w:p>
        </w:tc>
        <w:tc>
          <w:tcPr>
            <w:tcW w:w="900" w:type="dxa"/>
            <w:vAlign w:val="bottom"/>
            <w:gridSpan w:val="3"/>
            <w:vMerge w:val="restart"/>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gridSpan w:val="2"/>
            <w:vMerge w:val="restart"/>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20" w:type="dxa"/>
            <w:vAlign w:val="bottom"/>
            <w:gridSpan w:val="2"/>
            <w:vMerge w:val="restart"/>
          </w:tcPr>
          <w:p>
            <w:pPr>
              <w:jc w:val="right"/>
              <w:ind w:right="60"/>
              <w:spacing w:after="0"/>
              <w:rPr>
                <w:sz w:val="20"/>
                <w:szCs w:val="20"/>
                <w:color w:val="auto"/>
              </w:rPr>
            </w:pPr>
            <w:r>
              <w:rPr>
                <w:rFonts w:ascii="Arial" w:cs="Arial" w:eastAsia="Arial" w:hAnsi="Arial"/>
                <w:sz w:val="16"/>
                <w:szCs w:val="16"/>
                <w:color w:val="auto"/>
              </w:rPr>
              <w:t>(520)</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gridSpan w:val="2"/>
            <w:vMerge w:val="restart"/>
          </w:tcPr>
          <w:p>
            <w:pPr>
              <w:jc w:val="right"/>
              <w:ind w:right="40"/>
              <w:spacing w:after="0"/>
              <w:rPr>
                <w:sz w:val="20"/>
                <w:szCs w:val="20"/>
                <w:color w:val="auto"/>
              </w:rPr>
            </w:pPr>
            <w:r>
              <w:rPr>
                <w:rFonts w:ascii="Arial" w:cs="Arial" w:eastAsia="Arial" w:hAnsi="Arial"/>
                <w:sz w:val="16"/>
                <w:szCs w:val="16"/>
                <w:color w:val="auto"/>
              </w:rPr>
              <w:t>(520)</w:t>
            </w:r>
          </w:p>
        </w:tc>
        <w:tc>
          <w:tcPr>
            <w:tcW w:w="0" w:type="dxa"/>
            <w:vAlign w:val="bottom"/>
          </w:tcPr>
          <w:p>
            <w:pPr>
              <w:spacing w:after="0"/>
              <w:rPr>
                <w:sz w:val="1"/>
                <w:szCs w:val="1"/>
                <w:color w:val="auto"/>
              </w:rPr>
            </w:pPr>
          </w:p>
        </w:tc>
      </w:tr>
      <w:tr>
        <w:trPr>
          <w:trHeight w:val="167"/>
        </w:trPr>
        <w:tc>
          <w:tcPr>
            <w:tcW w:w="1980" w:type="dxa"/>
            <w:vAlign w:val="bottom"/>
            <w:gridSpan w:val="2"/>
          </w:tcPr>
          <w:p>
            <w:pPr>
              <w:spacing w:after="0"/>
              <w:rPr>
                <w:sz w:val="20"/>
                <w:szCs w:val="20"/>
                <w:color w:val="auto"/>
              </w:rPr>
            </w:pPr>
            <w:r>
              <w:rPr>
                <w:rFonts w:ascii="Arial" w:cs="Arial" w:eastAsia="Arial" w:hAnsi="Arial"/>
                <w:sz w:val="14"/>
                <w:szCs w:val="14"/>
                <w:color w:val="auto"/>
              </w:rPr>
              <w:t>interest declared</w:t>
            </w:r>
          </w:p>
        </w:tc>
        <w:tc>
          <w:tcPr>
            <w:tcW w:w="520" w:type="dxa"/>
            <w:vAlign w:val="bottom"/>
            <w:gridSpan w:val="3"/>
            <w:vMerge w:val="continue"/>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gridSpan w:val="3"/>
            <w:vMerge w:val="continue"/>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8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vMerge w:val="continue"/>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1980" w:type="dxa"/>
            <w:vAlign w:val="bottom"/>
            <w:gridSpan w:val="2"/>
            <w:shd w:val="clear" w:color="auto" w:fill="CFF0FC"/>
          </w:tcPr>
          <w:p>
            <w:pPr>
              <w:spacing w:after="0" w:line="143" w:lineRule="exact"/>
              <w:rPr>
                <w:sz w:val="20"/>
                <w:szCs w:val="20"/>
                <w:color w:val="auto"/>
              </w:rPr>
            </w:pPr>
            <w:r>
              <w:rPr>
                <w:rFonts w:ascii="Arial" w:cs="Arial" w:eastAsia="Arial" w:hAnsi="Arial"/>
                <w:sz w:val="14"/>
                <w:szCs w:val="14"/>
                <w:color w:val="auto"/>
              </w:rPr>
              <w:t>Payments related to tax</w:t>
            </w:r>
          </w:p>
        </w:tc>
        <w:tc>
          <w:tcPr>
            <w:tcW w:w="40" w:type="dxa"/>
            <w:vAlign w:val="bottom"/>
            <w:shd w:val="clear" w:color="auto" w:fill="CFF0FC"/>
          </w:tcPr>
          <w:p>
            <w:pPr>
              <w:spacing w:after="0"/>
              <w:rPr>
                <w:sz w:val="12"/>
                <w:szCs w:val="12"/>
                <w:color w:val="auto"/>
              </w:rPr>
            </w:pPr>
          </w:p>
        </w:tc>
        <w:tc>
          <w:tcPr>
            <w:tcW w:w="440" w:type="dxa"/>
            <w:vAlign w:val="bottom"/>
            <w:shd w:val="clear" w:color="auto" w:fill="CFF0FC"/>
          </w:tcPr>
          <w:p>
            <w:pPr>
              <w:spacing w:after="0"/>
              <w:rPr>
                <w:sz w:val="12"/>
                <w:szCs w:val="12"/>
                <w:color w:val="auto"/>
              </w:rPr>
            </w:pPr>
          </w:p>
        </w:tc>
        <w:tc>
          <w:tcPr>
            <w:tcW w:w="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4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4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42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4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2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7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1980" w:type="dxa"/>
            <w:vAlign w:val="bottom"/>
            <w:gridSpan w:val="2"/>
            <w:shd w:val="clear" w:color="auto" w:fill="CFF0FC"/>
          </w:tcPr>
          <w:p>
            <w:pPr>
              <w:spacing w:after="0" w:line="149" w:lineRule="exact"/>
              <w:rPr>
                <w:sz w:val="20"/>
                <w:szCs w:val="20"/>
                <w:color w:val="auto"/>
              </w:rPr>
            </w:pPr>
            <w:r>
              <w:rPr>
                <w:rFonts w:ascii="Arial" w:cs="Arial" w:eastAsia="Arial" w:hAnsi="Arial"/>
                <w:sz w:val="14"/>
                <w:szCs w:val="14"/>
                <w:color w:val="auto"/>
              </w:rPr>
              <w:t>withholding for stock-based</w:t>
            </w:r>
          </w:p>
        </w:tc>
        <w:tc>
          <w:tcPr>
            <w:tcW w:w="520" w:type="dxa"/>
            <w:vAlign w:val="bottom"/>
            <w:gridSpan w:val="3"/>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420" w:type="dxa"/>
            <w:vAlign w:val="bottom"/>
            <w:shd w:val="clear" w:color="auto" w:fill="CFF0FC"/>
          </w:tcPr>
          <w:p>
            <w:pPr>
              <w:spacing w:after="0"/>
              <w:rPr>
                <w:sz w:val="12"/>
                <w:szCs w:val="12"/>
                <w:color w:val="auto"/>
              </w:rPr>
            </w:pPr>
          </w:p>
        </w:tc>
        <w:tc>
          <w:tcPr>
            <w:tcW w:w="140" w:type="dxa"/>
            <w:vAlign w:val="bottom"/>
            <w:gridSpan w:val="2"/>
            <w:vMerge w:val="restart"/>
            <w:shd w:val="clear" w:color="auto" w:fill="CFF0FC"/>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2"/>
                <w:szCs w:val="12"/>
                <w:color w:val="auto"/>
              </w:rPr>
            </w:pPr>
          </w:p>
        </w:tc>
        <w:tc>
          <w:tcPr>
            <w:tcW w:w="900" w:type="dxa"/>
            <w:vAlign w:val="bottom"/>
            <w:gridSpan w:val="3"/>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280" w:type="dxa"/>
            <w:vAlign w:val="bottom"/>
            <w:gridSpan w:val="2"/>
            <w:vMerge w:val="restart"/>
            <w:shd w:val="clear" w:color="auto" w:fill="CFF0FC"/>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840" w:type="dxa"/>
            <w:vAlign w:val="bottom"/>
            <w:gridSpan w:val="2"/>
            <w:vMerge w:val="restart"/>
            <w:shd w:val="clear" w:color="auto" w:fill="CFF0FC"/>
          </w:tcPr>
          <w:p>
            <w:pPr>
              <w:jc w:val="right"/>
              <w:ind w:right="120"/>
              <w:spacing w:after="0"/>
              <w:rPr>
                <w:sz w:val="20"/>
                <w:szCs w:val="20"/>
                <w:color w:val="auto"/>
              </w:rPr>
            </w:pPr>
            <w:r>
              <w:rPr>
                <w:rFonts w:ascii="Arial" w:cs="Arial" w:eastAsia="Arial" w:hAnsi="Arial"/>
                <w:sz w:val="16"/>
                <w:szCs w:val="16"/>
                <w:color w:val="auto"/>
              </w:rPr>
              <w:t>(2,306)</w:t>
            </w:r>
          </w:p>
        </w:tc>
        <w:tc>
          <w:tcPr>
            <w:tcW w:w="200" w:type="dxa"/>
            <w:vAlign w:val="bottom"/>
            <w:shd w:val="clear" w:color="auto" w:fill="CFF0FC"/>
          </w:tcPr>
          <w:p>
            <w:pPr>
              <w:spacing w:after="0"/>
              <w:rPr>
                <w:sz w:val="12"/>
                <w:szCs w:val="12"/>
                <w:color w:val="auto"/>
              </w:rPr>
            </w:pPr>
          </w:p>
        </w:tc>
        <w:tc>
          <w:tcPr>
            <w:tcW w:w="72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74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0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6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820" w:type="dxa"/>
            <w:vAlign w:val="bottom"/>
            <w:gridSpan w:val="2"/>
            <w:vMerge w:val="restart"/>
            <w:shd w:val="clear" w:color="auto" w:fill="CFF0FC"/>
          </w:tcPr>
          <w:p>
            <w:pPr>
              <w:jc w:val="right"/>
              <w:ind w:right="40"/>
              <w:spacing w:after="0"/>
              <w:rPr>
                <w:sz w:val="20"/>
                <w:szCs w:val="20"/>
                <w:color w:val="auto"/>
              </w:rPr>
            </w:pPr>
            <w:r>
              <w:rPr>
                <w:rFonts w:ascii="Arial" w:cs="Arial" w:eastAsia="Arial" w:hAnsi="Arial"/>
                <w:sz w:val="16"/>
                <w:szCs w:val="16"/>
                <w:color w:val="auto"/>
              </w:rPr>
              <w:t>(2,306)</w:t>
            </w:r>
          </w:p>
        </w:tc>
        <w:tc>
          <w:tcPr>
            <w:tcW w:w="0" w:type="dxa"/>
            <w:vAlign w:val="bottom"/>
          </w:tcPr>
          <w:p>
            <w:pPr>
              <w:spacing w:after="0"/>
              <w:rPr>
                <w:sz w:val="1"/>
                <w:szCs w:val="1"/>
                <w:color w:val="auto"/>
              </w:rPr>
            </w:pPr>
          </w:p>
        </w:tc>
      </w:tr>
      <w:tr>
        <w:trPr>
          <w:trHeight w:val="167"/>
        </w:trPr>
        <w:tc>
          <w:tcPr>
            <w:tcW w:w="198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compensation</w:t>
            </w:r>
          </w:p>
        </w:tc>
        <w:tc>
          <w:tcPr>
            <w:tcW w:w="520" w:type="dxa"/>
            <w:vAlign w:val="bottom"/>
            <w:gridSpan w:val="3"/>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420" w:type="dxa"/>
            <w:vAlign w:val="bottom"/>
            <w:shd w:val="clear" w:color="auto" w:fill="CFF0FC"/>
          </w:tcPr>
          <w:p>
            <w:pPr>
              <w:spacing w:after="0"/>
              <w:rPr>
                <w:sz w:val="14"/>
                <w:szCs w:val="14"/>
                <w:color w:val="auto"/>
              </w:rPr>
            </w:pPr>
          </w:p>
        </w:tc>
        <w:tc>
          <w:tcPr>
            <w:tcW w:w="140" w:type="dxa"/>
            <w:vAlign w:val="bottom"/>
            <w:gridSpan w:val="2"/>
            <w:vMerge w:val="continue"/>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900" w:type="dxa"/>
            <w:vAlign w:val="bottom"/>
            <w:gridSpan w:val="3"/>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280" w:type="dxa"/>
            <w:vAlign w:val="bottom"/>
            <w:gridSpan w:val="2"/>
            <w:vMerge w:val="continue"/>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40" w:type="dxa"/>
            <w:vAlign w:val="bottom"/>
            <w:gridSpan w:val="2"/>
            <w:vMerge w:val="continue"/>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720" w:type="dxa"/>
            <w:vAlign w:val="bottom"/>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40" w:type="dxa"/>
            <w:vAlign w:val="bottom"/>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700" w:type="dxa"/>
            <w:vAlign w:val="bottom"/>
            <w:vMerge w:val="continue"/>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60" w:type="dxa"/>
            <w:vAlign w:val="bottom"/>
            <w:vMerge w:val="continue"/>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20" w:type="dxa"/>
            <w:vAlign w:val="bottom"/>
            <w:gridSpan w:val="2"/>
            <w:vMerge w:val="continue"/>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229"/>
        </w:trPr>
        <w:tc>
          <w:tcPr>
            <w:tcW w:w="1980" w:type="dxa"/>
            <w:vAlign w:val="bottom"/>
            <w:gridSpan w:val="2"/>
          </w:tcPr>
          <w:p>
            <w:pPr>
              <w:spacing w:after="0"/>
              <w:rPr>
                <w:sz w:val="20"/>
                <w:szCs w:val="20"/>
                <w:color w:val="auto"/>
              </w:rPr>
            </w:pPr>
            <w:r>
              <w:rPr>
                <w:rFonts w:ascii="Arial" w:cs="Arial" w:eastAsia="Arial" w:hAnsi="Arial"/>
                <w:sz w:val="14"/>
                <w:szCs w:val="14"/>
                <w:color w:val="auto"/>
              </w:rPr>
              <w:t>Stock-based compensation</w:t>
            </w:r>
          </w:p>
        </w:tc>
        <w:tc>
          <w:tcPr>
            <w:tcW w:w="5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900" w:type="dxa"/>
            <w:vAlign w:val="bottom"/>
            <w:gridSpan w:val="3"/>
          </w:tcPr>
          <w:p>
            <w:pPr>
              <w:jc w:val="right"/>
              <w:spacing w:after="0"/>
              <w:rPr>
                <w:sz w:val="20"/>
                <w:szCs w:val="20"/>
                <w:color w:val="auto"/>
              </w:rPr>
            </w:pPr>
            <w:r>
              <w:rPr>
                <w:rFonts w:ascii="Arial" w:cs="Arial" w:eastAsia="Arial" w:hAnsi="Arial"/>
                <w:sz w:val="16"/>
                <w:szCs w:val="16"/>
                <w:color w:val="auto"/>
              </w:rPr>
              <w:t>396,481</w:t>
            </w: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3,335</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3,335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43"/>
        </w:trPr>
        <w:tc>
          <w:tcPr>
            <w:tcW w:w="1980" w:type="dxa"/>
            <w:vAlign w:val="bottom"/>
            <w:gridSpan w:val="2"/>
            <w:shd w:val="clear" w:color="auto" w:fill="CFF0FC"/>
          </w:tcPr>
          <w:p>
            <w:pPr>
              <w:spacing w:after="0" w:line="143" w:lineRule="exact"/>
              <w:rPr>
                <w:sz w:val="20"/>
                <w:szCs w:val="20"/>
                <w:color w:val="auto"/>
              </w:rPr>
            </w:pPr>
            <w:r>
              <w:rPr>
                <w:rFonts w:ascii="Arial" w:cs="Arial" w:eastAsia="Arial" w:hAnsi="Arial"/>
                <w:sz w:val="14"/>
                <w:szCs w:val="14"/>
                <w:color w:val="auto"/>
              </w:rPr>
              <w:t>Issuance of common stock -</w:t>
            </w:r>
          </w:p>
        </w:tc>
        <w:tc>
          <w:tcPr>
            <w:tcW w:w="520" w:type="dxa"/>
            <w:vAlign w:val="bottom"/>
            <w:gridSpan w:val="3"/>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420" w:type="dxa"/>
            <w:vAlign w:val="bottom"/>
            <w:shd w:val="clear" w:color="auto" w:fill="CFF0FC"/>
          </w:tcPr>
          <w:p>
            <w:pPr>
              <w:spacing w:after="0"/>
              <w:rPr>
                <w:sz w:val="12"/>
                <w:szCs w:val="12"/>
                <w:color w:val="auto"/>
              </w:rPr>
            </w:pPr>
          </w:p>
        </w:tc>
        <w:tc>
          <w:tcPr>
            <w:tcW w:w="140" w:type="dxa"/>
            <w:vAlign w:val="bottom"/>
            <w:gridSpan w:val="2"/>
            <w:vMerge w:val="restart"/>
            <w:shd w:val="clear" w:color="auto" w:fill="CFF0FC"/>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2"/>
                <w:szCs w:val="12"/>
                <w:color w:val="auto"/>
              </w:rPr>
            </w:pPr>
          </w:p>
        </w:tc>
        <w:tc>
          <w:tcPr>
            <w:tcW w:w="900" w:type="dxa"/>
            <w:vAlign w:val="bottom"/>
            <w:gridSpan w:val="3"/>
            <w:vMerge w:val="restart"/>
            <w:shd w:val="clear" w:color="auto" w:fill="CFF0FC"/>
          </w:tcPr>
          <w:p>
            <w:pPr>
              <w:jc w:val="right"/>
              <w:spacing w:after="0"/>
              <w:rPr>
                <w:sz w:val="20"/>
                <w:szCs w:val="20"/>
                <w:color w:val="auto"/>
              </w:rPr>
            </w:pPr>
            <w:r>
              <w:rPr>
                <w:rFonts w:ascii="Arial" w:cs="Arial" w:eastAsia="Arial" w:hAnsi="Arial"/>
                <w:sz w:val="16"/>
                <w:szCs w:val="16"/>
                <w:color w:val="auto"/>
              </w:rPr>
              <w:t>35,764</w:t>
            </w:r>
          </w:p>
        </w:tc>
        <w:tc>
          <w:tcPr>
            <w:tcW w:w="16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280" w:type="dxa"/>
            <w:vAlign w:val="bottom"/>
            <w:gridSpan w:val="2"/>
            <w:vMerge w:val="restart"/>
            <w:shd w:val="clear" w:color="auto" w:fill="CFF0FC"/>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8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288</w:t>
            </w:r>
          </w:p>
        </w:tc>
        <w:tc>
          <w:tcPr>
            <w:tcW w:w="1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2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74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0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6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72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288</w:t>
            </w:r>
          </w:p>
        </w:tc>
        <w:tc>
          <w:tcPr>
            <w:tcW w:w="10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198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employee stock purchase plan</w:t>
            </w:r>
          </w:p>
        </w:tc>
        <w:tc>
          <w:tcPr>
            <w:tcW w:w="520" w:type="dxa"/>
            <w:vAlign w:val="bottom"/>
            <w:tcBorders>
              <w:bottom w:val="single" w:sz="8" w:color="auto"/>
            </w:tcBorders>
            <w:gridSpan w:val="3"/>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0" w:type="dxa"/>
            <w:vAlign w:val="bottom"/>
            <w:tcBorders>
              <w:bottom w:val="single" w:sz="8" w:color="auto"/>
            </w:tcBorders>
            <w:shd w:val="clear" w:color="auto" w:fill="CFF0FC"/>
          </w:tcPr>
          <w:p>
            <w:pPr>
              <w:spacing w:after="0"/>
              <w:rPr>
                <w:sz w:val="14"/>
                <w:szCs w:val="14"/>
                <w:color w:val="auto"/>
              </w:rPr>
            </w:pPr>
          </w:p>
        </w:tc>
        <w:tc>
          <w:tcPr>
            <w:tcW w:w="420" w:type="dxa"/>
            <w:vAlign w:val="bottom"/>
            <w:tcBorders>
              <w:bottom w:val="single" w:sz="8" w:color="auto"/>
            </w:tcBorders>
            <w:shd w:val="clear" w:color="auto" w:fill="CFF0FC"/>
          </w:tcPr>
          <w:p>
            <w:pPr>
              <w:spacing w:after="0"/>
              <w:rPr>
                <w:sz w:val="14"/>
                <w:szCs w:val="14"/>
                <w:color w:val="auto"/>
              </w:rPr>
            </w:pPr>
          </w:p>
        </w:tc>
        <w:tc>
          <w:tcPr>
            <w:tcW w:w="140" w:type="dxa"/>
            <w:vAlign w:val="bottom"/>
            <w:tcBorders>
              <w:bottom w:val="single" w:sz="8" w:color="auto"/>
            </w:tcBorders>
            <w:gridSpan w:val="2"/>
            <w:vMerge w:val="continue"/>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900" w:type="dxa"/>
            <w:vAlign w:val="bottom"/>
            <w:tcBorders>
              <w:bottom w:val="single" w:sz="8" w:color="auto"/>
            </w:tcBorders>
            <w:gridSpan w:val="3"/>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0" w:type="dxa"/>
            <w:vAlign w:val="bottom"/>
            <w:tcBorders>
              <w:bottom w:val="single" w:sz="8" w:color="auto"/>
            </w:tcBorders>
            <w:shd w:val="clear" w:color="auto" w:fill="CFF0FC"/>
          </w:tcPr>
          <w:p>
            <w:pPr>
              <w:spacing w:after="0"/>
              <w:rPr>
                <w:sz w:val="14"/>
                <w:szCs w:val="14"/>
                <w:color w:val="auto"/>
              </w:rPr>
            </w:pPr>
          </w:p>
        </w:tc>
        <w:tc>
          <w:tcPr>
            <w:tcW w:w="280" w:type="dxa"/>
            <w:vAlign w:val="bottom"/>
            <w:tcBorders>
              <w:bottom w:val="single" w:sz="8" w:color="auto"/>
            </w:tcBorders>
            <w:shd w:val="clear" w:color="auto" w:fill="CFF0FC"/>
          </w:tcPr>
          <w:p>
            <w:pPr>
              <w:spacing w:after="0"/>
              <w:rPr>
                <w:sz w:val="14"/>
                <w:szCs w:val="14"/>
                <w:color w:val="auto"/>
              </w:rPr>
            </w:pPr>
          </w:p>
        </w:tc>
        <w:tc>
          <w:tcPr>
            <w:tcW w:w="280" w:type="dxa"/>
            <w:vAlign w:val="bottom"/>
            <w:tcBorders>
              <w:bottom w:val="single" w:sz="8" w:color="auto"/>
            </w:tcBorders>
            <w:gridSpan w:val="2"/>
            <w:vMerge w:val="continue"/>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100" w:type="dxa"/>
            <w:vAlign w:val="bottom"/>
            <w:tcBorders>
              <w:bottom w:val="single" w:sz="8" w:color="auto"/>
            </w:tcBorders>
            <w:shd w:val="clear" w:color="auto" w:fill="CFF0FC"/>
          </w:tcPr>
          <w:p>
            <w:pPr>
              <w:spacing w:after="0"/>
              <w:rPr>
                <w:sz w:val="14"/>
                <w:szCs w:val="14"/>
                <w:color w:val="auto"/>
              </w:rPr>
            </w:pPr>
          </w:p>
        </w:tc>
        <w:tc>
          <w:tcPr>
            <w:tcW w:w="680" w:type="dxa"/>
            <w:vAlign w:val="bottom"/>
            <w:tcBorders>
              <w:bottom w:val="single" w:sz="8" w:color="auto"/>
            </w:tcBorders>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00" w:type="dxa"/>
            <w:vAlign w:val="bottom"/>
            <w:tcBorders>
              <w:bottom w:val="single" w:sz="8" w:color="auto"/>
            </w:tcBorders>
            <w:shd w:val="clear" w:color="auto" w:fill="CFF0FC"/>
          </w:tcPr>
          <w:p>
            <w:pPr>
              <w:spacing w:after="0"/>
              <w:rPr>
                <w:sz w:val="14"/>
                <w:szCs w:val="14"/>
                <w:color w:val="auto"/>
              </w:rPr>
            </w:pPr>
          </w:p>
        </w:tc>
        <w:tc>
          <w:tcPr>
            <w:tcW w:w="720" w:type="dxa"/>
            <w:vAlign w:val="bottom"/>
            <w:tcBorders>
              <w:bottom w:val="single" w:sz="8" w:color="auto"/>
            </w:tcBorders>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00" w:type="dxa"/>
            <w:vAlign w:val="bottom"/>
            <w:tcBorders>
              <w:bottom w:val="single" w:sz="8" w:color="auto"/>
            </w:tcBorders>
            <w:shd w:val="clear" w:color="auto" w:fill="CFF0FC"/>
          </w:tcPr>
          <w:p>
            <w:pPr>
              <w:spacing w:after="0"/>
              <w:rPr>
                <w:sz w:val="14"/>
                <w:szCs w:val="14"/>
                <w:color w:val="auto"/>
              </w:rPr>
            </w:pPr>
          </w:p>
        </w:tc>
        <w:tc>
          <w:tcPr>
            <w:tcW w:w="740" w:type="dxa"/>
            <w:vAlign w:val="bottom"/>
            <w:tcBorders>
              <w:bottom w:val="single" w:sz="8" w:color="auto"/>
            </w:tcBorders>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00" w:type="dxa"/>
            <w:vAlign w:val="bottom"/>
            <w:tcBorders>
              <w:bottom w:val="single" w:sz="8" w:color="auto"/>
            </w:tcBorders>
            <w:shd w:val="clear" w:color="auto" w:fill="CFF0FC"/>
          </w:tcPr>
          <w:p>
            <w:pPr>
              <w:spacing w:after="0"/>
              <w:rPr>
                <w:sz w:val="14"/>
                <w:szCs w:val="14"/>
                <w:color w:val="auto"/>
              </w:rPr>
            </w:pPr>
          </w:p>
        </w:tc>
        <w:tc>
          <w:tcPr>
            <w:tcW w:w="700" w:type="dxa"/>
            <w:vAlign w:val="bottom"/>
            <w:tcBorders>
              <w:bottom w:val="single" w:sz="8" w:color="auto"/>
            </w:tcBorders>
            <w:vMerge w:val="continue"/>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tcBorders>
              <w:bottom w:val="single" w:sz="8" w:color="auto"/>
            </w:tcBorders>
            <w:shd w:val="clear" w:color="auto" w:fill="CFF0FC"/>
          </w:tcPr>
          <w:p>
            <w:pPr>
              <w:spacing w:after="0"/>
              <w:rPr>
                <w:sz w:val="14"/>
                <w:szCs w:val="14"/>
                <w:color w:val="auto"/>
              </w:rPr>
            </w:pPr>
          </w:p>
        </w:tc>
        <w:tc>
          <w:tcPr>
            <w:tcW w:w="760" w:type="dxa"/>
            <w:vAlign w:val="bottom"/>
            <w:tcBorders>
              <w:bottom w:val="single" w:sz="8" w:color="auto"/>
            </w:tcBorders>
            <w:vMerge w:val="continue"/>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00" w:type="dxa"/>
            <w:vAlign w:val="bottom"/>
            <w:tcBorders>
              <w:bottom w:val="single" w:sz="8" w:color="auto"/>
            </w:tcBorders>
            <w:shd w:val="clear" w:color="auto" w:fill="CFF0FC"/>
          </w:tcPr>
          <w:p>
            <w:pPr>
              <w:spacing w:after="0"/>
              <w:rPr>
                <w:sz w:val="14"/>
                <w:szCs w:val="14"/>
                <w:color w:val="auto"/>
              </w:rPr>
            </w:pPr>
          </w:p>
        </w:tc>
        <w:tc>
          <w:tcPr>
            <w:tcW w:w="720" w:type="dxa"/>
            <w:vAlign w:val="bottom"/>
            <w:tcBorders>
              <w:bottom w:val="single" w:sz="8" w:color="auto"/>
            </w:tcBorders>
            <w:vMerge w:val="continue"/>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263"/>
        </w:trPr>
        <w:tc>
          <w:tcPr>
            <w:tcW w:w="1980" w:type="dxa"/>
            <w:vAlign w:val="bottom"/>
            <w:gridSpan w:val="2"/>
          </w:tcPr>
          <w:p>
            <w:pPr>
              <w:spacing w:after="0"/>
              <w:rPr>
                <w:sz w:val="20"/>
                <w:szCs w:val="20"/>
                <w:color w:val="auto"/>
              </w:rPr>
            </w:pPr>
            <w:r>
              <w:rPr>
                <w:rFonts w:ascii="Arial" w:cs="Arial" w:eastAsia="Arial" w:hAnsi="Arial"/>
                <w:sz w:val="14"/>
                <w:szCs w:val="14"/>
                <w:color w:val="auto"/>
              </w:rPr>
              <w:t>Balance at March 31 2021</w:t>
            </w:r>
          </w:p>
        </w:tc>
        <w:tc>
          <w:tcPr>
            <w:tcW w:w="5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2"/>
                <w:szCs w:val="22"/>
                <w:color w:val="auto"/>
              </w:rPr>
            </w:pPr>
          </w:p>
        </w:tc>
        <w:tc>
          <w:tcPr>
            <w:tcW w:w="440" w:type="dxa"/>
            <w:vAlign w:val="bottom"/>
            <w:gridSpan w:val="2"/>
          </w:tcPr>
          <w:p>
            <w:pPr>
              <w:jc w:val="right"/>
              <w:ind w:right="279"/>
              <w:spacing w:after="0"/>
              <w:rPr>
                <w:sz w:val="20"/>
                <w:szCs w:val="20"/>
                <w:color w:val="auto"/>
              </w:rPr>
            </w:pPr>
            <w:r>
              <w:rPr>
                <w:rFonts w:ascii="Arial" w:cs="Arial" w:eastAsia="Arial" w:hAnsi="Arial"/>
                <w:sz w:val="15"/>
                <w:szCs w:val="15"/>
                <w:color w:val="auto"/>
                <w:w w:val="71"/>
              </w:rPr>
              <w:t>$</w:t>
            </w:r>
          </w:p>
        </w:tc>
        <w:tc>
          <w:tcPr>
            <w:tcW w:w="14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2"/>
                <w:szCs w:val="22"/>
                <w:color w:val="auto"/>
              </w:rPr>
            </w:pPr>
          </w:p>
        </w:tc>
        <w:tc>
          <w:tcPr>
            <w:tcW w:w="900" w:type="dxa"/>
            <w:vAlign w:val="bottom"/>
            <w:gridSpan w:val="3"/>
          </w:tcPr>
          <w:p>
            <w:pPr>
              <w:jc w:val="right"/>
              <w:spacing w:after="0"/>
              <w:rPr>
                <w:sz w:val="20"/>
                <w:szCs w:val="20"/>
                <w:color w:val="auto"/>
              </w:rPr>
            </w:pPr>
            <w:r>
              <w:rPr>
                <w:rFonts w:ascii="Arial" w:cs="Arial" w:eastAsia="Arial" w:hAnsi="Arial"/>
                <w:sz w:val="16"/>
                <w:szCs w:val="16"/>
                <w:color w:val="auto"/>
                <w:w w:val="98"/>
              </w:rPr>
              <w:t>231,694,203</w:t>
            </w:r>
          </w:p>
        </w:tc>
        <w:tc>
          <w:tcPr>
            <w:tcW w:w="160" w:type="dxa"/>
            <w:vAlign w:val="bottom"/>
          </w:tcPr>
          <w:p>
            <w:pPr>
              <w:spacing w:after="0"/>
              <w:rPr>
                <w:sz w:val="22"/>
                <w:szCs w:val="22"/>
                <w:color w:val="auto"/>
              </w:rPr>
            </w:pPr>
          </w:p>
        </w:tc>
        <w:tc>
          <w:tcPr>
            <w:tcW w:w="300" w:type="dxa"/>
            <w:vAlign w:val="bottom"/>
            <w:gridSpan w:val="2"/>
          </w:tcPr>
          <w:p>
            <w:pPr>
              <w:jc w:val="right"/>
              <w:ind w:right="139"/>
              <w:spacing w:after="0"/>
              <w:rPr>
                <w:sz w:val="20"/>
                <w:szCs w:val="20"/>
                <w:color w:val="auto"/>
              </w:rPr>
            </w:pPr>
            <w:r>
              <w:rPr>
                <w:rFonts w:ascii="Arial" w:cs="Arial" w:eastAsia="Arial" w:hAnsi="Arial"/>
                <w:sz w:val="15"/>
                <w:szCs w:val="15"/>
                <w:color w:val="auto"/>
                <w:w w:val="71"/>
              </w:rPr>
              <w:t>$</w:t>
            </w:r>
          </w:p>
        </w:tc>
        <w:tc>
          <w:tcPr>
            <w:tcW w:w="280" w:type="dxa"/>
            <w:vAlign w:val="bottom"/>
            <w:gridSpan w:val="2"/>
          </w:tcPr>
          <w:p>
            <w:pPr>
              <w:jc w:val="right"/>
              <w:ind w:right="20"/>
              <w:spacing w:after="0"/>
              <w:rPr>
                <w:sz w:val="20"/>
                <w:szCs w:val="20"/>
                <w:color w:val="auto"/>
              </w:rPr>
            </w:pPr>
            <w:r>
              <w:rPr>
                <w:rFonts w:ascii="Arial" w:cs="Arial" w:eastAsia="Arial" w:hAnsi="Arial"/>
                <w:sz w:val="16"/>
                <w:szCs w:val="16"/>
                <w:color w:val="auto"/>
              </w:rPr>
              <w:t>23</w:t>
            </w:r>
          </w:p>
        </w:tc>
        <w:tc>
          <w:tcPr>
            <w:tcW w:w="14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Pr>
          <w:p>
            <w:pPr>
              <w:jc w:val="right"/>
              <w:spacing w:after="0"/>
              <w:rPr>
                <w:sz w:val="20"/>
                <w:szCs w:val="20"/>
                <w:color w:val="auto"/>
              </w:rPr>
            </w:pPr>
            <w:r>
              <w:rPr>
                <w:rFonts w:ascii="Arial" w:cs="Arial" w:eastAsia="Arial" w:hAnsi="Arial"/>
                <w:sz w:val="16"/>
                <w:szCs w:val="16"/>
                <w:color w:val="auto"/>
                <w:w w:val="89"/>
              </w:rPr>
              <w:t>1,150,550</w:t>
            </w:r>
          </w:p>
        </w:tc>
        <w:tc>
          <w:tcPr>
            <w:tcW w:w="160" w:type="dxa"/>
            <w:vAlign w:val="bottom"/>
          </w:tcPr>
          <w:p>
            <w:pPr>
              <w:spacing w:after="0"/>
              <w:rPr>
                <w:sz w:val="22"/>
                <w:szCs w:val="22"/>
                <w:color w:val="auto"/>
              </w:rPr>
            </w:pPr>
          </w:p>
        </w:tc>
        <w:tc>
          <w:tcPr>
            <w:tcW w:w="200" w:type="dxa"/>
            <w:vAlign w:val="bottom"/>
          </w:tcPr>
          <w:p>
            <w:pPr>
              <w:ind w:left="20"/>
              <w:spacing w:after="0"/>
              <w:rPr>
                <w:sz w:val="20"/>
                <w:szCs w:val="20"/>
                <w:color w:val="auto"/>
              </w:rPr>
            </w:pPr>
            <w:r>
              <w:rPr>
                <w:rFonts w:ascii="Arial" w:cs="Arial" w:eastAsia="Arial" w:hAnsi="Arial"/>
                <w:sz w:val="16"/>
                <w:szCs w:val="16"/>
                <w:color w:val="auto"/>
              </w:rPr>
              <w:t>$</w:t>
            </w:r>
          </w:p>
        </w:tc>
        <w:tc>
          <w:tcPr>
            <w:tcW w:w="880" w:type="dxa"/>
            <w:vAlign w:val="bottom"/>
            <w:gridSpan w:val="2"/>
          </w:tcPr>
          <w:p>
            <w:pPr>
              <w:jc w:val="right"/>
              <w:ind w:right="120"/>
              <w:spacing w:after="0"/>
              <w:rPr>
                <w:sz w:val="20"/>
                <w:szCs w:val="20"/>
                <w:color w:val="auto"/>
              </w:rPr>
            </w:pPr>
            <w:r>
              <w:rPr>
                <w:rFonts w:ascii="Arial" w:cs="Arial" w:eastAsia="Arial" w:hAnsi="Arial"/>
                <w:sz w:val="16"/>
                <w:szCs w:val="16"/>
                <w:color w:val="auto"/>
              </w:rPr>
              <w:t>(17,580)</w:t>
            </w: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gridSpan w:val="2"/>
          </w:tcPr>
          <w:p>
            <w:pPr>
              <w:jc w:val="right"/>
              <w:ind w:right="120"/>
              <w:spacing w:after="0"/>
              <w:rPr>
                <w:sz w:val="20"/>
                <w:szCs w:val="20"/>
                <w:color w:val="auto"/>
              </w:rPr>
            </w:pPr>
            <w:r>
              <w:rPr>
                <w:rFonts w:ascii="Arial" w:cs="Arial" w:eastAsia="Arial" w:hAnsi="Arial"/>
                <w:sz w:val="16"/>
                <w:szCs w:val="16"/>
                <w:color w:val="auto"/>
                <w:w w:val="92"/>
              </w:rPr>
              <w:t>(3,355,423)</w:t>
            </w:r>
          </w:p>
        </w:tc>
        <w:tc>
          <w:tcPr>
            <w:tcW w:w="200" w:type="dxa"/>
            <w:vAlign w:val="bottom"/>
          </w:tcPr>
          <w:p>
            <w:pPr>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68,615</w:t>
            </w:r>
          </w:p>
        </w:tc>
        <w:tc>
          <w:tcPr>
            <w:tcW w:w="120" w:type="dxa"/>
            <w:vAlign w:val="bottom"/>
          </w:tcPr>
          <w:p>
            <w:pPr>
              <w:spacing w:after="0"/>
              <w:rPr>
                <w:sz w:val="22"/>
                <w:szCs w:val="22"/>
                <w:color w:val="auto"/>
              </w:rPr>
            </w:pPr>
          </w:p>
        </w:tc>
        <w:tc>
          <w:tcPr>
            <w:tcW w:w="180" w:type="dxa"/>
            <w:vAlign w:val="bottom"/>
            <w:gridSpan w:val="2"/>
          </w:tcPr>
          <w:p>
            <w:pPr>
              <w:ind w:left="60"/>
              <w:spacing w:after="0"/>
              <w:rPr>
                <w:sz w:val="20"/>
                <w:szCs w:val="20"/>
                <w:color w:val="auto"/>
              </w:rPr>
            </w:pPr>
            <w:r>
              <w:rPr>
                <w:rFonts w:ascii="Arial" w:cs="Arial" w:eastAsia="Arial" w:hAnsi="Arial"/>
                <w:sz w:val="16"/>
                <w:szCs w:val="16"/>
                <w:color w:val="auto"/>
              </w:rPr>
              <w:t>$</w:t>
            </w:r>
          </w:p>
        </w:tc>
        <w:tc>
          <w:tcPr>
            <w:tcW w:w="760" w:type="dxa"/>
            <w:vAlign w:val="bottom"/>
          </w:tcPr>
          <w:p>
            <w:pPr>
              <w:jc w:val="right"/>
              <w:spacing w:after="0"/>
              <w:rPr>
                <w:sz w:val="20"/>
                <w:szCs w:val="20"/>
                <w:color w:val="auto"/>
              </w:rPr>
            </w:pPr>
            <w:r>
              <w:rPr>
                <w:rFonts w:ascii="Arial" w:cs="Arial" w:eastAsia="Arial" w:hAnsi="Arial"/>
                <w:sz w:val="16"/>
                <w:szCs w:val="16"/>
                <w:color w:val="auto"/>
              </w:rPr>
              <w:t>125</w:t>
            </w:r>
          </w:p>
        </w:tc>
        <w:tc>
          <w:tcPr>
            <w:tcW w:w="180" w:type="dxa"/>
            <w:vAlign w:val="bottom"/>
          </w:tcPr>
          <w:p>
            <w:pPr>
              <w:spacing w:after="0"/>
              <w:rPr>
                <w:sz w:val="22"/>
                <w:szCs w:val="22"/>
                <w:color w:val="auto"/>
              </w:rPr>
            </w:pPr>
          </w:p>
        </w:tc>
        <w:tc>
          <w:tcPr>
            <w:tcW w:w="100" w:type="dxa"/>
            <w:vAlign w:val="bottom"/>
          </w:tcPr>
          <w:p>
            <w:pPr>
              <w:spacing w:after="0"/>
              <w:rPr>
                <w:sz w:val="20"/>
                <w:szCs w:val="20"/>
                <w:color w:val="auto"/>
              </w:rPr>
            </w:pPr>
            <w:r>
              <w:rPr>
                <w:rFonts w:ascii="Arial" w:cs="Arial" w:eastAsia="Arial" w:hAnsi="Arial"/>
                <w:sz w:val="16"/>
                <w:szCs w:val="16"/>
                <w:color w:val="auto"/>
                <w:w w:val="89"/>
              </w:rPr>
              <w:t>$</w:t>
            </w:r>
          </w:p>
        </w:tc>
        <w:tc>
          <w:tcPr>
            <w:tcW w:w="820" w:type="dxa"/>
            <w:vAlign w:val="bottom"/>
            <w:gridSpan w:val="2"/>
          </w:tcPr>
          <w:p>
            <w:pPr>
              <w:jc w:val="right"/>
              <w:ind w:right="40"/>
              <w:spacing w:after="0"/>
              <w:rPr>
                <w:sz w:val="20"/>
                <w:szCs w:val="20"/>
                <w:color w:val="auto"/>
              </w:rPr>
            </w:pPr>
            <w:r>
              <w:rPr>
                <w:rFonts w:ascii="Arial" w:cs="Arial" w:eastAsia="Arial" w:hAnsi="Arial"/>
                <w:sz w:val="16"/>
                <w:szCs w:val="16"/>
                <w:color w:val="auto"/>
                <w:w w:val="92"/>
              </w:rPr>
              <w:t>(2,153,690)</w:t>
            </w:r>
          </w:p>
        </w:tc>
        <w:tc>
          <w:tcPr>
            <w:tcW w:w="0" w:type="dxa"/>
            <w:vAlign w:val="bottom"/>
          </w:tcPr>
          <w:p>
            <w:pPr>
              <w:spacing w:after="0"/>
              <w:rPr>
                <w:sz w:val="1"/>
                <w:szCs w:val="1"/>
                <w:color w:val="auto"/>
              </w:rPr>
            </w:pPr>
          </w:p>
        </w:tc>
      </w:tr>
      <w:tr>
        <w:trPr>
          <w:trHeight w:val="197"/>
        </w:trPr>
        <w:tc>
          <w:tcPr>
            <w:tcW w:w="1900" w:type="dxa"/>
            <w:vAlign w:val="bottom"/>
            <w:tcBorders>
              <w:top w:val="single" w:sz="8" w:color="CFF0FC"/>
            </w:tcBorders>
            <w:shd w:val="clear" w:color="auto" w:fill="CFF0FC"/>
          </w:tcPr>
          <w:p>
            <w:pPr>
              <w:spacing w:after="0"/>
              <w:rPr>
                <w:sz w:val="17"/>
                <w:szCs w:val="17"/>
                <w:color w:val="auto"/>
              </w:rPr>
            </w:pPr>
          </w:p>
        </w:tc>
        <w:tc>
          <w:tcPr>
            <w:tcW w:w="80" w:type="dxa"/>
            <w:vAlign w:val="bottom"/>
            <w:tcBorders>
              <w:top w:val="single" w:sz="8" w:color="CFF0FC"/>
            </w:tcBorders>
            <w:shd w:val="clear" w:color="auto" w:fill="CFF0FC"/>
          </w:tcPr>
          <w:p>
            <w:pPr>
              <w:spacing w:after="0"/>
              <w:rPr>
                <w:sz w:val="17"/>
                <w:szCs w:val="17"/>
                <w:color w:val="auto"/>
              </w:rPr>
            </w:pPr>
          </w:p>
        </w:tc>
        <w:tc>
          <w:tcPr>
            <w:tcW w:w="40" w:type="dxa"/>
            <w:vAlign w:val="bottom"/>
            <w:tcBorders>
              <w:top w:val="single" w:sz="8" w:color="auto"/>
            </w:tcBorders>
            <w:shd w:val="clear" w:color="auto" w:fill="CFF0FC"/>
          </w:tcPr>
          <w:p>
            <w:pPr>
              <w:spacing w:after="0"/>
              <w:rPr>
                <w:sz w:val="17"/>
                <w:szCs w:val="17"/>
                <w:color w:val="auto"/>
              </w:rPr>
            </w:pPr>
          </w:p>
        </w:tc>
        <w:tc>
          <w:tcPr>
            <w:tcW w:w="440" w:type="dxa"/>
            <w:vAlign w:val="bottom"/>
            <w:tcBorders>
              <w:top w:val="single" w:sz="8" w:color="auto"/>
            </w:tcBorders>
            <w:shd w:val="clear" w:color="auto" w:fill="CFF0FC"/>
          </w:tcPr>
          <w:p>
            <w:pPr>
              <w:spacing w:after="0"/>
              <w:rPr>
                <w:sz w:val="17"/>
                <w:szCs w:val="17"/>
                <w:color w:val="auto"/>
              </w:rPr>
            </w:pPr>
          </w:p>
        </w:tc>
        <w:tc>
          <w:tcPr>
            <w:tcW w:w="40" w:type="dxa"/>
            <w:vAlign w:val="bottom"/>
            <w:tcBorders>
              <w:top w:val="single" w:sz="8" w:color="auto"/>
            </w:tcBorders>
            <w:shd w:val="clear" w:color="auto" w:fill="CFF0FC"/>
          </w:tcPr>
          <w:p>
            <w:pPr>
              <w:spacing w:after="0"/>
              <w:rPr>
                <w:sz w:val="17"/>
                <w:szCs w:val="17"/>
                <w:color w:val="auto"/>
              </w:rPr>
            </w:pPr>
          </w:p>
        </w:tc>
        <w:tc>
          <w:tcPr>
            <w:tcW w:w="160" w:type="dxa"/>
            <w:vAlign w:val="bottom"/>
            <w:tcBorders>
              <w:top w:val="single" w:sz="8" w:color="CFF0FC"/>
            </w:tcBorders>
            <w:shd w:val="clear" w:color="auto" w:fill="CFF0FC"/>
          </w:tcPr>
          <w:p>
            <w:pPr>
              <w:spacing w:after="0"/>
              <w:rPr>
                <w:sz w:val="17"/>
                <w:szCs w:val="17"/>
                <w:color w:val="auto"/>
              </w:rPr>
            </w:pPr>
          </w:p>
        </w:tc>
        <w:tc>
          <w:tcPr>
            <w:tcW w:w="20" w:type="dxa"/>
            <w:vAlign w:val="bottom"/>
            <w:tcBorders>
              <w:top w:val="single" w:sz="8" w:color="auto"/>
            </w:tcBorders>
            <w:shd w:val="clear" w:color="auto" w:fill="CFF0FC"/>
          </w:tcPr>
          <w:p>
            <w:pPr>
              <w:spacing w:after="0"/>
              <w:rPr>
                <w:sz w:val="17"/>
                <w:szCs w:val="17"/>
                <w:color w:val="auto"/>
              </w:rPr>
            </w:pPr>
          </w:p>
        </w:tc>
        <w:tc>
          <w:tcPr>
            <w:tcW w:w="420" w:type="dxa"/>
            <w:vAlign w:val="bottom"/>
            <w:tcBorders>
              <w:top w:val="single" w:sz="8" w:color="auto"/>
            </w:tcBorders>
            <w:shd w:val="clear" w:color="auto" w:fill="CFF0FC"/>
          </w:tcPr>
          <w:p>
            <w:pPr>
              <w:spacing w:after="0"/>
              <w:rPr>
                <w:sz w:val="17"/>
                <w:szCs w:val="17"/>
                <w:color w:val="auto"/>
              </w:rPr>
            </w:pPr>
          </w:p>
        </w:tc>
        <w:tc>
          <w:tcPr>
            <w:tcW w:w="100" w:type="dxa"/>
            <w:vAlign w:val="bottom"/>
            <w:tcBorders>
              <w:top w:val="single" w:sz="8" w:color="auto"/>
            </w:tcBorders>
            <w:shd w:val="clear" w:color="auto" w:fill="CFF0FC"/>
          </w:tcPr>
          <w:p>
            <w:pPr>
              <w:spacing w:after="0"/>
              <w:rPr>
                <w:sz w:val="17"/>
                <w:szCs w:val="17"/>
                <w:color w:val="auto"/>
              </w:rPr>
            </w:pPr>
          </w:p>
        </w:tc>
        <w:tc>
          <w:tcPr>
            <w:tcW w:w="40" w:type="dxa"/>
            <w:vAlign w:val="bottom"/>
            <w:tcBorders>
              <w:top w:val="single" w:sz="8" w:color="auto"/>
            </w:tcBorders>
            <w:shd w:val="clear" w:color="auto" w:fill="CFF0FC"/>
          </w:tcPr>
          <w:p>
            <w:pPr>
              <w:spacing w:after="0"/>
              <w:rPr>
                <w:sz w:val="17"/>
                <w:szCs w:val="17"/>
                <w:color w:val="auto"/>
              </w:rPr>
            </w:pPr>
          </w:p>
        </w:tc>
        <w:tc>
          <w:tcPr>
            <w:tcW w:w="140" w:type="dxa"/>
            <w:vAlign w:val="bottom"/>
            <w:tcBorders>
              <w:top w:val="single" w:sz="8" w:color="CFF0FC"/>
            </w:tcBorders>
            <w:shd w:val="clear" w:color="auto" w:fill="CFF0FC"/>
          </w:tcPr>
          <w:p>
            <w:pPr>
              <w:spacing w:after="0"/>
              <w:rPr>
                <w:sz w:val="17"/>
                <w:szCs w:val="17"/>
                <w:color w:val="auto"/>
              </w:rPr>
            </w:pPr>
          </w:p>
        </w:tc>
        <w:tc>
          <w:tcPr>
            <w:tcW w:w="240" w:type="dxa"/>
            <w:vAlign w:val="bottom"/>
            <w:tcBorders>
              <w:top w:val="single" w:sz="8" w:color="auto"/>
            </w:tcBorders>
            <w:shd w:val="clear" w:color="auto" w:fill="CFF0FC"/>
          </w:tcPr>
          <w:p>
            <w:pPr>
              <w:spacing w:after="0"/>
              <w:rPr>
                <w:sz w:val="17"/>
                <w:szCs w:val="17"/>
                <w:color w:val="auto"/>
              </w:rPr>
            </w:pPr>
          </w:p>
        </w:tc>
        <w:tc>
          <w:tcPr>
            <w:tcW w:w="420" w:type="dxa"/>
            <w:vAlign w:val="bottom"/>
            <w:tcBorders>
              <w:top w:val="single" w:sz="8" w:color="auto"/>
            </w:tcBorders>
            <w:shd w:val="clear" w:color="auto" w:fill="CFF0FC"/>
          </w:tcPr>
          <w:p>
            <w:pPr>
              <w:spacing w:after="0"/>
              <w:rPr>
                <w:sz w:val="17"/>
                <w:szCs w:val="17"/>
                <w:color w:val="auto"/>
              </w:rPr>
            </w:pPr>
          </w:p>
        </w:tc>
        <w:tc>
          <w:tcPr>
            <w:tcW w:w="240" w:type="dxa"/>
            <w:vAlign w:val="bottom"/>
            <w:tcBorders>
              <w:top w:val="single" w:sz="8" w:color="auto"/>
            </w:tcBorders>
            <w:shd w:val="clear" w:color="auto" w:fill="CFF0FC"/>
          </w:tcPr>
          <w:p>
            <w:pPr>
              <w:spacing w:after="0"/>
              <w:rPr>
                <w:sz w:val="17"/>
                <w:szCs w:val="17"/>
                <w:color w:val="auto"/>
              </w:rPr>
            </w:pPr>
          </w:p>
        </w:tc>
        <w:tc>
          <w:tcPr>
            <w:tcW w:w="160" w:type="dxa"/>
            <w:vAlign w:val="bottom"/>
            <w:tcBorders>
              <w:top w:val="single" w:sz="8" w:color="CFF0FC"/>
            </w:tcBorders>
            <w:shd w:val="clear" w:color="auto" w:fill="CFF0FC"/>
          </w:tcPr>
          <w:p>
            <w:pPr>
              <w:spacing w:after="0"/>
              <w:rPr>
                <w:sz w:val="17"/>
                <w:szCs w:val="17"/>
                <w:color w:val="auto"/>
              </w:rPr>
            </w:pPr>
          </w:p>
        </w:tc>
        <w:tc>
          <w:tcPr>
            <w:tcW w:w="20" w:type="dxa"/>
            <w:vAlign w:val="bottom"/>
            <w:tcBorders>
              <w:top w:val="single" w:sz="8" w:color="auto"/>
            </w:tcBorders>
            <w:shd w:val="clear" w:color="auto" w:fill="CFF0FC"/>
          </w:tcPr>
          <w:p>
            <w:pPr>
              <w:spacing w:after="0"/>
              <w:rPr>
                <w:sz w:val="17"/>
                <w:szCs w:val="17"/>
                <w:color w:val="auto"/>
              </w:rPr>
            </w:pPr>
          </w:p>
        </w:tc>
        <w:tc>
          <w:tcPr>
            <w:tcW w:w="280" w:type="dxa"/>
            <w:vAlign w:val="bottom"/>
            <w:tcBorders>
              <w:top w:val="single" w:sz="8" w:color="auto"/>
            </w:tcBorders>
            <w:shd w:val="clear" w:color="auto" w:fill="CFF0FC"/>
          </w:tcPr>
          <w:p>
            <w:pPr>
              <w:spacing w:after="0"/>
              <w:rPr>
                <w:sz w:val="17"/>
                <w:szCs w:val="17"/>
                <w:color w:val="auto"/>
              </w:rPr>
            </w:pPr>
          </w:p>
        </w:tc>
        <w:tc>
          <w:tcPr>
            <w:tcW w:w="240" w:type="dxa"/>
            <w:vAlign w:val="bottom"/>
            <w:tcBorders>
              <w:top w:val="single" w:sz="8" w:color="auto"/>
            </w:tcBorders>
            <w:shd w:val="clear" w:color="auto" w:fill="CFF0FC"/>
          </w:tcPr>
          <w:p>
            <w:pPr>
              <w:spacing w:after="0"/>
              <w:rPr>
                <w:sz w:val="17"/>
                <w:szCs w:val="17"/>
                <w:color w:val="auto"/>
              </w:rPr>
            </w:pPr>
          </w:p>
        </w:tc>
        <w:tc>
          <w:tcPr>
            <w:tcW w:w="40" w:type="dxa"/>
            <w:vAlign w:val="bottom"/>
            <w:tcBorders>
              <w:top w:val="single" w:sz="8" w:color="auto"/>
            </w:tcBorders>
            <w:shd w:val="clear" w:color="auto" w:fill="CFF0FC"/>
          </w:tcPr>
          <w:p>
            <w:pPr>
              <w:spacing w:after="0"/>
              <w:rPr>
                <w:sz w:val="17"/>
                <w:szCs w:val="17"/>
                <w:color w:val="auto"/>
              </w:rPr>
            </w:pPr>
          </w:p>
        </w:tc>
        <w:tc>
          <w:tcPr>
            <w:tcW w:w="140" w:type="dxa"/>
            <w:vAlign w:val="bottom"/>
            <w:tcBorders>
              <w:top w:val="single" w:sz="8" w:color="CFF0FC"/>
            </w:tcBorders>
            <w:shd w:val="clear" w:color="auto" w:fill="CFF0FC"/>
          </w:tcPr>
          <w:p>
            <w:pPr>
              <w:spacing w:after="0"/>
              <w:rPr>
                <w:sz w:val="17"/>
                <w:szCs w:val="17"/>
                <w:color w:val="auto"/>
              </w:rPr>
            </w:pPr>
          </w:p>
        </w:tc>
        <w:tc>
          <w:tcPr>
            <w:tcW w:w="100" w:type="dxa"/>
            <w:vAlign w:val="bottom"/>
            <w:tcBorders>
              <w:top w:val="single" w:sz="8" w:color="auto"/>
            </w:tcBorders>
            <w:shd w:val="clear" w:color="auto" w:fill="CFF0FC"/>
          </w:tcPr>
          <w:p>
            <w:pPr>
              <w:spacing w:after="0"/>
              <w:rPr>
                <w:sz w:val="17"/>
                <w:szCs w:val="17"/>
                <w:color w:val="auto"/>
              </w:rPr>
            </w:pPr>
          </w:p>
        </w:tc>
        <w:tc>
          <w:tcPr>
            <w:tcW w:w="680" w:type="dxa"/>
            <w:vAlign w:val="bottom"/>
            <w:tcBorders>
              <w:top w:val="single" w:sz="8" w:color="auto"/>
            </w:tcBorders>
            <w:shd w:val="clear" w:color="auto" w:fill="CFF0FC"/>
          </w:tcPr>
          <w:p>
            <w:pPr>
              <w:spacing w:after="0"/>
              <w:rPr>
                <w:sz w:val="17"/>
                <w:szCs w:val="17"/>
                <w:color w:val="auto"/>
              </w:rPr>
            </w:pPr>
          </w:p>
        </w:tc>
        <w:tc>
          <w:tcPr>
            <w:tcW w:w="160" w:type="dxa"/>
            <w:vAlign w:val="bottom"/>
            <w:tcBorders>
              <w:top w:val="single" w:sz="8" w:color="CFF0FC"/>
            </w:tcBorders>
            <w:shd w:val="clear" w:color="auto" w:fill="CFF0FC"/>
          </w:tcPr>
          <w:p>
            <w:pPr>
              <w:spacing w:after="0"/>
              <w:rPr>
                <w:sz w:val="17"/>
                <w:szCs w:val="17"/>
                <w:color w:val="auto"/>
              </w:rPr>
            </w:pPr>
          </w:p>
        </w:tc>
        <w:tc>
          <w:tcPr>
            <w:tcW w:w="200" w:type="dxa"/>
            <w:vAlign w:val="bottom"/>
            <w:tcBorders>
              <w:top w:val="single" w:sz="8" w:color="auto"/>
            </w:tcBorders>
            <w:shd w:val="clear" w:color="auto" w:fill="CFF0FC"/>
          </w:tcPr>
          <w:p>
            <w:pPr>
              <w:spacing w:after="0"/>
              <w:rPr>
                <w:sz w:val="17"/>
                <w:szCs w:val="17"/>
                <w:color w:val="auto"/>
              </w:rPr>
            </w:pPr>
          </w:p>
        </w:tc>
        <w:tc>
          <w:tcPr>
            <w:tcW w:w="720" w:type="dxa"/>
            <w:vAlign w:val="bottom"/>
            <w:tcBorders>
              <w:top w:val="single" w:sz="8" w:color="auto"/>
            </w:tcBorders>
            <w:shd w:val="clear" w:color="auto" w:fill="CFF0FC"/>
          </w:tcPr>
          <w:p>
            <w:pPr>
              <w:spacing w:after="0"/>
              <w:rPr>
                <w:sz w:val="17"/>
                <w:szCs w:val="17"/>
                <w:color w:val="auto"/>
              </w:rPr>
            </w:pPr>
          </w:p>
        </w:tc>
        <w:tc>
          <w:tcPr>
            <w:tcW w:w="160" w:type="dxa"/>
            <w:vAlign w:val="bottom"/>
            <w:tcBorders>
              <w:top w:val="single" w:sz="8" w:color="CFF0FC"/>
            </w:tcBorders>
            <w:shd w:val="clear" w:color="auto" w:fill="CFF0FC"/>
          </w:tcPr>
          <w:p>
            <w:pPr>
              <w:spacing w:after="0"/>
              <w:rPr>
                <w:sz w:val="17"/>
                <w:szCs w:val="17"/>
                <w:color w:val="auto"/>
              </w:rPr>
            </w:pPr>
          </w:p>
        </w:tc>
        <w:tc>
          <w:tcPr>
            <w:tcW w:w="100" w:type="dxa"/>
            <w:vAlign w:val="bottom"/>
            <w:tcBorders>
              <w:top w:val="single" w:sz="8" w:color="auto"/>
            </w:tcBorders>
            <w:shd w:val="clear" w:color="auto" w:fill="CFF0FC"/>
          </w:tcPr>
          <w:p>
            <w:pPr>
              <w:spacing w:after="0"/>
              <w:rPr>
                <w:sz w:val="17"/>
                <w:szCs w:val="17"/>
                <w:color w:val="auto"/>
              </w:rPr>
            </w:pPr>
          </w:p>
        </w:tc>
        <w:tc>
          <w:tcPr>
            <w:tcW w:w="740" w:type="dxa"/>
            <w:vAlign w:val="bottom"/>
            <w:tcBorders>
              <w:top w:val="single" w:sz="8" w:color="auto"/>
            </w:tcBorders>
            <w:shd w:val="clear" w:color="auto" w:fill="CFF0FC"/>
          </w:tcPr>
          <w:p>
            <w:pPr>
              <w:spacing w:after="0"/>
              <w:rPr>
                <w:sz w:val="17"/>
                <w:szCs w:val="17"/>
                <w:color w:val="auto"/>
              </w:rPr>
            </w:pPr>
          </w:p>
        </w:tc>
        <w:tc>
          <w:tcPr>
            <w:tcW w:w="160" w:type="dxa"/>
            <w:vAlign w:val="bottom"/>
            <w:tcBorders>
              <w:top w:val="single" w:sz="8" w:color="CFF0FC"/>
            </w:tcBorders>
            <w:shd w:val="clear" w:color="auto" w:fill="CFF0FC"/>
          </w:tcPr>
          <w:p>
            <w:pPr>
              <w:spacing w:after="0"/>
              <w:rPr>
                <w:sz w:val="17"/>
                <w:szCs w:val="17"/>
                <w:color w:val="auto"/>
              </w:rPr>
            </w:pPr>
          </w:p>
        </w:tc>
        <w:tc>
          <w:tcPr>
            <w:tcW w:w="200" w:type="dxa"/>
            <w:vAlign w:val="bottom"/>
            <w:tcBorders>
              <w:top w:val="single" w:sz="8" w:color="auto"/>
            </w:tcBorders>
            <w:shd w:val="clear" w:color="auto" w:fill="CFF0FC"/>
          </w:tcPr>
          <w:p>
            <w:pPr>
              <w:spacing w:after="0"/>
              <w:rPr>
                <w:sz w:val="17"/>
                <w:szCs w:val="17"/>
                <w:color w:val="auto"/>
              </w:rPr>
            </w:pPr>
          </w:p>
        </w:tc>
        <w:tc>
          <w:tcPr>
            <w:tcW w:w="700" w:type="dxa"/>
            <w:vAlign w:val="bottom"/>
            <w:tcBorders>
              <w:top w:val="single" w:sz="8" w:color="auto"/>
            </w:tcBorders>
            <w:shd w:val="clear" w:color="auto" w:fill="CFF0FC"/>
          </w:tcPr>
          <w:p>
            <w:pPr>
              <w:spacing w:after="0"/>
              <w:rPr>
                <w:sz w:val="17"/>
                <w:szCs w:val="17"/>
                <w:color w:val="auto"/>
              </w:rPr>
            </w:pPr>
          </w:p>
        </w:tc>
        <w:tc>
          <w:tcPr>
            <w:tcW w:w="120" w:type="dxa"/>
            <w:vAlign w:val="bottom"/>
            <w:tcBorders>
              <w:top w:val="single" w:sz="8" w:color="CFF0FC"/>
            </w:tcBorders>
            <w:shd w:val="clear" w:color="auto" w:fill="CFF0FC"/>
          </w:tcPr>
          <w:p>
            <w:pPr>
              <w:spacing w:after="0"/>
              <w:rPr>
                <w:sz w:val="17"/>
                <w:szCs w:val="17"/>
                <w:color w:val="auto"/>
              </w:rPr>
            </w:pPr>
          </w:p>
        </w:tc>
        <w:tc>
          <w:tcPr>
            <w:tcW w:w="60" w:type="dxa"/>
            <w:vAlign w:val="bottom"/>
            <w:tcBorders>
              <w:top w:val="single" w:sz="8" w:color="CFF0FC"/>
            </w:tcBorders>
            <w:shd w:val="clear" w:color="auto" w:fill="CFF0FC"/>
          </w:tcPr>
          <w:p>
            <w:pPr>
              <w:spacing w:after="0"/>
              <w:rPr>
                <w:sz w:val="17"/>
                <w:szCs w:val="17"/>
                <w:color w:val="auto"/>
              </w:rPr>
            </w:pPr>
          </w:p>
        </w:tc>
        <w:tc>
          <w:tcPr>
            <w:tcW w:w="120" w:type="dxa"/>
            <w:vAlign w:val="bottom"/>
            <w:tcBorders>
              <w:top w:val="single" w:sz="8" w:color="auto"/>
            </w:tcBorders>
            <w:shd w:val="clear" w:color="auto" w:fill="CFF0FC"/>
          </w:tcPr>
          <w:p>
            <w:pPr>
              <w:spacing w:after="0"/>
              <w:rPr>
                <w:sz w:val="17"/>
                <w:szCs w:val="17"/>
                <w:color w:val="auto"/>
              </w:rPr>
            </w:pPr>
          </w:p>
        </w:tc>
        <w:tc>
          <w:tcPr>
            <w:tcW w:w="760" w:type="dxa"/>
            <w:vAlign w:val="bottom"/>
            <w:tcBorders>
              <w:top w:val="single" w:sz="8" w:color="auto"/>
            </w:tcBorders>
            <w:shd w:val="clear" w:color="auto" w:fill="CFF0FC"/>
          </w:tcPr>
          <w:p>
            <w:pPr>
              <w:spacing w:after="0"/>
              <w:rPr>
                <w:sz w:val="17"/>
                <w:szCs w:val="17"/>
                <w:color w:val="auto"/>
              </w:rPr>
            </w:pPr>
          </w:p>
        </w:tc>
        <w:tc>
          <w:tcPr>
            <w:tcW w:w="180" w:type="dxa"/>
            <w:vAlign w:val="bottom"/>
            <w:tcBorders>
              <w:top w:val="single" w:sz="8" w:color="CFF0FC"/>
            </w:tcBorders>
            <w:shd w:val="clear" w:color="auto" w:fill="CFF0FC"/>
          </w:tcPr>
          <w:p>
            <w:pPr>
              <w:spacing w:after="0"/>
              <w:rPr>
                <w:sz w:val="17"/>
                <w:szCs w:val="17"/>
                <w:color w:val="auto"/>
              </w:rPr>
            </w:pPr>
          </w:p>
        </w:tc>
        <w:tc>
          <w:tcPr>
            <w:tcW w:w="100" w:type="dxa"/>
            <w:vAlign w:val="bottom"/>
            <w:tcBorders>
              <w:top w:val="single" w:sz="8" w:color="auto"/>
            </w:tcBorders>
            <w:shd w:val="clear" w:color="auto" w:fill="CFF0FC"/>
          </w:tcPr>
          <w:p>
            <w:pPr>
              <w:spacing w:after="0"/>
              <w:rPr>
                <w:sz w:val="17"/>
                <w:szCs w:val="17"/>
                <w:color w:val="auto"/>
              </w:rPr>
            </w:pPr>
          </w:p>
        </w:tc>
        <w:tc>
          <w:tcPr>
            <w:tcW w:w="720" w:type="dxa"/>
            <w:vAlign w:val="bottom"/>
            <w:tcBorders>
              <w:top w:val="single" w:sz="8" w:color="auto"/>
            </w:tcBorders>
            <w:shd w:val="clear" w:color="auto" w:fill="CFF0FC"/>
          </w:tcPr>
          <w:p>
            <w:pPr>
              <w:spacing w:after="0"/>
              <w:rPr>
                <w:sz w:val="17"/>
                <w:szCs w:val="17"/>
                <w:color w:val="auto"/>
              </w:rPr>
            </w:pPr>
          </w:p>
        </w:tc>
        <w:tc>
          <w:tcPr>
            <w:tcW w:w="100" w:type="dxa"/>
            <w:vAlign w:val="bottom"/>
            <w:tcBorders>
              <w:top w:val="single" w:sz="8" w:color="CFF0FC"/>
            </w:tcBorders>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1980" w:type="dxa"/>
            <w:vAlign w:val="bottom"/>
            <w:gridSpan w:val="2"/>
          </w:tcPr>
          <w:p>
            <w:pPr>
              <w:spacing w:after="0"/>
              <w:rPr>
                <w:sz w:val="20"/>
                <w:szCs w:val="20"/>
                <w:color w:val="auto"/>
              </w:rPr>
            </w:pPr>
            <w:r>
              <w:rPr>
                <w:rFonts w:ascii="Arial" w:cs="Arial" w:eastAsia="Arial" w:hAnsi="Arial"/>
                <w:sz w:val="14"/>
                <w:szCs w:val="14"/>
                <w:color w:val="auto"/>
              </w:rPr>
              <w:t>Balance at December 31, 2021</w:t>
            </w:r>
          </w:p>
        </w:tc>
        <w:tc>
          <w:tcPr>
            <w:tcW w:w="5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440" w:type="dxa"/>
            <w:vAlign w:val="bottom"/>
            <w:gridSpan w:val="2"/>
          </w:tcPr>
          <w:p>
            <w:pPr>
              <w:jc w:val="right"/>
              <w:ind w:right="279"/>
              <w:spacing w:after="0"/>
              <w:rPr>
                <w:sz w:val="20"/>
                <w:szCs w:val="20"/>
                <w:color w:val="auto"/>
              </w:rPr>
            </w:pPr>
            <w:r>
              <w:rPr>
                <w:rFonts w:ascii="Arial" w:cs="Arial" w:eastAsia="Arial" w:hAnsi="Arial"/>
                <w:sz w:val="15"/>
                <w:szCs w:val="15"/>
                <w:color w:val="auto"/>
                <w:w w:val="71"/>
              </w:rPr>
              <w:t>$</w:t>
            </w:r>
          </w:p>
        </w:tc>
        <w:tc>
          <w:tcPr>
            <w:tcW w:w="14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900" w:type="dxa"/>
            <w:vAlign w:val="bottom"/>
            <w:gridSpan w:val="3"/>
          </w:tcPr>
          <w:p>
            <w:pPr>
              <w:jc w:val="right"/>
              <w:spacing w:after="0"/>
              <w:rPr>
                <w:sz w:val="20"/>
                <w:szCs w:val="20"/>
                <w:color w:val="auto"/>
              </w:rPr>
            </w:pPr>
            <w:r>
              <w:rPr>
                <w:rFonts w:ascii="Arial" w:cs="Arial" w:eastAsia="Arial" w:hAnsi="Arial"/>
                <w:sz w:val="16"/>
                <w:szCs w:val="16"/>
                <w:color w:val="auto"/>
                <w:w w:val="98"/>
              </w:rPr>
              <w:t>234,779,247</w:t>
            </w:r>
          </w:p>
        </w:tc>
        <w:tc>
          <w:tcPr>
            <w:tcW w:w="160" w:type="dxa"/>
            <w:vAlign w:val="bottom"/>
          </w:tcPr>
          <w:p>
            <w:pPr>
              <w:spacing w:after="0"/>
              <w:rPr>
                <w:sz w:val="19"/>
                <w:szCs w:val="19"/>
                <w:color w:val="auto"/>
              </w:rPr>
            </w:pPr>
          </w:p>
        </w:tc>
        <w:tc>
          <w:tcPr>
            <w:tcW w:w="300" w:type="dxa"/>
            <w:vAlign w:val="bottom"/>
            <w:gridSpan w:val="2"/>
          </w:tcPr>
          <w:p>
            <w:pPr>
              <w:jc w:val="right"/>
              <w:ind w:right="139"/>
              <w:spacing w:after="0"/>
              <w:rPr>
                <w:sz w:val="20"/>
                <w:szCs w:val="20"/>
                <w:color w:val="auto"/>
              </w:rPr>
            </w:pPr>
            <w:r>
              <w:rPr>
                <w:rFonts w:ascii="Arial" w:cs="Arial" w:eastAsia="Arial" w:hAnsi="Arial"/>
                <w:sz w:val="15"/>
                <w:szCs w:val="15"/>
                <w:color w:val="auto"/>
                <w:w w:val="71"/>
              </w:rPr>
              <w:t>$</w:t>
            </w:r>
          </w:p>
        </w:tc>
        <w:tc>
          <w:tcPr>
            <w:tcW w:w="280" w:type="dxa"/>
            <w:vAlign w:val="bottom"/>
            <w:gridSpan w:val="2"/>
          </w:tcPr>
          <w:p>
            <w:pPr>
              <w:jc w:val="right"/>
              <w:ind w:right="20"/>
              <w:spacing w:after="0"/>
              <w:rPr>
                <w:sz w:val="20"/>
                <w:szCs w:val="20"/>
                <w:color w:val="auto"/>
              </w:rPr>
            </w:pPr>
            <w:r>
              <w:rPr>
                <w:rFonts w:ascii="Arial" w:cs="Arial" w:eastAsia="Arial" w:hAnsi="Arial"/>
                <w:sz w:val="16"/>
                <w:szCs w:val="16"/>
                <w:color w:val="auto"/>
              </w:rPr>
              <w:t>23</w:t>
            </w:r>
          </w:p>
        </w:tc>
        <w:tc>
          <w:tcPr>
            <w:tcW w:w="14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Pr>
          <w:p>
            <w:pPr>
              <w:jc w:val="right"/>
              <w:spacing w:after="0"/>
              <w:rPr>
                <w:sz w:val="20"/>
                <w:szCs w:val="20"/>
                <w:color w:val="auto"/>
              </w:rPr>
            </w:pPr>
            <w:r>
              <w:rPr>
                <w:rFonts w:ascii="Arial" w:cs="Arial" w:eastAsia="Arial" w:hAnsi="Arial"/>
                <w:sz w:val="16"/>
                <w:szCs w:val="16"/>
                <w:color w:val="auto"/>
                <w:w w:val="89"/>
              </w:rPr>
              <w:t>1,214,830</w:t>
            </w:r>
          </w:p>
        </w:tc>
        <w:tc>
          <w:tcPr>
            <w:tcW w:w="160" w:type="dxa"/>
            <w:vAlign w:val="bottom"/>
          </w:tcPr>
          <w:p>
            <w:pPr>
              <w:spacing w:after="0"/>
              <w:rPr>
                <w:sz w:val="19"/>
                <w:szCs w:val="19"/>
                <w:color w:val="auto"/>
              </w:rPr>
            </w:pPr>
          </w:p>
        </w:tc>
        <w:tc>
          <w:tcPr>
            <w:tcW w:w="200" w:type="dxa"/>
            <w:vAlign w:val="bottom"/>
          </w:tcPr>
          <w:p>
            <w:pPr>
              <w:ind w:left="20"/>
              <w:spacing w:after="0"/>
              <w:rPr>
                <w:sz w:val="20"/>
                <w:szCs w:val="20"/>
                <w:color w:val="auto"/>
              </w:rPr>
            </w:pPr>
            <w:r>
              <w:rPr>
                <w:rFonts w:ascii="Arial" w:cs="Arial" w:eastAsia="Arial" w:hAnsi="Arial"/>
                <w:sz w:val="16"/>
                <w:szCs w:val="16"/>
                <w:color w:val="auto"/>
              </w:rPr>
              <w:t>$</w:t>
            </w:r>
          </w:p>
        </w:tc>
        <w:tc>
          <w:tcPr>
            <w:tcW w:w="880" w:type="dxa"/>
            <w:vAlign w:val="bottom"/>
            <w:gridSpan w:val="2"/>
          </w:tcPr>
          <w:p>
            <w:pPr>
              <w:jc w:val="right"/>
              <w:ind w:right="120"/>
              <w:spacing w:after="0"/>
              <w:rPr>
                <w:sz w:val="20"/>
                <w:szCs w:val="20"/>
                <w:color w:val="auto"/>
              </w:rPr>
            </w:pPr>
            <w:r>
              <w:rPr>
                <w:rFonts w:ascii="Arial" w:cs="Arial" w:eastAsia="Arial" w:hAnsi="Arial"/>
                <w:sz w:val="16"/>
                <w:szCs w:val="16"/>
                <w:color w:val="auto"/>
              </w:rPr>
              <w:t>(9,164)</w:t>
            </w: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gridSpan w:val="2"/>
          </w:tcPr>
          <w:p>
            <w:pPr>
              <w:jc w:val="right"/>
              <w:ind w:right="120"/>
              <w:spacing w:after="0"/>
              <w:rPr>
                <w:sz w:val="20"/>
                <w:szCs w:val="20"/>
                <w:color w:val="auto"/>
              </w:rPr>
            </w:pPr>
            <w:r>
              <w:rPr>
                <w:rFonts w:ascii="Arial" w:cs="Arial" w:eastAsia="Arial" w:hAnsi="Arial"/>
                <w:sz w:val="16"/>
                <w:szCs w:val="16"/>
                <w:color w:val="auto"/>
                <w:w w:val="92"/>
              </w:rPr>
              <w:t>(3,333,481)</w:t>
            </w:r>
          </w:p>
        </w:tc>
        <w:tc>
          <w:tcPr>
            <w:tcW w:w="200" w:type="dxa"/>
            <w:vAlign w:val="bottom"/>
          </w:tcPr>
          <w:p>
            <w:pPr>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13,893</w:t>
            </w:r>
          </w:p>
        </w:tc>
        <w:tc>
          <w:tcPr>
            <w:tcW w:w="120" w:type="dxa"/>
            <w:vAlign w:val="bottom"/>
          </w:tcPr>
          <w:p>
            <w:pPr>
              <w:spacing w:after="0"/>
              <w:rPr>
                <w:sz w:val="19"/>
                <w:szCs w:val="19"/>
                <w:color w:val="auto"/>
              </w:rPr>
            </w:pPr>
          </w:p>
        </w:tc>
        <w:tc>
          <w:tcPr>
            <w:tcW w:w="180" w:type="dxa"/>
            <w:vAlign w:val="bottom"/>
            <w:gridSpan w:val="2"/>
          </w:tcPr>
          <w:p>
            <w:pPr>
              <w:ind w:left="60"/>
              <w:spacing w:after="0"/>
              <w:rPr>
                <w:sz w:val="20"/>
                <w:szCs w:val="20"/>
                <w:color w:val="auto"/>
              </w:rPr>
            </w:pPr>
            <w:r>
              <w:rPr>
                <w:rFonts w:ascii="Arial" w:cs="Arial" w:eastAsia="Arial" w:hAnsi="Arial"/>
                <w:sz w:val="16"/>
                <w:szCs w:val="16"/>
                <w:color w:val="auto"/>
              </w:rPr>
              <w:t>$</w:t>
            </w:r>
          </w:p>
        </w:tc>
        <w:tc>
          <w:tcPr>
            <w:tcW w:w="760" w:type="dxa"/>
            <w:vAlign w:val="bottom"/>
          </w:tcPr>
          <w:p>
            <w:pPr>
              <w:jc w:val="right"/>
              <w:spacing w:after="0"/>
              <w:rPr>
                <w:sz w:val="20"/>
                <w:szCs w:val="20"/>
                <w:color w:val="auto"/>
              </w:rPr>
            </w:pPr>
            <w:r>
              <w:rPr>
                <w:rFonts w:ascii="Arial" w:cs="Arial" w:eastAsia="Arial" w:hAnsi="Arial"/>
                <w:sz w:val="16"/>
                <w:szCs w:val="16"/>
                <w:color w:val="auto"/>
              </w:rPr>
              <w:t>125</w:t>
            </w:r>
          </w:p>
        </w:tc>
        <w:tc>
          <w:tcPr>
            <w:tcW w:w="180" w:type="dxa"/>
            <w:vAlign w:val="bottom"/>
          </w:tcPr>
          <w:p>
            <w:pPr>
              <w:spacing w:after="0"/>
              <w:rPr>
                <w:sz w:val="19"/>
                <w:szCs w:val="19"/>
                <w:color w:val="auto"/>
              </w:rPr>
            </w:pPr>
          </w:p>
        </w:tc>
        <w:tc>
          <w:tcPr>
            <w:tcW w:w="100" w:type="dxa"/>
            <w:vAlign w:val="bottom"/>
          </w:tcPr>
          <w:p>
            <w:pPr>
              <w:spacing w:after="0"/>
              <w:rPr>
                <w:sz w:val="20"/>
                <w:szCs w:val="20"/>
                <w:color w:val="auto"/>
              </w:rPr>
            </w:pPr>
            <w:r>
              <w:rPr>
                <w:rFonts w:ascii="Arial" w:cs="Arial" w:eastAsia="Arial" w:hAnsi="Arial"/>
                <w:sz w:val="16"/>
                <w:szCs w:val="16"/>
                <w:color w:val="auto"/>
                <w:w w:val="89"/>
              </w:rPr>
              <w:t>$</w:t>
            </w:r>
          </w:p>
        </w:tc>
        <w:tc>
          <w:tcPr>
            <w:tcW w:w="820" w:type="dxa"/>
            <w:vAlign w:val="bottom"/>
            <w:gridSpan w:val="2"/>
          </w:tcPr>
          <w:p>
            <w:pPr>
              <w:jc w:val="right"/>
              <w:ind w:right="40"/>
              <w:spacing w:after="0"/>
              <w:rPr>
                <w:sz w:val="20"/>
                <w:szCs w:val="20"/>
                <w:color w:val="auto"/>
              </w:rPr>
            </w:pPr>
            <w:r>
              <w:rPr>
                <w:rFonts w:ascii="Arial" w:cs="Arial" w:eastAsia="Arial" w:hAnsi="Arial"/>
                <w:sz w:val="16"/>
                <w:szCs w:val="16"/>
                <w:color w:val="auto"/>
                <w:w w:val="92"/>
              </w:rPr>
              <w:t>(2,113,774)</w:t>
            </w:r>
          </w:p>
        </w:tc>
        <w:tc>
          <w:tcPr>
            <w:tcW w:w="0" w:type="dxa"/>
            <w:vAlign w:val="bottom"/>
          </w:tcPr>
          <w:p>
            <w:pPr>
              <w:spacing w:after="0"/>
              <w:rPr>
                <w:sz w:val="1"/>
                <w:szCs w:val="1"/>
                <w:color w:val="auto"/>
              </w:rPr>
            </w:pPr>
          </w:p>
        </w:tc>
      </w:tr>
      <w:tr>
        <w:trPr>
          <w:trHeight w:val="230"/>
        </w:trPr>
        <w:tc>
          <w:tcPr>
            <w:tcW w:w="198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Net income</w:t>
            </w:r>
          </w:p>
        </w:tc>
        <w:tc>
          <w:tcPr>
            <w:tcW w:w="52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4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9"/>
                <w:szCs w:val="19"/>
                <w:color w:val="auto"/>
              </w:rPr>
            </w:pPr>
          </w:p>
        </w:tc>
        <w:tc>
          <w:tcPr>
            <w:tcW w:w="900" w:type="dxa"/>
            <w:vAlign w:val="bottom"/>
            <w:gridSpan w:val="3"/>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8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52,730</w:t>
            </w:r>
          </w:p>
        </w:tc>
        <w:tc>
          <w:tcPr>
            <w:tcW w:w="1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128</w:t>
            </w:r>
          </w:p>
        </w:tc>
        <w:tc>
          <w:tcPr>
            <w:tcW w:w="12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52,858</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1980" w:type="dxa"/>
            <w:vAlign w:val="bottom"/>
            <w:gridSpan w:val="2"/>
          </w:tcPr>
          <w:p>
            <w:pPr>
              <w:spacing w:after="0"/>
              <w:rPr>
                <w:sz w:val="20"/>
                <w:szCs w:val="20"/>
                <w:color w:val="auto"/>
              </w:rPr>
            </w:pPr>
            <w:r>
              <w:rPr>
                <w:rFonts w:ascii="Arial" w:cs="Arial" w:eastAsia="Arial" w:hAnsi="Arial"/>
                <w:sz w:val="14"/>
                <w:szCs w:val="14"/>
                <w:color w:val="auto"/>
              </w:rPr>
              <w:t>Other comprehensive income</w:t>
            </w:r>
          </w:p>
        </w:tc>
        <w:tc>
          <w:tcPr>
            <w:tcW w:w="5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90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2,823</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7</w:t>
            </w: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2,830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43"/>
        </w:trPr>
        <w:tc>
          <w:tcPr>
            <w:tcW w:w="1980" w:type="dxa"/>
            <w:vAlign w:val="bottom"/>
            <w:gridSpan w:val="2"/>
            <w:shd w:val="clear" w:color="auto" w:fill="CFF0FC"/>
          </w:tcPr>
          <w:p>
            <w:pPr>
              <w:spacing w:after="0" w:line="143" w:lineRule="exact"/>
              <w:rPr>
                <w:sz w:val="20"/>
                <w:szCs w:val="20"/>
                <w:color w:val="auto"/>
              </w:rPr>
            </w:pPr>
            <w:r>
              <w:rPr>
                <w:rFonts w:ascii="Arial" w:cs="Arial" w:eastAsia="Arial" w:hAnsi="Arial"/>
                <w:sz w:val="14"/>
                <w:szCs w:val="14"/>
                <w:color w:val="auto"/>
              </w:rPr>
              <w:t>Common stock dividends</w:t>
            </w:r>
          </w:p>
        </w:tc>
        <w:tc>
          <w:tcPr>
            <w:tcW w:w="520" w:type="dxa"/>
            <w:vAlign w:val="bottom"/>
            <w:gridSpan w:val="3"/>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420" w:type="dxa"/>
            <w:vAlign w:val="bottom"/>
            <w:shd w:val="clear" w:color="auto" w:fill="CFF0FC"/>
          </w:tcPr>
          <w:p>
            <w:pPr>
              <w:spacing w:after="0"/>
              <w:rPr>
                <w:sz w:val="12"/>
                <w:szCs w:val="12"/>
                <w:color w:val="auto"/>
              </w:rPr>
            </w:pPr>
          </w:p>
        </w:tc>
        <w:tc>
          <w:tcPr>
            <w:tcW w:w="140" w:type="dxa"/>
            <w:vAlign w:val="bottom"/>
            <w:gridSpan w:val="2"/>
            <w:vMerge w:val="restart"/>
            <w:shd w:val="clear" w:color="auto" w:fill="CFF0FC"/>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2"/>
                <w:szCs w:val="12"/>
                <w:color w:val="auto"/>
              </w:rPr>
            </w:pPr>
          </w:p>
        </w:tc>
        <w:tc>
          <w:tcPr>
            <w:tcW w:w="900" w:type="dxa"/>
            <w:vAlign w:val="bottom"/>
            <w:gridSpan w:val="3"/>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280" w:type="dxa"/>
            <w:vAlign w:val="bottom"/>
            <w:gridSpan w:val="2"/>
            <w:vMerge w:val="restart"/>
            <w:shd w:val="clear" w:color="auto" w:fill="CFF0FC"/>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8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2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900" w:type="dxa"/>
            <w:vAlign w:val="bottom"/>
            <w:gridSpan w:val="2"/>
            <w:vMerge w:val="restart"/>
            <w:shd w:val="clear" w:color="auto" w:fill="CFF0FC"/>
          </w:tcPr>
          <w:p>
            <w:pPr>
              <w:jc w:val="right"/>
              <w:ind w:right="120"/>
              <w:spacing w:after="0"/>
              <w:rPr>
                <w:sz w:val="20"/>
                <w:szCs w:val="20"/>
                <w:color w:val="auto"/>
              </w:rPr>
            </w:pPr>
            <w:r>
              <w:rPr>
                <w:rFonts w:ascii="Arial" w:cs="Arial" w:eastAsia="Arial" w:hAnsi="Arial"/>
                <w:sz w:val="16"/>
                <w:szCs w:val="16"/>
                <w:color w:val="auto"/>
              </w:rPr>
              <w:t>(35,905)</w:t>
            </w:r>
          </w:p>
        </w:tc>
        <w:tc>
          <w:tcPr>
            <w:tcW w:w="200" w:type="dxa"/>
            <w:vAlign w:val="bottom"/>
            <w:shd w:val="clear" w:color="auto" w:fill="CFF0FC"/>
          </w:tcPr>
          <w:p>
            <w:pPr>
              <w:spacing w:after="0"/>
              <w:rPr>
                <w:sz w:val="12"/>
                <w:szCs w:val="12"/>
                <w:color w:val="auto"/>
              </w:rPr>
            </w:pPr>
          </w:p>
        </w:tc>
        <w:tc>
          <w:tcPr>
            <w:tcW w:w="70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6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820" w:type="dxa"/>
            <w:vAlign w:val="bottom"/>
            <w:gridSpan w:val="2"/>
            <w:vMerge w:val="restart"/>
            <w:shd w:val="clear" w:color="auto" w:fill="CFF0FC"/>
          </w:tcPr>
          <w:p>
            <w:pPr>
              <w:jc w:val="right"/>
              <w:ind w:right="40"/>
              <w:spacing w:after="0"/>
              <w:rPr>
                <w:sz w:val="20"/>
                <w:szCs w:val="20"/>
                <w:color w:val="auto"/>
              </w:rPr>
            </w:pPr>
            <w:r>
              <w:rPr>
                <w:rFonts w:ascii="Arial" w:cs="Arial" w:eastAsia="Arial" w:hAnsi="Arial"/>
                <w:sz w:val="16"/>
                <w:szCs w:val="16"/>
                <w:color w:val="auto"/>
              </w:rPr>
              <w:t>(35,905)</w:t>
            </w:r>
          </w:p>
        </w:tc>
        <w:tc>
          <w:tcPr>
            <w:tcW w:w="0" w:type="dxa"/>
            <w:vAlign w:val="bottom"/>
          </w:tcPr>
          <w:p>
            <w:pPr>
              <w:spacing w:after="0"/>
              <w:rPr>
                <w:sz w:val="1"/>
                <w:szCs w:val="1"/>
                <w:color w:val="auto"/>
              </w:rPr>
            </w:pPr>
          </w:p>
        </w:tc>
      </w:tr>
      <w:tr>
        <w:trPr>
          <w:trHeight w:val="167"/>
        </w:trPr>
        <w:tc>
          <w:tcPr>
            <w:tcW w:w="198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declared ($0.15 per share)</w:t>
            </w:r>
          </w:p>
        </w:tc>
        <w:tc>
          <w:tcPr>
            <w:tcW w:w="520" w:type="dxa"/>
            <w:vAlign w:val="bottom"/>
            <w:gridSpan w:val="3"/>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420" w:type="dxa"/>
            <w:vAlign w:val="bottom"/>
            <w:shd w:val="clear" w:color="auto" w:fill="CFF0FC"/>
          </w:tcPr>
          <w:p>
            <w:pPr>
              <w:spacing w:after="0"/>
              <w:rPr>
                <w:sz w:val="14"/>
                <w:szCs w:val="14"/>
                <w:color w:val="auto"/>
              </w:rPr>
            </w:pPr>
          </w:p>
        </w:tc>
        <w:tc>
          <w:tcPr>
            <w:tcW w:w="140" w:type="dxa"/>
            <w:vAlign w:val="bottom"/>
            <w:gridSpan w:val="2"/>
            <w:vMerge w:val="continue"/>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900" w:type="dxa"/>
            <w:vAlign w:val="bottom"/>
            <w:gridSpan w:val="3"/>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280" w:type="dxa"/>
            <w:vAlign w:val="bottom"/>
            <w:gridSpan w:val="2"/>
            <w:vMerge w:val="continue"/>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680" w:type="dxa"/>
            <w:vAlign w:val="bottom"/>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720" w:type="dxa"/>
            <w:vAlign w:val="bottom"/>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900" w:type="dxa"/>
            <w:vAlign w:val="bottom"/>
            <w:gridSpan w:val="2"/>
            <w:vMerge w:val="continue"/>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700" w:type="dxa"/>
            <w:vAlign w:val="bottom"/>
            <w:vMerge w:val="continue"/>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60" w:type="dxa"/>
            <w:vAlign w:val="bottom"/>
            <w:vMerge w:val="continue"/>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20" w:type="dxa"/>
            <w:vAlign w:val="bottom"/>
            <w:gridSpan w:val="2"/>
            <w:vMerge w:val="continue"/>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1980" w:type="dxa"/>
            <w:vAlign w:val="bottom"/>
            <w:gridSpan w:val="2"/>
          </w:tcPr>
          <w:p>
            <w:pPr>
              <w:spacing w:after="0" w:line="143" w:lineRule="exact"/>
              <w:rPr>
                <w:sz w:val="20"/>
                <w:szCs w:val="20"/>
                <w:color w:val="auto"/>
              </w:rPr>
            </w:pPr>
            <w:r>
              <w:rPr>
                <w:rFonts w:ascii="Arial" w:cs="Arial" w:eastAsia="Arial" w:hAnsi="Arial"/>
                <w:sz w:val="14"/>
                <w:szCs w:val="14"/>
                <w:color w:val="auto"/>
              </w:rPr>
              <w:t>Distributions to noncontrolling</w:t>
            </w:r>
          </w:p>
        </w:tc>
        <w:tc>
          <w:tcPr>
            <w:tcW w:w="520" w:type="dxa"/>
            <w:vAlign w:val="bottom"/>
            <w:gridSpan w:val="3"/>
            <w:vMerge w:val="restart"/>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40" w:type="dxa"/>
            <w:vAlign w:val="bottom"/>
            <w:gridSpan w:val="2"/>
            <w:vMerge w:val="restart"/>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2"/>
                <w:szCs w:val="12"/>
                <w:color w:val="auto"/>
              </w:rPr>
            </w:pPr>
          </w:p>
        </w:tc>
        <w:tc>
          <w:tcPr>
            <w:tcW w:w="900" w:type="dxa"/>
            <w:vAlign w:val="bottom"/>
            <w:gridSpan w:val="3"/>
            <w:vMerge w:val="restart"/>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gridSpan w:val="2"/>
            <w:vMerge w:val="restart"/>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20" w:type="dxa"/>
            <w:vAlign w:val="bottom"/>
            <w:gridSpan w:val="2"/>
            <w:vMerge w:val="restart"/>
          </w:tcPr>
          <w:p>
            <w:pPr>
              <w:jc w:val="right"/>
              <w:ind w:right="60"/>
              <w:spacing w:after="0"/>
              <w:rPr>
                <w:sz w:val="20"/>
                <w:szCs w:val="20"/>
                <w:color w:val="auto"/>
              </w:rPr>
            </w:pPr>
            <w:r>
              <w:rPr>
                <w:rFonts w:ascii="Arial" w:cs="Arial" w:eastAsia="Arial" w:hAnsi="Arial"/>
                <w:sz w:val="16"/>
                <w:szCs w:val="16"/>
                <w:color w:val="auto"/>
              </w:rPr>
              <w:t>(82)</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gridSpan w:val="2"/>
            <w:vMerge w:val="restart"/>
          </w:tcPr>
          <w:p>
            <w:pPr>
              <w:jc w:val="right"/>
              <w:ind w:right="40"/>
              <w:spacing w:after="0"/>
              <w:rPr>
                <w:sz w:val="20"/>
                <w:szCs w:val="20"/>
                <w:color w:val="auto"/>
              </w:rPr>
            </w:pPr>
            <w:r>
              <w:rPr>
                <w:rFonts w:ascii="Arial" w:cs="Arial" w:eastAsia="Arial" w:hAnsi="Arial"/>
                <w:sz w:val="16"/>
                <w:szCs w:val="16"/>
                <w:color w:val="auto"/>
              </w:rPr>
              <w:t>(82)</w:t>
            </w:r>
          </w:p>
        </w:tc>
        <w:tc>
          <w:tcPr>
            <w:tcW w:w="0" w:type="dxa"/>
            <w:vAlign w:val="bottom"/>
          </w:tcPr>
          <w:p>
            <w:pPr>
              <w:spacing w:after="0"/>
              <w:rPr>
                <w:sz w:val="1"/>
                <w:szCs w:val="1"/>
                <w:color w:val="auto"/>
              </w:rPr>
            </w:pPr>
          </w:p>
        </w:tc>
      </w:tr>
      <w:tr>
        <w:trPr>
          <w:trHeight w:val="167"/>
        </w:trPr>
        <w:tc>
          <w:tcPr>
            <w:tcW w:w="1980" w:type="dxa"/>
            <w:vAlign w:val="bottom"/>
            <w:gridSpan w:val="2"/>
          </w:tcPr>
          <w:p>
            <w:pPr>
              <w:spacing w:after="0"/>
              <w:rPr>
                <w:sz w:val="20"/>
                <w:szCs w:val="20"/>
                <w:color w:val="auto"/>
              </w:rPr>
            </w:pPr>
            <w:r>
              <w:rPr>
                <w:rFonts w:ascii="Arial" w:cs="Arial" w:eastAsia="Arial" w:hAnsi="Arial"/>
                <w:sz w:val="14"/>
                <w:szCs w:val="14"/>
                <w:color w:val="auto"/>
              </w:rPr>
              <w:t>interest declared</w:t>
            </w:r>
          </w:p>
        </w:tc>
        <w:tc>
          <w:tcPr>
            <w:tcW w:w="520" w:type="dxa"/>
            <w:vAlign w:val="bottom"/>
            <w:gridSpan w:val="3"/>
            <w:vMerge w:val="continue"/>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gridSpan w:val="3"/>
            <w:vMerge w:val="continue"/>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8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vMerge w:val="continue"/>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1980" w:type="dxa"/>
            <w:vAlign w:val="bottom"/>
            <w:gridSpan w:val="2"/>
            <w:shd w:val="clear" w:color="auto" w:fill="CFF0FC"/>
          </w:tcPr>
          <w:p>
            <w:pPr>
              <w:spacing w:after="0" w:line="143" w:lineRule="exact"/>
              <w:rPr>
                <w:sz w:val="20"/>
                <w:szCs w:val="20"/>
                <w:color w:val="auto"/>
              </w:rPr>
            </w:pPr>
            <w:r>
              <w:rPr>
                <w:rFonts w:ascii="Arial" w:cs="Arial" w:eastAsia="Arial" w:hAnsi="Arial"/>
                <w:sz w:val="14"/>
                <w:szCs w:val="14"/>
                <w:color w:val="auto"/>
              </w:rPr>
              <w:t>Cumulative non-voting</w:t>
            </w:r>
          </w:p>
        </w:tc>
        <w:tc>
          <w:tcPr>
            <w:tcW w:w="520" w:type="dxa"/>
            <w:vAlign w:val="bottom"/>
            <w:gridSpan w:val="3"/>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420" w:type="dxa"/>
            <w:vAlign w:val="bottom"/>
            <w:shd w:val="clear" w:color="auto" w:fill="CFF0FC"/>
          </w:tcPr>
          <w:p>
            <w:pPr>
              <w:spacing w:after="0"/>
              <w:rPr>
                <w:sz w:val="12"/>
                <w:szCs w:val="12"/>
                <w:color w:val="auto"/>
              </w:rPr>
            </w:pPr>
          </w:p>
        </w:tc>
        <w:tc>
          <w:tcPr>
            <w:tcW w:w="140" w:type="dxa"/>
            <w:vAlign w:val="bottom"/>
            <w:gridSpan w:val="2"/>
            <w:vMerge w:val="restart"/>
            <w:shd w:val="clear" w:color="auto" w:fill="CFF0FC"/>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2"/>
                <w:szCs w:val="12"/>
                <w:color w:val="auto"/>
              </w:rPr>
            </w:pPr>
          </w:p>
        </w:tc>
        <w:tc>
          <w:tcPr>
            <w:tcW w:w="900" w:type="dxa"/>
            <w:vAlign w:val="bottom"/>
            <w:gridSpan w:val="3"/>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280" w:type="dxa"/>
            <w:vAlign w:val="bottom"/>
            <w:gridSpan w:val="2"/>
            <w:vMerge w:val="restart"/>
            <w:shd w:val="clear" w:color="auto" w:fill="CFF0FC"/>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8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2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900" w:type="dxa"/>
            <w:vAlign w:val="bottom"/>
            <w:gridSpan w:val="2"/>
            <w:vMerge w:val="restart"/>
            <w:shd w:val="clear" w:color="auto" w:fill="CFF0FC"/>
          </w:tcPr>
          <w:p>
            <w:pPr>
              <w:jc w:val="right"/>
              <w:ind w:right="120"/>
              <w:spacing w:after="0"/>
              <w:rPr>
                <w:sz w:val="20"/>
                <w:szCs w:val="20"/>
                <w:color w:val="auto"/>
              </w:rPr>
            </w:pPr>
            <w:r>
              <w:rPr>
                <w:rFonts w:ascii="Arial" w:cs="Arial" w:eastAsia="Arial" w:hAnsi="Arial"/>
                <w:sz w:val="16"/>
                <w:szCs w:val="16"/>
                <w:color w:val="auto"/>
              </w:rPr>
              <w:t>(125)</w:t>
            </w:r>
          </w:p>
        </w:tc>
        <w:tc>
          <w:tcPr>
            <w:tcW w:w="200" w:type="dxa"/>
            <w:vAlign w:val="bottom"/>
            <w:shd w:val="clear" w:color="auto" w:fill="CFF0FC"/>
          </w:tcPr>
          <w:p>
            <w:pPr>
              <w:spacing w:after="0"/>
              <w:rPr>
                <w:sz w:val="12"/>
                <w:szCs w:val="12"/>
                <w:color w:val="auto"/>
              </w:rPr>
            </w:pPr>
          </w:p>
        </w:tc>
        <w:tc>
          <w:tcPr>
            <w:tcW w:w="70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6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125</w:t>
            </w:r>
          </w:p>
        </w:tc>
        <w:tc>
          <w:tcPr>
            <w:tcW w:w="1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72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0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198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convertible preferred stock</w:t>
            </w:r>
          </w:p>
        </w:tc>
        <w:tc>
          <w:tcPr>
            <w:tcW w:w="520" w:type="dxa"/>
            <w:vAlign w:val="bottom"/>
            <w:gridSpan w:val="3"/>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420" w:type="dxa"/>
            <w:vAlign w:val="bottom"/>
            <w:shd w:val="clear" w:color="auto" w:fill="CFF0FC"/>
          </w:tcPr>
          <w:p>
            <w:pPr>
              <w:spacing w:after="0"/>
              <w:rPr>
                <w:sz w:val="14"/>
                <w:szCs w:val="14"/>
                <w:color w:val="auto"/>
              </w:rPr>
            </w:pPr>
          </w:p>
        </w:tc>
        <w:tc>
          <w:tcPr>
            <w:tcW w:w="140" w:type="dxa"/>
            <w:vAlign w:val="bottom"/>
            <w:gridSpan w:val="2"/>
            <w:vMerge w:val="continue"/>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900" w:type="dxa"/>
            <w:vAlign w:val="bottom"/>
            <w:gridSpan w:val="3"/>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280" w:type="dxa"/>
            <w:vAlign w:val="bottom"/>
            <w:gridSpan w:val="2"/>
            <w:vMerge w:val="continue"/>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680" w:type="dxa"/>
            <w:vAlign w:val="bottom"/>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720" w:type="dxa"/>
            <w:vAlign w:val="bottom"/>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900" w:type="dxa"/>
            <w:vAlign w:val="bottom"/>
            <w:gridSpan w:val="2"/>
            <w:vMerge w:val="continue"/>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700" w:type="dxa"/>
            <w:vAlign w:val="bottom"/>
            <w:vMerge w:val="continue"/>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60" w:type="dxa"/>
            <w:vAlign w:val="bottom"/>
            <w:vMerge w:val="continue"/>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20" w:type="dxa"/>
            <w:vAlign w:val="bottom"/>
            <w:vMerge w:val="continue"/>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1980" w:type="dxa"/>
            <w:vAlign w:val="bottom"/>
            <w:gridSpan w:val="2"/>
          </w:tcPr>
          <w:p>
            <w:pPr>
              <w:spacing w:after="0" w:line="143" w:lineRule="exact"/>
              <w:rPr>
                <w:sz w:val="20"/>
                <w:szCs w:val="20"/>
                <w:color w:val="auto"/>
              </w:rPr>
            </w:pPr>
            <w:r>
              <w:rPr>
                <w:rFonts w:ascii="Arial" w:cs="Arial" w:eastAsia="Arial" w:hAnsi="Arial"/>
                <w:sz w:val="14"/>
                <w:szCs w:val="14"/>
                <w:color w:val="auto"/>
              </w:rPr>
              <w:t>Exchange of noncontrolling</w:t>
            </w:r>
          </w:p>
        </w:tc>
        <w:tc>
          <w:tcPr>
            <w:tcW w:w="520" w:type="dxa"/>
            <w:vAlign w:val="bottom"/>
            <w:gridSpan w:val="3"/>
            <w:vMerge w:val="restart"/>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40" w:type="dxa"/>
            <w:vAlign w:val="bottom"/>
            <w:gridSpan w:val="2"/>
            <w:vMerge w:val="restart"/>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2"/>
                <w:szCs w:val="12"/>
                <w:color w:val="auto"/>
              </w:rPr>
            </w:pPr>
          </w:p>
        </w:tc>
        <w:tc>
          <w:tcPr>
            <w:tcW w:w="900" w:type="dxa"/>
            <w:vAlign w:val="bottom"/>
            <w:gridSpan w:val="3"/>
            <w:vMerge w:val="restart"/>
          </w:tcPr>
          <w:p>
            <w:pPr>
              <w:jc w:val="right"/>
              <w:spacing w:after="0"/>
              <w:rPr>
                <w:sz w:val="20"/>
                <w:szCs w:val="20"/>
                <w:color w:val="auto"/>
              </w:rPr>
            </w:pPr>
            <w:r>
              <w:rPr>
                <w:rFonts w:ascii="Arial" w:cs="Arial" w:eastAsia="Arial" w:hAnsi="Arial"/>
                <w:sz w:val="16"/>
                <w:szCs w:val="16"/>
                <w:color w:val="auto"/>
              </w:rPr>
              <w:t>157,733</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gridSpan w:val="2"/>
            <w:vMerge w:val="restart"/>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vMerge w:val="restart"/>
          </w:tcPr>
          <w:p>
            <w:pPr>
              <w:jc w:val="right"/>
              <w:spacing w:after="0"/>
              <w:rPr>
                <w:sz w:val="20"/>
                <w:szCs w:val="20"/>
                <w:color w:val="auto"/>
              </w:rPr>
            </w:pPr>
            <w:r>
              <w:rPr>
                <w:rFonts w:ascii="Arial" w:cs="Arial" w:eastAsia="Arial" w:hAnsi="Arial"/>
                <w:sz w:val="16"/>
                <w:szCs w:val="16"/>
                <w:color w:val="auto"/>
              </w:rPr>
              <w:t>3,158</w:t>
            </w: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20" w:type="dxa"/>
            <w:vAlign w:val="bottom"/>
            <w:gridSpan w:val="2"/>
            <w:vMerge w:val="restart"/>
          </w:tcPr>
          <w:p>
            <w:pPr>
              <w:jc w:val="right"/>
              <w:ind w:right="60"/>
              <w:spacing w:after="0"/>
              <w:rPr>
                <w:sz w:val="20"/>
                <w:szCs w:val="20"/>
                <w:color w:val="auto"/>
              </w:rPr>
            </w:pPr>
            <w:r>
              <w:rPr>
                <w:rFonts w:ascii="Arial" w:cs="Arial" w:eastAsia="Arial" w:hAnsi="Arial"/>
                <w:sz w:val="16"/>
                <w:szCs w:val="16"/>
                <w:color w:val="auto"/>
              </w:rPr>
              <w:t>(3,158)</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1980" w:type="dxa"/>
            <w:vAlign w:val="bottom"/>
            <w:gridSpan w:val="2"/>
          </w:tcPr>
          <w:p>
            <w:pPr>
              <w:spacing w:after="0"/>
              <w:rPr>
                <w:sz w:val="20"/>
                <w:szCs w:val="20"/>
                <w:color w:val="auto"/>
              </w:rPr>
            </w:pPr>
            <w:r>
              <w:rPr>
                <w:rFonts w:ascii="Arial" w:cs="Arial" w:eastAsia="Arial" w:hAnsi="Arial"/>
                <w:sz w:val="14"/>
                <w:szCs w:val="14"/>
                <w:color w:val="auto"/>
              </w:rPr>
              <w:t>interest</w:t>
            </w:r>
          </w:p>
        </w:tc>
        <w:tc>
          <w:tcPr>
            <w:tcW w:w="520" w:type="dxa"/>
            <w:vAlign w:val="bottom"/>
            <w:gridSpan w:val="3"/>
            <w:vMerge w:val="continue"/>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gridSpan w:val="3"/>
            <w:vMerge w:val="continue"/>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8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vMerge w:val="continue"/>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1980" w:type="dxa"/>
            <w:vAlign w:val="bottom"/>
            <w:gridSpan w:val="2"/>
            <w:shd w:val="clear" w:color="auto" w:fill="CFF0FC"/>
          </w:tcPr>
          <w:p>
            <w:pPr>
              <w:spacing w:after="0" w:line="143" w:lineRule="exact"/>
              <w:rPr>
                <w:sz w:val="20"/>
                <w:szCs w:val="20"/>
                <w:color w:val="auto"/>
              </w:rPr>
            </w:pPr>
            <w:r>
              <w:rPr>
                <w:rFonts w:ascii="Arial" w:cs="Arial" w:eastAsia="Arial" w:hAnsi="Arial"/>
                <w:sz w:val="14"/>
                <w:szCs w:val="14"/>
                <w:color w:val="auto"/>
              </w:rPr>
              <w:t>Payments related to tax</w:t>
            </w:r>
          </w:p>
        </w:tc>
        <w:tc>
          <w:tcPr>
            <w:tcW w:w="40" w:type="dxa"/>
            <w:vAlign w:val="bottom"/>
            <w:shd w:val="clear" w:color="auto" w:fill="CFF0FC"/>
          </w:tcPr>
          <w:p>
            <w:pPr>
              <w:spacing w:after="0"/>
              <w:rPr>
                <w:sz w:val="12"/>
                <w:szCs w:val="12"/>
                <w:color w:val="auto"/>
              </w:rPr>
            </w:pPr>
          </w:p>
        </w:tc>
        <w:tc>
          <w:tcPr>
            <w:tcW w:w="440" w:type="dxa"/>
            <w:vAlign w:val="bottom"/>
            <w:shd w:val="clear" w:color="auto" w:fill="CFF0FC"/>
          </w:tcPr>
          <w:p>
            <w:pPr>
              <w:spacing w:after="0"/>
              <w:rPr>
                <w:sz w:val="12"/>
                <w:szCs w:val="12"/>
                <w:color w:val="auto"/>
              </w:rPr>
            </w:pPr>
          </w:p>
        </w:tc>
        <w:tc>
          <w:tcPr>
            <w:tcW w:w="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4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4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42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4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2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6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7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980" w:type="dxa"/>
            <w:vAlign w:val="bottom"/>
            <w:gridSpan w:val="2"/>
            <w:shd w:val="clear" w:color="auto" w:fill="CFF0FC"/>
          </w:tcPr>
          <w:p>
            <w:pPr>
              <w:spacing w:after="0" w:line="149" w:lineRule="exact"/>
              <w:rPr>
                <w:sz w:val="20"/>
                <w:szCs w:val="20"/>
                <w:color w:val="auto"/>
              </w:rPr>
            </w:pPr>
            <w:r>
              <w:rPr>
                <w:rFonts w:ascii="Arial" w:cs="Arial" w:eastAsia="Arial" w:hAnsi="Arial"/>
                <w:sz w:val="14"/>
                <w:szCs w:val="14"/>
                <w:color w:val="auto"/>
              </w:rPr>
              <w:t>withholding for stock-based</w:t>
            </w:r>
          </w:p>
        </w:tc>
        <w:tc>
          <w:tcPr>
            <w:tcW w:w="520" w:type="dxa"/>
            <w:vAlign w:val="bottom"/>
            <w:gridSpan w:val="3"/>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420" w:type="dxa"/>
            <w:vAlign w:val="bottom"/>
            <w:shd w:val="clear" w:color="auto" w:fill="CFF0FC"/>
          </w:tcPr>
          <w:p>
            <w:pPr>
              <w:spacing w:after="0"/>
              <w:rPr>
                <w:sz w:val="12"/>
                <w:szCs w:val="12"/>
                <w:color w:val="auto"/>
              </w:rPr>
            </w:pPr>
          </w:p>
        </w:tc>
        <w:tc>
          <w:tcPr>
            <w:tcW w:w="140" w:type="dxa"/>
            <w:vAlign w:val="bottom"/>
            <w:gridSpan w:val="2"/>
            <w:vMerge w:val="restart"/>
            <w:shd w:val="clear" w:color="auto" w:fill="CFF0FC"/>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2"/>
                <w:szCs w:val="12"/>
                <w:color w:val="auto"/>
              </w:rPr>
            </w:pPr>
          </w:p>
        </w:tc>
        <w:tc>
          <w:tcPr>
            <w:tcW w:w="900" w:type="dxa"/>
            <w:vAlign w:val="bottom"/>
            <w:gridSpan w:val="3"/>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280" w:type="dxa"/>
            <w:vAlign w:val="bottom"/>
            <w:gridSpan w:val="2"/>
            <w:vMerge w:val="restart"/>
            <w:shd w:val="clear" w:color="auto" w:fill="CFF0FC"/>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840" w:type="dxa"/>
            <w:vAlign w:val="bottom"/>
            <w:gridSpan w:val="2"/>
            <w:vMerge w:val="restart"/>
            <w:shd w:val="clear" w:color="auto" w:fill="CFF0FC"/>
          </w:tcPr>
          <w:p>
            <w:pPr>
              <w:jc w:val="right"/>
              <w:ind w:right="120"/>
              <w:spacing w:after="0"/>
              <w:rPr>
                <w:sz w:val="20"/>
                <w:szCs w:val="20"/>
                <w:color w:val="auto"/>
              </w:rPr>
            </w:pPr>
            <w:r>
              <w:rPr>
                <w:rFonts w:ascii="Arial" w:cs="Arial" w:eastAsia="Arial" w:hAnsi="Arial"/>
                <w:sz w:val="16"/>
                <w:szCs w:val="16"/>
                <w:color w:val="auto"/>
              </w:rPr>
              <w:t>(1,525)</w:t>
            </w:r>
          </w:p>
        </w:tc>
        <w:tc>
          <w:tcPr>
            <w:tcW w:w="200" w:type="dxa"/>
            <w:vAlign w:val="bottom"/>
            <w:shd w:val="clear" w:color="auto" w:fill="CFF0FC"/>
          </w:tcPr>
          <w:p>
            <w:pPr>
              <w:spacing w:after="0"/>
              <w:rPr>
                <w:sz w:val="12"/>
                <w:szCs w:val="12"/>
                <w:color w:val="auto"/>
              </w:rPr>
            </w:pPr>
          </w:p>
        </w:tc>
        <w:tc>
          <w:tcPr>
            <w:tcW w:w="72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74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0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6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820" w:type="dxa"/>
            <w:vAlign w:val="bottom"/>
            <w:gridSpan w:val="2"/>
            <w:vMerge w:val="restart"/>
            <w:shd w:val="clear" w:color="auto" w:fill="CFF0FC"/>
          </w:tcPr>
          <w:p>
            <w:pPr>
              <w:jc w:val="right"/>
              <w:ind w:right="40"/>
              <w:spacing w:after="0"/>
              <w:rPr>
                <w:sz w:val="20"/>
                <w:szCs w:val="20"/>
                <w:color w:val="auto"/>
              </w:rPr>
            </w:pPr>
            <w:r>
              <w:rPr>
                <w:rFonts w:ascii="Arial" w:cs="Arial" w:eastAsia="Arial" w:hAnsi="Arial"/>
                <w:sz w:val="16"/>
                <w:szCs w:val="16"/>
                <w:color w:val="auto"/>
              </w:rPr>
              <w:t>(1,525)</w:t>
            </w:r>
          </w:p>
        </w:tc>
        <w:tc>
          <w:tcPr>
            <w:tcW w:w="0" w:type="dxa"/>
            <w:vAlign w:val="bottom"/>
          </w:tcPr>
          <w:p>
            <w:pPr>
              <w:spacing w:after="0"/>
              <w:rPr>
                <w:sz w:val="1"/>
                <w:szCs w:val="1"/>
                <w:color w:val="auto"/>
              </w:rPr>
            </w:pPr>
          </w:p>
        </w:tc>
      </w:tr>
      <w:tr>
        <w:trPr>
          <w:trHeight w:val="167"/>
        </w:trPr>
        <w:tc>
          <w:tcPr>
            <w:tcW w:w="198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compensation</w:t>
            </w:r>
          </w:p>
        </w:tc>
        <w:tc>
          <w:tcPr>
            <w:tcW w:w="520" w:type="dxa"/>
            <w:vAlign w:val="bottom"/>
            <w:gridSpan w:val="3"/>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420" w:type="dxa"/>
            <w:vAlign w:val="bottom"/>
            <w:shd w:val="clear" w:color="auto" w:fill="CFF0FC"/>
          </w:tcPr>
          <w:p>
            <w:pPr>
              <w:spacing w:after="0"/>
              <w:rPr>
                <w:sz w:val="14"/>
                <w:szCs w:val="14"/>
                <w:color w:val="auto"/>
              </w:rPr>
            </w:pPr>
          </w:p>
        </w:tc>
        <w:tc>
          <w:tcPr>
            <w:tcW w:w="140" w:type="dxa"/>
            <w:vAlign w:val="bottom"/>
            <w:gridSpan w:val="2"/>
            <w:vMerge w:val="continue"/>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900" w:type="dxa"/>
            <w:vAlign w:val="bottom"/>
            <w:gridSpan w:val="3"/>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280" w:type="dxa"/>
            <w:vAlign w:val="bottom"/>
            <w:gridSpan w:val="2"/>
            <w:vMerge w:val="continue"/>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40" w:type="dxa"/>
            <w:vAlign w:val="bottom"/>
            <w:gridSpan w:val="2"/>
            <w:vMerge w:val="continue"/>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720" w:type="dxa"/>
            <w:vAlign w:val="bottom"/>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40" w:type="dxa"/>
            <w:vAlign w:val="bottom"/>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700" w:type="dxa"/>
            <w:vAlign w:val="bottom"/>
            <w:vMerge w:val="continue"/>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760" w:type="dxa"/>
            <w:vAlign w:val="bottom"/>
            <w:vMerge w:val="continue"/>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820" w:type="dxa"/>
            <w:vAlign w:val="bottom"/>
            <w:gridSpan w:val="2"/>
            <w:vMerge w:val="continue"/>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230"/>
        </w:trPr>
        <w:tc>
          <w:tcPr>
            <w:tcW w:w="1980" w:type="dxa"/>
            <w:vAlign w:val="bottom"/>
            <w:gridSpan w:val="2"/>
          </w:tcPr>
          <w:p>
            <w:pPr>
              <w:spacing w:after="0"/>
              <w:rPr>
                <w:sz w:val="20"/>
                <w:szCs w:val="20"/>
                <w:color w:val="auto"/>
              </w:rPr>
            </w:pPr>
            <w:r>
              <w:rPr>
                <w:rFonts w:ascii="Arial" w:cs="Arial" w:eastAsia="Arial" w:hAnsi="Arial"/>
                <w:sz w:val="14"/>
                <w:szCs w:val="14"/>
                <w:color w:val="auto"/>
              </w:rPr>
              <w:t>Stock-based compensation</w:t>
            </w:r>
          </w:p>
        </w:tc>
        <w:tc>
          <w:tcPr>
            <w:tcW w:w="5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900" w:type="dxa"/>
            <w:vAlign w:val="bottom"/>
            <w:gridSpan w:val="3"/>
          </w:tcPr>
          <w:p>
            <w:pPr>
              <w:jc w:val="right"/>
              <w:spacing w:after="0"/>
              <w:rPr>
                <w:sz w:val="20"/>
                <w:szCs w:val="20"/>
                <w:color w:val="auto"/>
              </w:rPr>
            </w:pPr>
            <w:r>
              <w:rPr>
                <w:rFonts w:ascii="Arial" w:cs="Arial" w:eastAsia="Arial" w:hAnsi="Arial"/>
                <w:sz w:val="16"/>
                <w:szCs w:val="16"/>
                <w:color w:val="auto"/>
              </w:rPr>
              <w:t>331,686</w:t>
            </w: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3,312</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3,312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43"/>
        </w:trPr>
        <w:tc>
          <w:tcPr>
            <w:tcW w:w="1980" w:type="dxa"/>
            <w:vAlign w:val="bottom"/>
            <w:gridSpan w:val="2"/>
            <w:shd w:val="clear" w:color="auto" w:fill="CFF0FC"/>
          </w:tcPr>
          <w:p>
            <w:pPr>
              <w:spacing w:after="0" w:line="143" w:lineRule="exact"/>
              <w:rPr>
                <w:sz w:val="20"/>
                <w:szCs w:val="20"/>
                <w:color w:val="auto"/>
              </w:rPr>
            </w:pPr>
            <w:r>
              <w:rPr>
                <w:rFonts w:ascii="Arial" w:cs="Arial" w:eastAsia="Arial" w:hAnsi="Arial"/>
                <w:sz w:val="14"/>
                <w:szCs w:val="14"/>
                <w:color w:val="auto"/>
              </w:rPr>
              <w:t>Issuance of common stock -</w:t>
            </w:r>
          </w:p>
        </w:tc>
        <w:tc>
          <w:tcPr>
            <w:tcW w:w="520" w:type="dxa"/>
            <w:vAlign w:val="bottom"/>
            <w:gridSpan w:val="3"/>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420" w:type="dxa"/>
            <w:vAlign w:val="bottom"/>
            <w:shd w:val="clear" w:color="auto" w:fill="CFF0FC"/>
          </w:tcPr>
          <w:p>
            <w:pPr>
              <w:spacing w:after="0"/>
              <w:rPr>
                <w:sz w:val="12"/>
                <w:szCs w:val="12"/>
                <w:color w:val="auto"/>
              </w:rPr>
            </w:pPr>
          </w:p>
        </w:tc>
        <w:tc>
          <w:tcPr>
            <w:tcW w:w="140" w:type="dxa"/>
            <w:vAlign w:val="bottom"/>
            <w:gridSpan w:val="2"/>
            <w:vMerge w:val="restart"/>
            <w:shd w:val="clear" w:color="auto" w:fill="CFF0FC"/>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2"/>
                <w:szCs w:val="12"/>
                <w:color w:val="auto"/>
              </w:rPr>
            </w:pPr>
          </w:p>
        </w:tc>
        <w:tc>
          <w:tcPr>
            <w:tcW w:w="900" w:type="dxa"/>
            <w:vAlign w:val="bottom"/>
            <w:gridSpan w:val="3"/>
            <w:vMerge w:val="restart"/>
            <w:shd w:val="clear" w:color="auto" w:fill="CFF0FC"/>
          </w:tcPr>
          <w:p>
            <w:pPr>
              <w:jc w:val="right"/>
              <w:spacing w:after="0"/>
              <w:rPr>
                <w:sz w:val="20"/>
                <w:szCs w:val="20"/>
                <w:color w:val="auto"/>
              </w:rPr>
            </w:pPr>
            <w:r>
              <w:rPr>
                <w:rFonts w:ascii="Arial" w:cs="Arial" w:eastAsia="Arial" w:hAnsi="Arial"/>
                <w:sz w:val="16"/>
                <w:szCs w:val="16"/>
                <w:color w:val="auto"/>
              </w:rPr>
              <w:t>29,324</w:t>
            </w:r>
          </w:p>
        </w:tc>
        <w:tc>
          <w:tcPr>
            <w:tcW w:w="16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280" w:type="dxa"/>
            <w:vAlign w:val="bottom"/>
            <w:shd w:val="clear" w:color="auto" w:fill="CFF0FC"/>
          </w:tcPr>
          <w:p>
            <w:pPr>
              <w:spacing w:after="0"/>
              <w:rPr>
                <w:sz w:val="12"/>
                <w:szCs w:val="12"/>
                <w:color w:val="auto"/>
              </w:rPr>
            </w:pPr>
          </w:p>
        </w:tc>
        <w:tc>
          <w:tcPr>
            <w:tcW w:w="280" w:type="dxa"/>
            <w:vAlign w:val="bottom"/>
            <w:gridSpan w:val="2"/>
            <w:vMerge w:val="restart"/>
            <w:shd w:val="clear" w:color="auto" w:fill="CFF0FC"/>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8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264</w:t>
            </w:r>
          </w:p>
        </w:tc>
        <w:tc>
          <w:tcPr>
            <w:tcW w:w="1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2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74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0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6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720" w:type="dxa"/>
            <w:vAlign w:val="bottom"/>
            <w:vMerge w:val="restart"/>
            <w:shd w:val="clear" w:color="auto" w:fill="CFF0FC"/>
          </w:tcPr>
          <w:p>
            <w:pPr>
              <w:jc w:val="right"/>
              <w:spacing w:after="0"/>
              <w:rPr>
                <w:sz w:val="20"/>
                <w:szCs w:val="20"/>
                <w:color w:val="auto"/>
              </w:rPr>
            </w:pPr>
            <w:r>
              <w:rPr>
                <w:rFonts w:ascii="Arial" w:cs="Arial" w:eastAsia="Arial" w:hAnsi="Arial"/>
                <w:sz w:val="16"/>
                <w:szCs w:val="16"/>
                <w:color w:val="auto"/>
              </w:rPr>
              <w:t>264</w:t>
            </w:r>
          </w:p>
        </w:tc>
        <w:tc>
          <w:tcPr>
            <w:tcW w:w="10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1980" w:type="dxa"/>
            <w:vAlign w:val="bottom"/>
            <w:gridSpan w:val="2"/>
            <w:shd w:val="clear" w:color="auto" w:fill="CFF0FC"/>
          </w:tcPr>
          <w:p>
            <w:pPr>
              <w:spacing w:after="0"/>
              <w:rPr>
                <w:sz w:val="20"/>
                <w:szCs w:val="20"/>
                <w:color w:val="auto"/>
              </w:rPr>
            </w:pPr>
            <w:r>
              <w:rPr>
                <w:rFonts w:ascii="Arial" w:cs="Arial" w:eastAsia="Arial" w:hAnsi="Arial"/>
                <w:sz w:val="14"/>
                <w:szCs w:val="14"/>
                <w:color w:val="auto"/>
              </w:rPr>
              <w:t>employee stock purchase plan</w:t>
            </w:r>
          </w:p>
        </w:tc>
        <w:tc>
          <w:tcPr>
            <w:tcW w:w="520" w:type="dxa"/>
            <w:vAlign w:val="bottom"/>
            <w:tcBorders>
              <w:bottom w:val="single" w:sz="8" w:color="auto"/>
            </w:tcBorders>
            <w:gridSpan w:val="3"/>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0" w:type="dxa"/>
            <w:vAlign w:val="bottom"/>
            <w:tcBorders>
              <w:bottom w:val="single" w:sz="8" w:color="auto"/>
            </w:tcBorders>
            <w:shd w:val="clear" w:color="auto" w:fill="CFF0FC"/>
          </w:tcPr>
          <w:p>
            <w:pPr>
              <w:spacing w:after="0"/>
              <w:rPr>
                <w:sz w:val="14"/>
                <w:szCs w:val="14"/>
                <w:color w:val="auto"/>
              </w:rPr>
            </w:pPr>
          </w:p>
        </w:tc>
        <w:tc>
          <w:tcPr>
            <w:tcW w:w="420" w:type="dxa"/>
            <w:vAlign w:val="bottom"/>
            <w:tcBorders>
              <w:bottom w:val="single" w:sz="8" w:color="auto"/>
            </w:tcBorders>
            <w:shd w:val="clear" w:color="auto" w:fill="CFF0FC"/>
          </w:tcPr>
          <w:p>
            <w:pPr>
              <w:spacing w:after="0"/>
              <w:rPr>
                <w:sz w:val="14"/>
                <w:szCs w:val="14"/>
                <w:color w:val="auto"/>
              </w:rPr>
            </w:pPr>
          </w:p>
        </w:tc>
        <w:tc>
          <w:tcPr>
            <w:tcW w:w="140" w:type="dxa"/>
            <w:vAlign w:val="bottom"/>
            <w:tcBorders>
              <w:bottom w:val="single" w:sz="8" w:color="auto"/>
            </w:tcBorders>
            <w:gridSpan w:val="2"/>
            <w:vMerge w:val="continue"/>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900" w:type="dxa"/>
            <w:vAlign w:val="bottom"/>
            <w:tcBorders>
              <w:bottom w:val="single" w:sz="8" w:color="auto"/>
            </w:tcBorders>
            <w:gridSpan w:val="3"/>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0" w:type="dxa"/>
            <w:vAlign w:val="bottom"/>
            <w:tcBorders>
              <w:bottom w:val="single" w:sz="8" w:color="auto"/>
            </w:tcBorders>
            <w:shd w:val="clear" w:color="auto" w:fill="CFF0FC"/>
          </w:tcPr>
          <w:p>
            <w:pPr>
              <w:spacing w:after="0"/>
              <w:rPr>
                <w:sz w:val="14"/>
                <w:szCs w:val="14"/>
                <w:color w:val="auto"/>
              </w:rPr>
            </w:pPr>
          </w:p>
        </w:tc>
        <w:tc>
          <w:tcPr>
            <w:tcW w:w="280" w:type="dxa"/>
            <w:vAlign w:val="bottom"/>
            <w:tcBorders>
              <w:bottom w:val="single" w:sz="8" w:color="auto"/>
            </w:tcBorders>
            <w:shd w:val="clear" w:color="auto" w:fill="CFF0FC"/>
          </w:tcPr>
          <w:p>
            <w:pPr>
              <w:spacing w:after="0"/>
              <w:rPr>
                <w:sz w:val="14"/>
                <w:szCs w:val="14"/>
                <w:color w:val="auto"/>
              </w:rPr>
            </w:pPr>
          </w:p>
        </w:tc>
        <w:tc>
          <w:tcPr>
            <w:tcW w:w="280" w:type="dxa"/>
            <w:vAlign w:val="bottom"/>
            <w:tcBorders>
              <w:bottom w:val="single" w:sz="8" w:color="auto"/>
            </w:tcBorders>
            <w:gridSpan w:val="2"/>
            <w:vMerge w:val="continue"/>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100" w:type="dxa"/>
            <w:vAlign w:val="bottom"/>
            <w:tcBorders>
              <w:bottom w:val="single" w:sz="8" w:color="auto"/>
            </w:tcBorders>
            <w:shd w:val="clear" w:color="auto" w:fill="CFF0FC"/>
          </w:tcPr>
          <w:p>
            <w:pPr>
              <w:spacing w:after="0"/>
              <w:rPr>
                <w:sz w:val="14"/>
                <w:szCs w:val="14"/>
                <w:color w:val="auto"/>
              </w:rPr>
            </w:pPr>
          </w:p>
        </w:tc>
        <w:tc>
          <w:tcPr>
            <w:tcW w:w="680" w:type="dxa"/>
            <w:vAlign w:val="bottom"/>
            <w:tcBorders>
              <w:bottom w:val="single" w:sz="8" w:color="auto"/>
            </w:tcBorders>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00" w:type="dxa"/>
            <w:vAlign w:val="bottom"/>
            <w:tcBorders>
              <w:bottom w:val="single" w:sz="8" w:color="auto"/>
            </w:tcBorders>
            <w:shd w:val="clear" w:color="auto" w:fill="CFF0FC"/>
          </w:tcPr>
          <w:p>
            <w:pPr>
              <w:spacing w:after="0"/>
              <w:rPr>
                <w:sz w:val="14"/>
                <w:szCs w:val="14"/>
                <w:color w:val="auto"/>
              </w:rPr>
            </w:pPr>
          </w:p>
        </w:tc>
        <w:tc>
          <w:tcPr>
            <w:tcW w:w="720" w:type="dxa"/>
            <w:vAlign w:val="bottom"/>
            <w:tcBorders>
              <w:bottom w:val="single" w:sz="8" w:color="auto"/>
            </w:tcBorders>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00" w:type="dxa"/>
            <w:vAlign w:val="bottom"/>
            <w:tcBorders>
              <w:bottom w:val="single" w:sz="8" w:color="auto"/>
            </w:tcBorders>
            <w:shd w:val="clear" w:color="auto" w:fill="CFF0FC"/>
          </w:tcPr>
          <w:p>
            <w:pPr>
              <w:spacing w:after="0"/>
              <w:rPr>
                <w:sz w:val="14"/>
                <w:szCs w:val="14"/>
                <w:color w:val="auto"/>
              </w:rPr>
            </w:pPr>
          </w:p>
        </w:tc>
        <w:tc>
          <w:tcPr>
            <w:tcW w:w="740" w:type="dxa"/>
            <w:vAlign w:val="bottom"/>
            <w:tcBorders>
              <w:bottom w:val="single" w:sz="8" w:color="auto"/>
            </w:tcBorders>
            <w:vMerge w:val="continue"/>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00" w:type="dxa"/>
            <w:vAlign w:val="bottom"/>
            <w:tcBorders>
              <w:bottom w:val="single" w:sz="8" w:color="auto"/>
            </w:tcBorders>
            <w:shd w:val="clear" w:color="auto" w:fill="CFF0FC"/>
          </w:tcPr>
          <w:p>
            <w:pPr>
              <w:spacing w:after="0"/>
              <w:rPr>
                <w:sz w:val="14"/>
                <w:szCs w:val="14"/>
                <w:color w:val="auto"/>
              </w:rPr>
            </w:pPr>
          </w:p>
        </w:tc>
        <w:tc>
          <w:tcPr>
            <w:tcW w:w="700" w:type="dxa"/>
            <w:vAlign w:val="bottom"/>
            <w:tcBorders>
              <w:bottom w:val="single" w:sz="8" w:color="auto"/>
            </w:tcBorders>
            <w:vMerge w:val="continue"/>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tcBorders>
              <w:bottom w:val="single" w:sz="8" w:color="auto"/>
            </w:tcBorders>
            <w:shd w:val="clear" w:color="auto" w:fill="CFF0FC"/>
          </w:tcPr>
          <w:p>
            <w:pPr>
              <w:spacing w:after="0"/>
              <w:rPr>
                <w:sz w:val="14"/>
                <w:szCs w:val="14"/>
                <w:color w:val="auto"/>
              </w:rPr>
            </w:pPr>
          </w:p>
        </w:tc>
        <w:tc>
          <w:tcPr>
            <w:tcW w:w="760" w:type="dxa"/>
            <w:vAlign w:val="bottom"/>
            <w:tcBorders>
              <w:bottom w:val="single" w:sz="8" w:color="auto"/>
            </w:tcBorders>
            <w:vMerge w:val="continue"/>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00" w:type="dxa"/>
            <w:vAlign w:val="bottom"/>
            <w:tcBorders>
              <w:bottom w:val="single" w:sz="8" w:color="auto"/>
            </w:tcBorders>
            <w:shd w:val="clear" w:color="auto" w:fill="CFF0FC"/>
          </w:tcPr>
          <w:p>
            <w:pPr>
              <w:spacing w:after="0"/>
              <w:rPr>
                <w:sz w:val="14"/>
                <w:szCs w:val="14"/>
                <w:color w:val="auto"/>
              </w:rPr>
            </w:pPr>
          </w:p>
        </w:tc>
        <w:tc>
          <w:tcPr>
            <w:tcW w:w="720" w:type="dxa"/>
            <w:vAlign w:val="bottom"/>
            <w:tcBorders>
              <w:bottom w:val="single" w:sz="8" w:color="auto"/>
            </w:tcBorders>
            <w:vMerge w:val="continue"/>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1980" w:type="dxa"/>
            <w:vAlign w:val="bottom"/>
            <w:gridSpan w:val="2"/>
          </w:tcPr>
          <w:p>
            <w:pPr>
              <w:spacing w:after="0"/>
              <w:rPr>
                <w:sz w:val="20"/>
                <w:szCs w:val="20"/>
                <w:color w:val="auto"/>
              </w:rPr>
            </w:pPr>
            <w:r>
              <w:rPr>
                <w:rFonts w:ascii="Arial" w:cs="Arial" w:eastAsia="Arial" w:hAnsi="Arial"/>
                <w:sz w:val="14"/>
                <w:szCs w:val="14"/>
                <w:color w:val="auto"/>
              </w:rPr>
              <w:t>Balance at March 31, 2022</w:t>
            </w:r>
          </w:p>
        </w:tc>
        <w:tc>
          <w:tcPr>
            <w:tcW w:w="520" w:type="dxa"/>
            <w:vAlign w:val="bottom"/>
            <w:gridSpan w:val="3"/>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440" w:type="dxa"/>
            <w:vAlign w:val="bottom"/>
            <w:gridSpan w:val="2"/>
          </w:tcPr>
          <w:p>
            <w:pPr>
              <w:jc w:val="right"/>
              <w:ind w:right="279"/>
              <w:spacing w:after="0"/>
              <w:rPr>
                <w:sz w:val="20"/>
                <w:szCs w:val="20"/>
                <w:color w:val="auto"/>
              </w:rPr>
            </w:pPr>
            <w:r>
              <w:rPr>
                <w:rFonts w:ascii="Arial" w:cs="Arial" w:eastAsia="Arial" w:hAnsi="Arial"/>
                <w:sz w:val="15"/>
                <w:szCs w:val="15"/>
                <w:color w:val="auto"/>
                <w:w w:val="71"/>
              </w:rPr>
              <w:t>$</w:t>
            </w:r>
          </w:p>
        </w:tc>
        <w:tc>
          <w:tcPr>
            <w:tcW w:w="14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900" w:type="dxa"/>
            <w:vAlign w:val="bottom"/>
            <w:gridSpan w:val="3"/>
          </w:tcPr>
          <w:p>
            <w:pPr>
              <w:jc w:val="right"/>
              <w:spacing w:after="0"/>
              <w:rPr>
                <w:sz w:val="20"/>
                <w:szCs w:val="20"/>
                <w:color w:val="auto"/>
              </w:rPr>
            </w:pPr>
            <w:r>
              <w:rPr>
                <w:rFonts w:ascii="Arial" w:cs="Arial" w:eastAsia="Arial" w:hAnsi="Arial"/>
                <w:sz w:val="16"/>
                <w:szCs w:val="16"/>
                <w:color w:val="auto"/>
                <w:w w:val="98"/>
              </w:rPr>
              <w:t>235,297,990</w:t>
            </w:r>
          </w:p>
        </w:tc>
        <w:tc>
          <w:tcPr>
            <w:tcW w:w="160" w:type="dxa"/>
            <w:vAlign w:val="bottom"/>
          </w:tcPr>
          <w:p>
            <w:pPr>
              <w:spacing w:after="0"/>
              <w:rPr>
                <w:sz w:val="19"/>
                <w:szCs w:val="19"/>
                <w:color w:val="auto"/>
              </w:rPr>
            </w:pPr>
          </w:p>
        </w:tc>
        <w:tc>
          <w:tcPr>
            <w:tcW w:w="300" w:type="dxa"/>
            <w:vAlign w:val="bottom"/>
            <w:gridSpan w:val="2"/>
          </w:tcPr>
          <w:p>
            <w:pPr>
              <w:jc w:val="right"/>
              <w:ind w:right="139"/>
              <w:spacing w:after="0"/>
              <w:rPr>
                <w:sz w:val="20"/>
                <w:szCs w:val="20"/>
                <w:color w:val="auto"/>
              </w:rPr>
            </w:pPr>
            <w:r>
              <w:rPr>
                <w:rFonts w:ascii="Arial" w:cs="Arial" w:eastAsia="Arial" w:hAnsi="Arial"/>
                <w:sz w:val="15"/>
                <w:szCs w:val="15"/>
                <w:color w:val="auto"/>
                <w:w w:val="71"/>
              </w:rPr>
              <w:t>$</w:t>
            </w:r>
          </w:p>
        </w:tc>
        <w:tc>
          <w:tcPr>
            <w:tcW w:w="280" w:type="dxa"/>
            <w:vAlign w:val="bottom"/>
            <w:gridSpan w:val="2"/>
          </w:tcPr>
          <w:p>
            <w:pPr>
              <w:jc w:val="right"/>
              <w:ind w:right="20"/>
              <w:spacing w:after="0"/>
              <w:rPr>
                <w:sz w:val="20"/>
                <w:szCs w:val="20"/>
                <w:color w:val="auto"/>
              </w:rPr>
            </w:pPr>
            <w:r>
              <w:rPr>
                <w:rFonts w:ascii="Arial" w:cs="Arial" w:eastAsia="Arial" w:hAnsi="Arial"/>
                <w:sz w:val="16"/>
                <w:szCs w:val="16"/>
                <w:color w:val="auto"/>
              </w:rPr>
              <w:t>23</w:t>
            </w:r>
          </w:p>
        </w:tc>
        <w:tc>
          <w:tcPr>
            <w:tcW w:w="14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Pr>
          <w:p>
            <w:pPr>
              <w:jc w:val="right"/>
              <w:spacing w:after="0"/>
              <w:rPr>
                <w:sz w:val="20"/>
                <w:szCs w:val="20"/>
                <w:color w:val="auto"/>
              </w:rPr>
            </w:pPr>
            <w:r>
              <w:rPr>
                <w:rFonts w:ascii="Arial" w:cs="Arial" w:eastAsia="Arial" w:hAnsi="Arial"/>
                <w:sz w:val="16"/>
                <w:szCs w:val="16"/>
                <w:color w:val="auto"/>
                <w:w w:val="89"/>
              </w:rPr>
              <w:t>1,220,039</w:t>
            </w:r>
          </w:p>
        </w:tc>
        <w:tc>
          <w:tcPr>
            <w:tcW w:w="160" w:type="dxa"/>
            <w:vAlign w:val="bottom"/>
          </w:tcPr>
          <w:p>
            <w:pPr>
              <w:spacing w:after="0"/>
              <w:rPr>
                <w:sz w:val="19"/>
                <w:szCs w:val="19"/>
                <w:color w:val="auto"/>
              </w:rPr>
            </w:pPr>
          </w:p>
        </w:tc>
        <w:tc>
          <w:tcPr>
            <w:tcW w:w="200" w:type="dxa"/>
            <w:vAlign w:val="bottom"/>
          </w:tcPr>
          <w:p>
            <w:pPr>
              <w:ind w:left="20"/>
              <w:spacing w:after="0"/>
              <w:rPr>
                <w:sz w:val="20"/>
                <w:szCs w:val="20"/>
                <w:color w:val="auto"/>
              </w:rPr>
            </w:pPr>
            <w:r>
              <w:rPr>
                <w:rFonts w:ascii="Arial" w:cs="Arial" w:eastAsia="Arial" w:hAnsi="Arial"/>
                <w:sz w:val="16"/>
                <w:szCs w:val="16"/>
                <w:color w:val="auto"/>
              </w:rPr>
              <w:t>$</w:t>
            </w:r>
          </w:p>
        </w:tc>
        <w:tc>
          <w:tcPr>
            <w:tcW w:w="880" w:type="dxa"/>
            <w:vAlign w:val="bottom"/>
            <w:gridSpan w:val="2"/>
          </w:tcPr>
          <w:p>
            <w:pPr>
              <w:jc w:val="right"/>
              <w:ind w:right="120"/>
              <w:spacing w:after="0"/>
              <w:rPr>
                <w:sz w:val="20"/>
                <w:szCs w:val="20"/>
                <w:color w:val="auto"/>
              </w:rPr>
            </w:pPr>
            <w:r>
              <w:rPr>
                <w:rFonts w:ascii="Arial" w:cs="Arial" w:eastAsia="Arial" w:hAnsi="Arial"/>
                <w:sz w:val="16"/>
                <w:szCs w:val="16"/>
                <w:color w:val="auto"/>
              </w:rPr>
              <w:t>(6,341)</w:t>
            </w: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gridSpan w:val="2"/>
          </w:tcPr>
          <w:p>
            <w:pPr>
              <w:jc w:val="right"/>
              <w:ind w:right="120"/>
              <w:spacing w:after="0"/>
              <w:rPr>
                <w:sz w:val="20"/>
                <w:szCs w:val="20"/>
                <w:color w:val="auto"/>
              </w:rPr>
            </w:pPr>
            <w:r>
              <w:rPr>
                <w:rFonts w:ascii="Arial" w:cs="Arial" w:eastAsia="Arial" w:hAnsi="Arial"/>
                <w:sz w:val="16"/>
                <w:szCs w:val="16"/>
                <w:color w:val="auto"/>
                <w:w w:val="92"/>
              </w:rPr>
              <w:t>(3,316,781)</w:t>
            </w:r>
          </w:p>
        </w:tc>
        <w:tc>
          <w:tcPr>
            <w:tcW w:w="200" w:type="dxa"/>
            <w:vAlign w:val="bottom"/>
          </w:tcPr>
          <w:p>
            <w:pPr>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10,788</w:t>
            </w:r>
          </w:p>
        </w:tc>
        <w:tc>
          <w:tcPr>
            <w:tcW w:w="120" w:type="dxa"/>
            <w:vAlign w:val="bottom"/>
          </w:tcPr>
          <w:p>
            <w:pPr>
              <w:spacing w:after="0"/>
              <w:rPr>
                <w:sz w:val="19"/>
                <w:szCs w:val="19"/>
                <w:color w:val="auto"/>
              </w:rPr>
            </w:pPr>
          </w:p>
        </w:tc>
        <w:tc>
          <w:tcPr>
            <w:tcW w:w="180" w:type="dxa"/>
            <w:vAlign w:val="bottom"/>
            <w:gridSpan w:val="2"/>
          </w:tcPr>
          <w:p>
            <w:pPr>
              <w:ind w:left="60"/>
              <w:spacing w:after="0"/>
              <w:rPr>
                <w:sz w:val="20"/>
                <w:szCs w:val="20"/>
                <w:color w:val="auto"/>
              </w:rPr>
            </w:pPr>
            <w:r>
              <w:rPr>
                <w:rFonts w:ascii="Arial" w:cs="Arial" w:eastAsia="Arial" w:hAnsi="Arial"/>
                <w:sz w:val="16"/>
                <w:szCs w:val="16"/>
                <w:color w:val="auto"/>
              </w:rPr>
              <w:t>$</w:t>
            </w:r>
          </w:p>
        </w:tc>
        <w:tc>
          <w:tcPr>
            <w:tcW w:w="760" w:type="dxa"/>
            <w:vAlign w:val="bottom"/>
          </w:tcPr>
          <w:p>
            <w:pPr>
              <w:jc w:val="right"/>
              <w:spacing w:after="0"/>
              <w:rPr>
                <w:sz w:val="20"/>
                <w:szCs w:val="20"/>
                <w:color w:val="auto"/>
              </w:rPr>
            </w:pPr>
            <w:r>
              <w:rPr>
                <w:rFonts w:ascii="Arial" w:cs="Arial" w:eastAsia="Arial" w:hAnsi="Arial"/>
                <w:sz w:val="16"/>
                <w:szCs w:val="16"/>
                <w:color w:val="auto"/>
              </w:rPr>
              <w:t>250</w:t>
            </w:r>
          </w:p>
        </w:tc>
        <w:tc>
          <w:tcPr>
            <w:tcW w:w="180" w:type="dxa"/>
            <w:vAlign w:val="bottom"/>
          </w:tcPr>
          <w:p>
            <w:pPr>
              <w:spacing w:after="0"/>
              <w:rPr>
                <w:sz w:val="19"/>
                <w:szCs w:val="19"/>
                <w:color w:val="auto"/>
              </w:rPr>
            </w:pPr>
          </w:p>
        </w:tc>
        <w:tc>
          <w:tcPr>
            <w:tcW w:w="100" w:type="dxa"/>
            <w:vAlign w:val="bottom"/>
          </w:tcPr>
          <w:p>
            <w:pPr>
              <w:spacing w:after="0"/>
              <w:rPr>
                <w:sz w:val="20"/>
                <w:szCs w:val="20"/>
                <w:color w:val="auto"/>
              </w:rPr>
            </w:pPr>
            <w:r>
              <w:rPr>
                <w:rFonts w:ascii="Arial" w:cs="Arial" w:eastAsia="Arial" w:hAnsi="Arial"/>
                <w:sz w:val="16"/>
                <w:szCs w:val="16"/>
                <w:color w:val="auto"/>
                <w:w w:val="89"/>
              </w:rPr>
              <w:t>$</w:t>
            </w:r>
          </w:p>
        </w:tc>
        <w:tc>
          <w:tcPr>
            <w:tcW w:w="820" w:type="dxa"/>
            <w:vAlign w:val="bottom"/>
            <w:gridSpan w:val="2"/>
          </w:tcPr>
          <w:p>
            <w:pPr>
              <w:jc w:val="right"/>
              <w:ind w:right="40"/>
              <w:spacing w:after="0"/>
              <w:rPr>
                <w:sz w:val="20"/>
                <w:szCs w:val="20"/>
                <w:color w:val="auto"/>
              </w:rPr>
            </w:pPr>
            <w:r>
              <w:rPr>
                <w:rFonts w:ascii="Arial" w:cs="Arial" w:eastAsia="Arial" w:hAnsi="Arial"/>
                <w:sz w:val="16"/>
                <w:szCs w:val="16"/>
                <w:color w:val="auto"/>
                <w:w w:val="92"/>
              </w:rPr>
              <w:t>(2,092,022)</w:t>
            </w:r>
          </w:p>
        </w:tc>
        <w:tc>
          <w:tcPr>
            <w:tcW w:w="0" w:type="dxa"/>
            <w:vAlign w:val="bottom"/>
          </w:tcPr>
          <w:p>
            <w:pPr>
              <w:spacing w:after="0"/>
              <w:rPr>
                <w:sz w:val="1"/>
                <w:szCs w:val="1"/>
                <w:color w:val="auto"/>
              </w:rPr>
            </w:pPr>
          </w:p>
        </w:tc>
      </w:tr>
      <w:tr>
        <w:trPr>
          <w:trHeight w:val="20"/>
        </w:trPr>
        <w:tc>
          <w:tcPr>
            <w:tcW w:w="19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153"/>
        </w:trPr>
        <w:tc>
          <w:tcPr>
            <w:tcW w:w="60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520" w:type="dxa"/>
            <w:vAlign w:val="bottom"/>
            <w:tcBorders>
              <w:bottom w:val="single" w:sz="8" w:color="auto"/>
            </w:tcBorders>
          </w:tcPr>
          <w:p>
            <w:pPr>
              <w:spacing w:after="0"/>
              <w:rPr>
                <w:sz w:val="13"/>
                <w:szCs w:val="13"/>
                <w:color w:val="auto"/>
              </w:rPr>
            </w:pPr>
          </w:p>
        </w:tc>
        <w:tc>
          <w:tcPr>
            <w:tcW w:w="2900" w:type="dxa"/>
            <w:vAlign w:val="bottom"/>
            <w:tcBorders>
              <w:bottom w:val="single" w:sz="8" w:color="auto"/>
            </w:tcBorders>
            <w:gridSpan w:val="3"/>
          </w:tcPr>
          <w:p>
            <w:pPr>
              <w:jc w:val="right"/>
              <w:ind w:right="88"/>
              <w:spacing w:after="0"/>
              <w:rPr>
                <w:sz w:val="20"/>
                <w:szCs w:val="20"/>
                <w:color w:val="auto"/>
              </w:rPr>
            </w:pPr>
            <w:r>
              <w:rPr>
                <w:rFonts w:ascii="Arial" w:cs="Arial" w:eastAsia="Arial" w:hAnsi="Arial"/>
                <w:sz w:val="13"/>
                <w:szCs w:val="13"/>
                <w:b w:val="1"/>
                <w:bCs w:val="1"/>
                <w:color w:val="auto"/>
              </w:rPr>
              <w:t>Three Months Ended March 31,</w:t>
            </w:r>
          </w:p>
        </w:tc>
        <w:tc>
          <w:tcPr>
            <w:tcW w:w="1420" w:type="dxa"/>
            <w:vAlign w:val="bottom"/>
            <w:tcBorders>
              <w:bottom w:val="single" w:sz="8" w:color="auto"/>
            </w:tcBorders>
          </w:tcPr>
          <w:p>
            <w:pPr>
              <w:spacing w:after="0"/>
              <w:rPr>
                <w:sz w:val="13"/>
                <w:szCs w:val="13"/>
                <w:color w:val="auto"/>
              </w:rPr>
            </w:pPr>
          </w:p>
        </w:tc>
        <w:tc>
          <w:tcPr>
            <w:tcW w:w="100" w:type="dxa"/>
            <w:vAlign w:val="bottom"/>
          </w:tcPr>
          <w:p>
            <w:pPr>
              <w:spacing w:after="0"/>
              <w:rPr>
                <w:sz w:val="13"/>
                <w:szCs w:val="13"/>
                <w:color w:val="auto"/>
              </w:rPr>
            </w:pPr>
          </w:p>
        </w:tc>
      </w:tr>
      <w:tr>
        <w:trPr>
          <w:trHeight w:val="142"/>
        </w:trPr>
        <w:tc>
          <w:tcPr>
            <w:tcW w:w="6300" w:type="dxa"/>
            <w:vAlign w:val="bottom"/>
            <w:gridSpan w:val="2"/>
          </w:tcPr>
          <w:p>
            <w:pPr>
              <w:spacing w:after="0" w:line="142" w:lineRule="exact"/>
              <w:rPr>
                <w:sz w:val="20"/>
                <w:szCs w:val="20"/>
                <w:color w:val="auto"/>
              </w:rPr>
            </w:pPr>
            <w:r>
              <w:rPr>
                <w:rFonts w:ascii="Arial" w:cs="Arial" w:eastAsia="Arial" w:hAnsi="Arial"/>
                <w:sz w:val="13"/>
                <w:szCs w:val="13"/>
                <w:color w:val="auto"/>
              </w:rPr>
              <w:t>(Thousands)</w:t>
            </w:r>
          </w:p>
        </w:tc>
        <w:tc>
          <w:tcPr>
            <w:tcW w:w="520" w:type="dxa"/>
            <w:vAlign w:val="bottom"/>
          </w:tcPr>
          <w:p>
            <w:pPr>
              <w:spacing w:after="0"/>
              <w:rPr>
                <w:sz w:val="12"/>
                <w:szCs w:val="12"/>
                <w:color w:val="auto"/>
              </w:rPr>
            </w:pPr>
          </w:p>
        </w:tc>
        <w:tc>
          <w:tcPr>
            <w:tcW w:w="1740" w:type="dxa"/>
            <w:vAlign w:val="bottom"/>
          </w:tcPr>
          <w:p>
            <w:pPr>
              <w:jc w:val="right"/>
              <w:ind w:right="957"/>
              <w:spacing w:after="0" w:line="142" w:lineRule="exact"/>
              <w:rPr>
                <w:sz w:val="20"/>
                <w:szCs w:val="20"/>
                <w:color w:val="auto"/>
              </w:rPr>
            </w:pPr>
            <w:r>
              <w:rPr>
                <w:rFonts w:ascii="Arial" w:cs="Arial" w:eastAsia="Arial" w:hAnsi="Arial"/>
                <w:sz w:val="13"/>
                <w:szCs w:val="13"/>
                <w:b w:val="1"/>
                <w:bCs w:val="1"/>
                <w:color w:val="auto"/>
              </w:rPr>
              <w:t>2022</w:t>
            </w:r>
          </w:p>
        </w:tc>
        <w:tc>
          <w:tcPr>
            <w:tcW w:w="3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420" w:type="dxa"/>
            <w:vAlign w:val="bottom"/>
          </w:tcPr>
          <w:p>
            <w:pPr>
              <w:jc w:val="right"/>
              <w:ind w:right="957"/>
              <w:spacing w:after="0" w:line="142" w:lineRule="exact"/>
              <w:rPr>
                <w:sz w:val="20"/>
                <w:szCs w:val="20"/>
                <w:color w:val="auto"/>
              </w:rPr>
            </w:pPr>
            <w:r>
              <w:rPr>
                <w:rFonts w:ascii="Arial" w:cs="Arial" w:eastAsia="Arial" w:hAnsi="Arial"/>
                <w:sz w:val="13"/>
                <w:szCs w:val="13"/>
                <w:b w:val="1"/>
                <w:bCs w:val="1"/>
                <w:color w:val="auto"/>
              </w:rPr>
              <w:t>2021</w:t>
            </w:r>
          </w:p>
        </w:tc>
        <w:tc>
          <w:tcPr>
            <w:tcW w:w="100" w:type="dxa"/>
            <w:vAlign w:val="bottom"/>
          </w:tcPr>
          <w:p>
            <w:pPr>
              <w:spacing w:after="0"/>
              <w:rPr>
                <w:sz w:val="12"/>
                <w:szCs w:val="12"/>
                <w:color w:val="auto"/>
              </w:rPr>
            </w:pPr>
          </w:p>
        </w:tc>
      </w:tr>
      <w:tr>
        <w:trPr>
          <w:trHeight w:val="142"/>
        </w:trPr>
        <w:tc>
          <w:tcPr>
            <w:tcW w:w="6000" w:type="dxa"/>
            <w:vAlign w:val="bottom"/>
            <w:tcBorders>
              <w:top w:val="single" w:sz="8" w:color="auto"/>
            </w:tcBorders>
            <w:shd w:val="clear" w:color="auto" w:fill="CFF0FC"/>
          </w:tcPr>
          <w:p>
            <w:pPr>
              <w:spacing w:after="0" w:line="142" w:lineRule="exact"/>
              <w:rPr>
                <w:sz w:val="20"/>
                <w:szCs w:val="20"/>
                <w:color w:val="auto"/>
              </w:rPr>
            </w:pPr>
            <w:r>
              <w:rPr>
                <w:rFonts w:ascii="Arial" w:cs="Arial" w:eastAsia="Arial" w:hAnsi="Arial"/>
                <w:sz w:val="13"/>
                <w:szCs w:val="13"/>
                <w:b w:val="1"/>
                <w:bCs w:val="1"/>
                <w:color w:val="auto"/>
              </w:rPr>
              <w:t>Cash flow from operating activities</w:t>
            </w:r>
          </w:p>
        </w:tc>
        <w:tc>
          <w:tcPr>
            <w:tcW w:w="300" w:type="dxa"/>
            <w:vAlign w:val="bottom"/>
            <w:tcBorders>
              <w:top w:val="single" w:sz="8" w:color="CFF0FC"/>
            </w:tcBorders>
            <w:shd w:val="clear" w:color="auto" w:fill="CFF0FC"/>
          </w:tcPr>
          <w:p>
            <w:pPr>
              <w:spacing w:after="0"/>
              <w:rPr>
                <w:sz w:val="12"/>
                <w:szCs w:val="12"/>
                <w:color w:val="auto"/>
              </w:rPr>
            </w:pPr>
          </w:p>
        </w:tc>
        <w:tc>
          <w:tcPr>
            <w:tcW w:w="520" w:type="dxa"/>
            <w:vAlign w:val="bottom"/>
            <w:tcBorders>
              <w:top w:val="single" w:sz="8" w:color="auto"/>
            </w:tcBorders>
            <w:shd w:val="clear" w:color="auto" w:fill="CFF0FC"/>
          </w:tcPr>
          <w:p>
            <w:pPr>
              <w:spacing w:after="0"/>
              <w:rPr>
                <w:sz w:val="12"/>
                <w:szCs w:val="12"/>
                <w:color w:val="auto"/>
              </w:rPr>
            </w:pPr>
          </w:p>
        </w:tc>
        <w:tc>
          <w:tcPr>
            <w:tcW w:w="1740" w:type="dxa"/>
            <w:vAlign w:val="bottom"/>
            <w:tcBorders>
              <w:top w:val="single" w:sz="8" w:color="auto"/>
            </w:tcBorders>
            <w:shd w:val="clear" w:color="auto" w:fill="CFF0FC"/>
          </w:tcPr>
          <w:p>
            <w:pPr>
              <w:spacing w:after="0"/>
              <w:rPr>
                <w:sz w:val="12"/>
                <w:szCs w:val="12"/>
                <w:color w:val="auto"/>
              </w:rPr>
            </w:pPr>
          </w:p>
        </w:tc>
        <w:tc>
          <w:tcPr>
            <w:tcW w:w="300" w:type="dxa"/>
            <w:vAlign w:val="bottom"/>
            <w:tcBorders>
              <w:top w:val="single" w:sz="8" w:color="CFF0FC"/>
            </w:tcBorders>
            <w:shd w:val="clear" w:color="auto" w:fill="CFF0FC"/>
          </w:tcPr>
          <w:p>
            <w:pPr>
              <w:spacing w:after="0"/>
              <w:rPr>
                <w:sz w:val="12"/>
                <w:szCs w:val="12"/>
                <w:color w:val="auto"/>
              </w:rPr>
            </w:pPr>
          </w:p>
        </w:tc>
        <w:tc>
          <w:tcPr>
            <w:tcW w:w="860" w:type="dxa"/>
            <w:vAlign w:val="bottom"/>
            <w:tcBorders>
              <w:top w:val="single" w:sz="8" w:color="auto"/>
            </w:tcBorders>
            <w:shd w:val="clear" w:color="auto" w:fill="CFF0FC"/>
          </w:tcPr>
          <w:p>
            <w:pPr>
              <w:spacing w:after="0"/>
              <w:rPr>
                <w:sz w:val="12"/>
                <w:szCs w:val="12"/>
                <w:color w:val="auto"/>
              </w:rPr>
            </w:pPr>
          </w:p>
        </w:tc>
        <w:tc>
          <w:tcPr>
            <w:tcW w:w="1420" w:type="dxa"/>
            <w:vAlign w:val="bottom"/>
            <w:tcBorders>
              <w:top w:val="single" w:sz="8" w:color="auto"/>
            </w:tcBorders>
            <w:shd w:val="clear" w:color="auto" w:fill="CFF0FC"/>
          </w:tcPr>
          <w:p>
            <w:pPr>
              <w:spacing w:after="0"/>
              <w:rPr>
                <w:sz w:val="12"/>
                <w:szCs w:val="12"/>
                <w:color w:val="auto"/>
              </w:rPr>
            </w:pPr>
          </w:p>
        </w:tc>
        <w:tc>
          <w:tcPr>
            <w:tcW w:w="100" w:type="dxa"/>
            <w:vAlign w:val="bottom"/>
            <w:tcBorders>
              <w:top w:val="single" w:sz="8" w:color="CFF0FC"/>
            </w:tcBorders>
            <w:shd w:val="clear" w:color="auto" w:fill="CFF0FC"/>
          </w:tcPr>
          <w:p>
            <w:pPr>
              <w:spacing w:after="0"/>
              <w:rPr>
                <w:sz w:val="12"/>
                <w:szCs w:val="12"/>
                <w:color w:val="auto"/>
              </w:rPr>
            </w:pPr>
          </w:p>
        </w:tc>
      </w:tr>
      <w:tr>
        <w:trPr>
          <w:trHeight w:val="148"/>
        </w:trPr>
        <w:tc>
          <w:tcPr>
            <w:tcW w:w="6300" w:type="dxa"/>
            <w:vAlign w:val="bottom"/>
            <w:gridSpan w:val="2"/>
          </w:tcPr>
          <w:p>
            <w:pPr>
              <w:spacing w:after="0"/>
              <w:rPr>
                <w:sz w:val="20"/>
                <w:szCs w:val="20"/>
                <w:color w:val="auto"/>
              </w:rPr>
            </w:pPr>
            <w:r>
              <w:rPr>
                <w:rFonts w:ascii="Arial" w:cs="Arial" w:eastAsia="Arial" w:hAnsi="Arial"/>
                <w:sz w:val="13"/>
                <w:szCs w:val="13"/>
                <w:color w:val="auto"/>
              </w:rPr>
              <w:t>Net income (loss)</w:t>
            </w:r>
          </w:p>
        </w:tc>
        <w:tc>
          <w:tcPr>
            <w:tcW w:w="520" w:type="dxa"/>
            <w:vAlign w:val="bottom"/>
          </w:tcPr>
          <w:p>
            <w:pPr>
              <w:jc w:val="right"/>
              <w:ind w:right="408"/>
              <w:spacing w:after="0"/>
              <w:rPr>
                <w:sz w:val="20"/>
                <w:szCs w:val="20"/>
                <w:color w:val="auto"/>
              </w:rPr>
            </w:pPr>
            <w:r>
              <w:rPr>
                <w:rFonts w:ascii="Arial" w:cs="Arial" w:eastAsia="Arial" w:hAnsi="Arial"/>
                <w:sz w:val="10"/>
                <w:szCs w:val="10"/>
                <w:color w:val="auto"/>
                <w:w w:val="71"/>
              </w:rPr>
              <w:t>$</w:t>
            </w:r>
          </w:p>
        </w:tc>
        <w:tc>
          <w:tcPr>
            <w:tcW w:w="1740" w:type="dxa"/>
            <w:vAlign w:val="bottom"/>
          </w:tcPr>
          <w:p>
            <w:pPr>
              <w:jc w:val="right"/>
              <w:spacing w:after="0"/>
              <w:rPr>
                <w:sz w:val="20"/>
                <w:szCs w:val="20"/>
                <w:color w:val="auto"/>
              </w:rPr>
            </w:pPr>
            <w:r>
              <w:rPr>
                <w:rFonts w:ascii="Arial" w:cs="Arial" w:eastAsia="Arial" w:hAnsi="Arial"/>
                <w:sz w:val="13"/>
                <w:szCs w:val="13"/>
                <w:color w:val="auto"/>
              </w:rPr>
              <w:t>52,858</w:t>
            </w:r>
          </w:p>
        </w:tc>
        <w:tc>
          <w:tcPr>
            <w:tcW w:w="300" w:type="dxa"/>
            <w:vAlign w:val="bottom"/>
          </w:tcPr>
          <w:p>
            <w:pPr>
              <w:spacing w:after="0"/>
              <w:rPr>
                <w:sz w:val="12"/>
                <w:szCs w:val="12"/>
                <w:color w:val="auto"/>
              </w:rPr>
            </w:pPr>
          </w:p>
        </w:tc>
        <w:tc>
          <w:tcPr>
            <w:tcW w:w="860" w:type="dxa"/>
            <w:vAlign w:val="bottom"/>
          </w:tcPr>
          <w:p>
            <w:pPr>
              <w:jc w:val="right"/>
              <w:ind w:right="748"/>
              <w:spacing w:after="0"/>
              <w:rPr>
                <w:sz w:val="20"/>
                <w:szCs w:val="20"/>
                <w:color w:val="auto"/>
              </w:rPr>
            </w:pPr>
            <w:r>
              <w:rPr>
                <w:rFonts w:ascii="Arial" w:cs="Arial" w:eastAsia="Arial" w:hAnsi="Arial"/>
                <w:sz w:val="10"/>
                <w:szCs w:val="10"/>
                <w:color w:val="auto"/>
                <w:w w:val="71"/>
              </w:rPr>
              <w:t>$</w:t>
            </w:r>
          </w:p>
        </w:tc>
        <w:tc>
          <w:tcPr>
            <w:tcW w:w="1520" w:type="dxa"/>
            <w:vAlign w:val="bottom"/>
            <w:gridSpan w:val="2"/>
          </w:tcPr>
          <w:p>
            <w:pPr>
              <w:jc w:val="right"/>
              <w:ind w:right="60"/>
              <w:spacing w:after="0"/>
              <w:rPr>
                <w:sz w:val="20"/>
                <w:szCs w:val="20"/>
                <w:color w:val="auto"/>
              </w:rPr>
            </w:pPr>
            <w:r>
              <w:rPr>
                <w:rFonts w:ascii="Arial" w:cs="Arial" w:eastAsia="Arial" w:hAnsi="Arial"/>
                <w:sz w:val="13"/>
                <w:szCs w:val="13"/>
                <w:color w:val="auto"/>
              </w:rPr>
              <w:t>(4,502)</w:t>
            </w:r>
          </w:p>
        </w:tc>
      </w:tr>
      <w:tr>
        <w:trPr>
          <w:trHeight w:val="149"/>
        </w:trPr>
        <w:tc>
          <w:tcPr>
            <w:tcW w:w="6300" w:type="dxa"/>
            <w:vAlign w:val="bottom"/>
            <w:gridSpan w:val="2"/>
            <w:shd w:val="clear" w:color="auto" w:fill="CFF0FC"/>
          </w:tcPr>
          <w:p>
            <w:pPr>
              <w:spacing w:after="0"/>
              <w:rPr>
                <w:sz w:val="20"/>
                <w:szCs w:val="20"/>
                <w:color w:val="auto"/>
              </w:rPr>
            </w:pPr>
            <w:r>
              <w:rPr>
                <w:rFonts w:ascii="Arial" w:cs="Arial" w:eastAsia="Arial" w:hAnsi="Arial"/>
                <w:sz w:val="13"/>
                <w:szCs w:val="13"/>
                <w:color w:val="auto"/>
              </w:rPr>
              <w:t>Adjustments to reconcile net income (loss) to net cash provided by operating activities:</w:t>
            </w:r>
          </w:p>
        </w:tc>
        <w:tc>
          <w:tcPr>
            <w:tcW w:w="520" w:type="dxa"/>
            <w:vAlign w:val="bottom"/>
            <w:shd w:val="clear" w:color="auto" w:fill="CFF0FC"/>
          </w:tcPr>
          <w:p>
            <w:pPr>
              <w:spacing w:after="0"/>
              <w:rPr>
                <w:sz w:val="12"/>
                <w:szCs w:val="12"/>
                <w:color w:val="auto"/>
              </w:rPr>
            </w:pPr>
          </w:p>
        </w:tc>
        <w:tc>
          <w:tcPr>
            <w:tcW w:w="174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860" w:type="dxa"/>
            <w:vAlign w:val="bottom"/>
            <w:shd w:val="clear" w:color="auto" w:fill="CFF0FC"/>
          </w:tcPr>
          <w:p>
            <w:pPr>
              <w:spacing w:after="0"/>
              <w:rPr>
                <w:sz w:val="12"/>
                <w:szCs w:val="12"/>
                <w:color w:val="auto"/>
              </w:rPr>
            </w:pPr>
          </w:p>
        </w:tc>
        <w:tc>
          <w:tcPr>
            <w:tcW w:w="14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r>
      <w:tr>
        <w:trPr>
          <w:trHeight w:val="148"/>
        </w:trPr>
        <w:tc>
          <w:tcPr>
            <w:tcW w:w="6300" w:type="dxa"/>
            <w:vAlign w:val="bottom"/>
            <w:gridSpan w:val="2"/>
          </w:tcPr>
          <w:p>
            <w:pPr>
              <w:ind w:left="260"/>
              <w:spacing w:after="0"/>
              <w:rPr>
                <w:sz w:val="20"/>
                <w:szCs w:val="20"/>
                <w:color w:val="auto"/>
              </w:rPr>
            </w:pPr>
            <w:r>
              <w:rPr>
                <w:rFonts w:ascii="Arial" w:cs="Arial" w:eastAsia="Arial" w:hAnsi="Arial"/>
                <w:sz w:val="13"/>
                <w:szCs w:val="13"/>
                <w:color w:val="auto"/>
              </w:rPr>
              <w:t>Depreciation and amortization</w:t>
            </w:r>
          </w:p>
        </w:tc>
        <w:tc>
          <w:tcPr>
            <w:tcW w:w="520" w:type="dxa"/>
            <w:vAlign w:val="bottom"/>
          </w:tcPr>
          <w:p>
            <w:pPr>
              <w:spacing w:after="0"/>
              <w:rPr>
                <w:sz w:val="12"/>
                <w:szCs w:val="12"/>
                <w:color w:val="auto"/>
              </w:rPr>
            </w:pPr>
          </w:p>
        </w:tc>
        <w:tc>
          <w:tcPr>
            <w:tcW w:w="1740" w:type="dxa"/>
            <w:vAlign w:val="bottom"/>
          </w:tcPr>
          <w:p>
            <w:pPr>
              <w:jc w:val="right"/>
              <w:spacing w:after="0"/>
              <w:rPr>
                <w:sz w:val="20"/>
                <w:szCs w:val="20"/>
                <w:color w:val="auto"/>
              </w:rPr>
            </w:pPr>
            <w:r>
              <w:rPr>
                <w:rFonts w:ascii="Arial" w:cs="Arial" w:eastAsia="Arial" w:hAnsi="Arial"/>
                <w:sz w:val="13"/>
                <w:szCs w:val="13"/>
                <w:color w:val="auto"/>
              </w:rPr>
              <w:t>71,457</w:t>
            </w:r>
          </w:p>
        </w:tc>
        <w:tc>
          <w:tcPr>
            <w:tcW w:w="3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420" w:type="dxa"/>
            <w:vAlign w:val="bottom"/>
          </w:tcPr>
          <w:p>
            <w:pPr>
              <w:jc w:val="right"/>
              <w:spacing w:after="0"/>
              <w:rPr>
                <w:sz w:val="20"/>
                <w:szCs w:val="20"/>
                <w:color w:val="auto"/>
              </w:rPr>
            </w:pPr>
            <w:r>
              <w:rPr>
                <w:rFonts w:ascii="Arial" w:cs="Arial" w:eastAsia="Arial" w:hAnsi="Arial"/>
                <w:sz w:val="13"/>
                <w:szCs w:val="13"/>
                <w:color w:val="auto"/>
              </w:rPr>
              <w:t>70,964</w:t>
            </w:r>
          </w:p>
        </w:tc>
        <w:tc>
          <w:tcPr>
            <w:tcW w:w="100" w:type="dxa"/>
            <w:vAlign w:val="bottom"/>
          </w:tcPr>
          <w:p>
            <w:pPr>
              <w:spacing w:after="0"/>
              <w:rPr>
                <w:sz w:val="12"/>
                <w:szCs w:val="12"/>
                <w:color w:val="auto"/>
              </w:rPr>
            </w:pPr>
          </w:p>
        </w:tc>
      </w:tr>
      <w:tr>
        <w:trPr>
          <w:trHeight w:val="148"/>
        </w:trPr>
        <w:tc>
          <w:tcPr>
            <w:tcW w:w="6300" w:type="dxa"/>
            <w:vAlign w:val="bottom"/>
            <w:gridSpan w:val="2"/>
            <w:shd w:val="clear" w:color="auto" w:fill="CFF0FC"/>
          </w:tcPr>
          <w:p>
            <w:pPr>
              <w:ind w:left="260"/>
              <w:spacing w:after="0"/>
              <w:rPr>
                <w:sz w:val="20"/>
                <w:szCs w:val="20"/>
                <w:color w:val="auto"/>
              </w:rPr>
            </w:pPr>
            <w:r>
              <w:rPr>
                <w:rFonts w:ascii="Arial" w:cs="Arial" w:eastAsia="Arial" w:hAnsi="Arial"/>
                <w:sz w:val="13"/>
                <w:szCs w:val="13"/>
                <w:color w:val="auto"/>
              </w:rPr>
              <w:t>Amortization of deferred financing costs and debt discount</w:t>
            </w:r>
          </w:p>
        </w:tc>
        <w:tc>
          <w:tcPr>
            <w:tcW w:w="520" w:type="dxa"/>
            <w:vAlign w:val="bottom"/>
            <w:shd w:val="clear" w:color="auto" w:fill="CFF0FC"/>
          </w:tcPr>
          <w:p>
            <w:pPr>
              <w:spacing w:after="0"/>
              <w:rPr>
                <w:sz w:val="12"/>
                <w:szCs w:val="12"/>
                <w:color w:val="auto"/>
              </w:rPr>
            </w:pPr>
          </w:p>
        </w:tc>
        <w:tc>
          <w:tcPr>
            <w:tcW w:w="17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4,514</w:t>
            </w:r>
          </w:p>
        </w:tc>
        <w:tc>
          <w:tcPr>
            <w:tcW w:w="300" w:type="dxa"/>
            <w:vAlign w:val="bottom"/>
            <w:shd w:val="clear" w:color="auto" w:fill="CFF0FC"/>
          </w:tcPr>
          <w:p>
            <w:pPr>
              <w:spacing w:after="0"/>
              <w:rPr>
                <w:sz w:val="12"/>
                <w:szCs w:val="12"/>
                <w:color w:val="auto"/>
              </w:rPr>
            </w:pPr>
          </w:p>
        </w:tc>
        <w:tc>
          <w:tcPr>
            <w:tcW w:w="860" w:type="dxa"/>
            <w:vAlign w:val="bottom"/>
            <w:shd w:val="clear" w:color="auto" w:fill="CFF0FC"/>
          </w:tcPr>
          <w:p>
            <w:pPr>
              <w:spacing w:after="0"/>
              <w:rPr>
                <w:sz w:val="12"/>
                <w:szCs w:val="12"/>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4,959</w:t>
            </w:r>
          </w:p>
        </w:tc>
        <w:tc>
          <w:tcPr>
            <w:tcW w:w="100" w:type="dxa"/>
            <w:vAlign w:val="bottom"/>
            <w:shd w:val="clear" w:color="auto" w:fill="CFF0FC"/>
          </w:tcPr>
          <w:p>
            <w:pPr>
              <w:spacing w:after="0"/>
              <w:rPr>
                <w:sz w:val="12"/>
                <w:szCs w:val="12"/>
                <w:color w:val="auto"/>
              </w:rPr>
            </w:pPr>
          </w:p>
        </w:tc>
      </w:tr>
      <w:tr>
        <w:trPr>
          <w:trHeight w:val="148"/>
        </w:trPr>
        <w:tc>
          <w:tcPr>
            <w:tcW w:w="6300" w:type="dxa"/>
            <w:vAlign w:val="bottom"/>
            <w:gridSpan w:val="2"/>
          </w:tcPr>
          <w:p>
            <w:pPr>
              <w:ind w:left="260"/>
              <w:spacing w:after="0"/>
              <w:rPr>
                <w:sz w:val="20"/>
                <w:szCs w:val="20"/>
                <w:color w:val="auto"/>
              </w:rPr>
            </w:pPr>
            <w:r>
              <w:rPr>
                <w:rFonts w:ascii="Arial" w:cs="Arial" w:eastAsia="Arial" w:hAnsi="Arial"/>
                <w:sz w:val="13"/>
                <w:szCs w:val="13"/>
                <w:color w:val="auto"/>
              </w:rPr>
              <w:t>Loss on debt extinguishment</w:t>
            </w:r>
          </w:p>
        </w:tc>
        <w:tc>
          <w:tcPr>
            <w:tcW w:w="520" w:type="dxa"/>
            <w:vAlign w:val="bottom"/>
          </w:tcPr>
          <w:p>
            <w:pPr>
              <w:spacing w:after="0"/>
              <w:rPr>
                <w:sz w:val="12"/>
                <w:szCs w:val="12"/>
                <w:color w:val="auto"/>
              </w:rPr>
            </w:pPr>
          </w:p>
        </w:tc>
        <w:tc>
          <w:tcPr>
            <w:tcW w:w="1740" w:type="dxa"/>
            <w:vAlign w:val="bottom"/>
          </w:tcPr>
          <w:p>
            <w:pPr>
              <w:jc w:val="right"/>
              <w:spacing w:after="0"/>
              <w:rPr>
                <w:sz w:val="20"/>
                <w:szCs w:val="20"/>
                <w:color w:val="auto"/>
              </w:rPr>
            </w:pPr>
            <w:r>
              <w:rPr>
                <w:rFonts w:ascii="Arial" w:cs="Arial" w:eastAsia="Arial" w:hAnsi="Arial"/>
                <w:sz w:val="13"/>
                <w:szCs w:val="13"/>
                <w:color w:val="auto"/>
              </w:rPr>
              <w:t>-</w:t>
            </w:r>
          </w:p>
        </w:tc>
        <w:tc>
          <w:tcPr>
            <w:tcW w:w="3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420" w:type="dxa"/>
            <w:vAlign w:val="bottom"/>
          </w:tcPr>
          <w:p>
            <w:pPr>
              <w:jc w:val="right"/>
              <w:spacing w:after="0"/>
              <w:rPr>
                <w:sz w:val="20"/>
                <w:szCs w:val="20"/>
                <w:color w:val="auto"/>
              </w:rPr>
            </w:pPr>
            <w:r>
              <w:rPr>
                <w:rFonts w:ascii="Arial" w:cs="Arial" w:eastAsia="Arial" w:hAnsi="Arial"/>
                <w:sz w:val="13"/>
                <w:szCs w:val="13"/>
                <w:color w:val="auto"/>
              </w:rPr>
              <w:t>37,965</w:t>
            </w:r>
          </w:p>
        </w:tc>
        <w:tc>
          <w:tcPr>
            <w:tcW w:w="100" w:type="dxa"/>
            <w:vAlign w:val="bottom"/>
          </w:tcPr>
          <w:p>
            <w:pPr>
              <w:spacing w:after="0"/>
              <w:rPr>
                <w:sz w:val="12"/>
                <w:szCs w:val="12"/>
                <w:color w:val="auto"/>
              </w:rPr>
            </w:pPr>
          </w:p>
        </w:tc>
      </w:tr>
      <w:tr>
        <w:trPr>
          <w:trHeight w:val="148"/>
        </w:trPr>
        <w:tc>
          <w:tcPr>
            <w:tcW w:w="6300" w:type="dxa"/>
            <w:vAlign w:val="bottom"/>
            <w:gridSpan w:val="2"/>
            <w:shd w:val="clear" w:color="auto" w:fill="CFF0FC"/>
          </w:tcPr>
          <w:p>
            <w:pPr>
              <w:ind w:left="260"/>
              <w:spacing w:after="0"/>
              <w:rPr>
                <w:sz w:val="20"/>
                <w:szCs w:val="20"/>
                <w:color w:val="auto"/>
              </w:rPr>
            </w:pPr>
            <w:r>
              <w:rPr>
                <w:rFonts w:ascii="Arial" w:cs="Arial" w:eastAsia="Arial" w:hAnsi="Arial"/>
                <w:sz w:val="13"/>
                <w:szCs w:val="13"/>
                <w:color w:val="auto"/>
              </w:rPr>
              <w:t>Interest rate swap termination</w:t>
            </w:r>
          </w:p>
        </w:tc>
        <w:tc>
          <w:tcPr>
            <w:tcW w:w="520" w:type="dxa"/>
            <w:vAlign w:val="bottom"/>
            <w:shd w:val="clear" w:color="auto" w:fill="CFF0FC"/>
          </w:tcPr>
          <w:p>
            <w:pPr>
              <w:spacing w:after="0"/>
              <w:rPr>
                <w:sz w:val="12"/>
                <w:szCs w:val="12"/>
                <w:color w:val="auto"/>
              </w:rPr>
            </w:pPr>
          </w:p>
        </w:tc>
        <w:tc>
          <w:tcPr>
            <w:tcW w:w="17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2,830</w:t>
            </w:r>
          </w:p>
        </w:tc>
        <w:tc>
          <w:tcPr>
            <w:tcW w:w="300" w:type="dxa"/>
            <w:vAlign w:val="bottom"/>
            <w:shd w:val="clear" w:color="auto" w:fill="CFF0FC"/>
          </w:tcPr>
          <w:p>
            <w:pPr>
              <w:spacing w:after="0"/>
              <w:rPr>
                <w:sz w:val="12"/>
                <w:szCs w:val="12"/>
                <w:color w:val="auto"/>
              </w:rPr>
            </w:pPr>
          </w:p>
        </w:tc>
        <w:tc>
          <w:tcPr>
            <w:tcW w:w="860" w:type="dxa"/>
            <w:vAlign w:val="bottom"/>
            <w:shd w:val="clear" w:color="auto" w:fill="CFF0FC"/>
          </w:tcPr>
          <w:p>
            <w:pPr>
              <w:spacing w:after="0"/>
              <w:rPr>
                <w:sz w:val="12"/>
                <w:szCs w:val="12"/>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2,829</w:t>
            </w:r>
          </w:p>
        </w:tc>
        <w:tc>
          <w:tcPr>
            <w:tcW w:w="100" w:type="dxa"/>
            <w:vAlign w:val="bottom"/>
            <w:shd w:val="clear" w:color="auto" w:fill="CFF0FC"/>
          </w:tcPr>
          <w:p>
            <w:pPr>
              <w:spacing w:after="0"/>
              <w:rPr>
                <w:sz w:val="12"/>
                <w:szCs w:val="12"/>
                <w:color w:val="auto"/>
              </w:rPr>
            </w:pPr>
          </w:p>
        </w:tc>
      </w:tr>
      <w:tr>
        <w:trPr>
          <w:trHeight w:val="148"/>
        </w:trPr>
        <w:tc>
          <w:tcPr>
            <w:tcW w:w="6300" w:type="dxa"/>
            <w:vAlign w:val="bottom"/>
            <w:gridSpan w:val="2"/>
          </w:tcPr>
          <w:p>
            <w:pPr>
              <w:ind w:left="260"/>
              <w:spacing w:after="0"/>
              <w:rPr>
                <w:sz w:val="20"/>
                <w:szCs w:val="20"/>
                <w:color w:val="auto"/>
              </w:rPr>
            </w:pPr>
            <w:r>
              <w:rPr>
                <w:rFonts w:ascii="Arial" w:cs="Arial" w:eastAsia="Arial" w:hAnsi="Arial"/>
                <w:sz w:val="13"/>
                <w:szCs w:val="13"/>
                <w:color w:val="auto"/>
              </w:rPr>
              <w:t>Deferred income taxes</w:t>
            </w:r>
          </w:p>
        </w:tc>
        <w:tc>
          <w:tcPr>
            <w:tcW w:w="520" w:type="dxa"/>
            <w:vAlign w:val="bottom"/>
          </w:tcPr>
          <w:p>
            <w:pPr>
              <w:spacing w:after="0"/>
              <w:rPr>
                <w:sz w:val="12"/>
                <w:szCs w:val="12"/>
                <w:color w:val="auto"/>
              </w:rPr>
            </w:pPr>
          </w:p>
        </w:tc>
        <w:tc>
          <w:tcPr>
            <w:tcW w:w="2040" w:type="dxa"/>
            <w:vAlign w:val="bottom"/>
            <w:gridSpan w:val="2"/>
          </w:tcPr>
          <w:p>
            <w:pPr>
              <w:jc w:val="right"/>
              <w:ind w:right="260"/>
              <w:spacing w:after="0"/>
              <w:rPr>
                <w:sz w:val="20"/>
                <w:szCs w:val="20"/>
                <w:color w:val="auto"/>
              </w:rPr>
            </w:pPr>
            <w:r>
              <w:rPr>
                <w:rFonts w:ascii="Arial" w:cs="Arial" w:eastAsia="Arial" w:hAnsi="Arial"/>
                <w:sz w:val="13"/>
                <w:szCs w:val="13"/>
                <w:color w:val="auto"/>
              </w:rPr>
              <w:t>(3,664)</w:t>
            </w:r>
          </w:p>
        </w:tc>
        <w:tc>
          <w:tcPr>
            <w:tcW w:w="860" w:type="dxa"/>
            <w:vAlign w:val="bottom"/>
          </w:tcPr>
          <w:p>
            <w:pPr>
              <w:spacing w:after="0"/>
              <w:rPr>
                <w:sz w:val="12"/>
                <w:szCs w:val="12"/>
                <w:color w:val="auto"/>
              </w:rPr>
            </w:pPr>
          </w:p>
        </w:tc>
        <w:tc>
          <w:tcPr>
            <w:tcW w:w="1520" w:type="dxa"/>
            <w:vAlign w:val="bottom"/>
            <w:gridSpan w:val="2"/>
          </w:tcPr>
          <w:p>
            <w:pPr>
              <w:jc w:val="right"/>
              <w:ind w:right="60"/>
              <w:spacing w:after="0"/>
              <w:rPr>
                <w:sz w:val="20"/>
                <w:szCs w:val="20"/>
                <w:color w:val="auto"/>
              </w:rPr>
            </w:pPr>
            <w:r>
              <w:rPr>
                <w:rFonts w:ascii="Arial" w:cs="Arial" w:eastAsia="Arial" w:hAnsi="Arial"/>
                <w:sz w:val="13"/>
                <w:szCs w:val="13"/>
                <w:color w:val="auto"/>
              </w:rPr>
              <w:t>(3,428)</w:t>
            </w:r>
          </w:p>
        </w:tc>
      </w:tr>
      <w:tr>
        <w:trPr>
          <w:trHeight w:val="149"/>
        </w:trPr>
        <w:tc>
          <w:tcPr>
            <w:tcW w:w="6300" w:type="dxa"/>
            <w:vAlign w:val="bottom"/>
            <w:gridSpan w:val="2"/>
            <w:shd w:val="clear" w:color="auto" w:fill="CFF0FC"/>
          </w:tcPr>
          <w:p>
            <w:pPr>
              <w:ind w:left="260"/>
              <w:spacing w:after="0"/>
              <w:rPr>
                <w:sz w:val="20"/>
                <w:szCs w:val="20"/>
                <w:color w:val="auto"/>
              </w:rPr>
            </w:pPr>
            <w:r>
              <w:rPr>
                <w:rFonts w:ascii="Arial" w:cs="Arial" w:eastAsia="Arial" w:hAnsi="Arial"/>
                <w:sz w:val="13"/>
                <w:szCs w:val="13"/>
                <w:color w:val="auto"/>
              </w:rPr>
              <w:t>Equity in earnings of unconsolidated entities</w:t>
            </w:r>
          </w:p>
        </w:tc>
        <w:tc>
          <w:tcPr>
            <w:tcW w:w="520" w:type="dxa"/>
            <w:vAlign w:val="bottom"/>
            <w:shd w:val="clear" w:color="auto" w:fill="CFF0FC"/>
          </w:tcPr>
          <w:p>
            <w:pPr>
              <w:spacing w:after="0"/>
              <w:rPr>
                <w:sz w:val="12"/>
                <w:szCs w:val="12"/>
                <w:color w:val="auto"/>
              </w:rPr>
            </w:pPr>
          </w:p>
        </w:tc>
        <w:tc>
          <w:tcPr>
            <w:tcW w:w="2040" w:type="dxa"/>
            <w:vAlign w:val="bottom"/>
            <w:gridSpan w:val="2"/>
            <w:shd w:val="clear" w:color="auto" w:fill="CFF0FC"/>
          </w:tcPr>
          <w:p>
            <w:pPr>
              <w:jc w:val="right"/>
              <w:ind w:right="260"/>
              <w:spacing w:after="0"/>
              <w:rPr>
                <w:sz w:val="20"/>
                <w:szCs w:val="20"/>
                <w:color w:val="auto"/>
              </w:rPr>
            </w:pPr>
            <w:r>
              <w:rPr>
                <w:rFonts w:ascii="Arial" w:cs="Arial" w:eastAsia="Arial" w:hAnsi="Arial"/>
                <w:sz w:val="13"/>
                <w:szCs w:val="13"/>
                <w:color w:val="auto"/>
              </w:rPr>
              <w:t>(544)</w:t>
            </w:r>
          </w:p>
        </w:tc>
        <w:tc>
          <w:tcPr>
            <w:tcW w:w="860" w:type="dxa"/>
            <w:vAlign w:val="bottom"/>
            <w:shd w:val="clear" w:color="auto" w:fill="CFF0FC"/>
          </w:tcPr>
          <w:p>
            <w:pPr>
              <w:spacing w:after="0"/>
              <w:rPr>
                <w:sz w:val="12"/>
                <w:szCs w:val="12"/>
                <w:color w:val="auto"/>
              </w:rPr>
            </w:pPr>
          </w:p>
        </w:tc>
        <w:tc>
          <w:tcPr>
            <w:tcW w:w="1520" w:type="dxa"/>
            <w:vAlign w:val="bottom"/>
            <w:gridSpan w:val="2"/>
            <w:shd w:val="clear" w:color="auto" w:fill="CFF0FC"/>
          </w:tcPr>
          <w:p>
            <w:pPr>
              <w:jc w:val="right"/>
              <w:ind w:right="60"/>
              <w:spacing w:after="0"/>
              <w:rPr>
                <w:sz w:val="20"/>
                <w:szCs w:val="20"/>
                <w:color w:val="auto"/>
              </w:rPr>
            </w:pPr>
            <w:r>
              <w:rPr>
                <w:rFonts w:ascii="Arial" w:cs="Arial" w:eastAsia="Arial" w:hAnsi="Arial"/>
                <w:sz w:val="13"/>
                <w:szCs w:val="13"/>
                <w:color w:val="auto"/>
              </w:rPr>
              <w:t>(398)</w:t>
            </w:r>
          </w:p>
        </w:tc>
      </w:tr>
      <w:tr>
        <w:trPr>
          <w:trHeight w:val="148"/>
        </w:trPr>
        <w:tc>
          <w:tcPr>
            <w:tcW w:w="6300" w:type="dxa"/>
            <w:vAlign w:val="bottom"/>
            <w:gridSpan w:val="2"/>
          </w:tcPr>
          <w:p>
            <w:pPr>
              <w:ind w:left="260"/>
              <w:spacing w:after="0"/>
              <w:rPr>
                <w:sz w:val="20"/>
                <w:szCs w:val="20"/>
                <w:color w:val="auto"/>
              </w:rPr>
            </w:pPr>
            <w:r>
              <w:rPr>
                <w:rFonts w:ascii="Arial" w:cs="Arial" w:eastAsia="Arial" w:hAnsi="Arial"/>
                <w:sz w:val="13"/>
                <w:szCs w:val="13"/>
                <w:color w:val="auto"/>
              </w:rPr>
              <w:t>Distributions of cumulative earnings from unconsolidated entities</w:t>
            </w:r>
          </w:p>
        </w:tc>
        <w:tc>
          <w:tcPr>
            <w:tcW w:w="520" w:type="dxa"/>
            <w:vAlign w:val="bottom"/>
          </w:tcPr>
          <w:p>
            <w:pPr>
              <w:spacing w:after="0"/>
              <w:rPr>
                <w:sz w:val="12"/>
                <w:szCs w:val="12"/>
                <w:color w:val="auto"/>
              </w:rPr>
            </w:pPr>
          </w:p>
        </w:tc>
        <w:tc>
          <w:tcPr>
            <w:tcW w:w="1740" w:type="dxa"/>
            <w:vAlign w:val="bottom"/>
          </w:tcPr>
          <w:p>
            <w:pPr>
              <w:jc w:val="right"/>
              <w:spacing w:after="0"/>
              <w:rPr>
                <w:sz w:val="20"/>
                <w:szCs w:val="20"/>
                <w:color w:val="auto"/>
              </w:rPr>
            </w:pPr>
            <w:r>
              <w:rPr>
                <w:rFonts w:ascii="Arial" w:cs="Arial" w:eastAsia="Arial" w:hAnsi="Arial"/>
                <w:sz w:val="13"/>
                <w:szCs w:val="13"/>
                <w:color w:val="auto"/>
              </w:rPr>
              <w:t>980</w:t>
            </w:r>
          </w:p>
        </w:tc>
        <w:tc>
          <w:tcPr>
            <w:tcW w:w="3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420" w:type="dxa"/>
            <w:vAlign w:val="bottom"/>
          </w:tcPr>
          <w:p>
            <w:pPr>
              <w:jc w:val="right"/>
              <w:spacing w:after="0"/>
              <w:rPr>
                <w:sz w:val="20"/>
                <w:szCs w:val="20"/>
                <w:color w:val="auto"/>
              </w:rPr>
            </w:pPr>
            <w:r>
              <w:rPr>
                <w:rFonts w:ascii="Arial" w:cs="Arial" w:eastAsia="Arial" w:hAnsi="Arial"/>
                <w:sz w:val="13"/>
                <w:szCs w:val="13"/>
                <w:color w:val="auto"/>
              </w:rPr>
              <w:t>960</w:t>
            </w:r>
          </w:p>
        </w:tc>
        <w:tc>
          <w:tcPr>
            <w:tcW w:w="100" w:type="dxa"/>
            <w:vAlign w:val="bottom"/>
          </w:tcPr>
          <w:p>
            <w:pPr>
              <w:spacing w:after="0"/>
              <w:rPr>
                <w:sz w:val="12"/>
                <w:szCs w:val="12"/>
                <w:color w:val="auto"/>
              </w:rPr>
            </w:pPr>
          </w:p>
        </w:tc>
      </w:tr>
      <w:tr>
        <w:trPr>
          <w:trHeight w:val="148"/>
        </w:trPr>
        <w:tc>
          <w:tcPr>
            <w:tcW w:w="6300" w:type="dxa"/>
            <w:vAlign w:val="bottom"/>
            <w:gridSpan w:val="2"/>
            <w:shd w:val="clear" w:color="auto" w:fill="CFF0FC"/>
          </w:tcPr>
          <w:p>
            <w:pPr>
              <w:ind w:left="260"/>
              <w:spacing w:after="0"/>
              <w:rPr>
                <w:sz w:val="20"/>
                <w:szCs w:val="20"/>
                <w:color w:val="auto"/>
              </w:rPr>
            </w:pPr>
            <w:r>
              <w:rPr>
                <w:rFonts w:ascii="Arial" w:cs="Arial" w:eastAsia="Arial" w:hAnsi="Arial"/>
                <w:sz w:val="13"/>
                <w:szCs w:val="13"/>
                <w:color w:val="auto"/>
              </w:rPr>
              <w:t>Cash paid for interest rate swap settlement</w:t>
            </w:r>
          </w:p>
        </w:tc>
        <w:tc>
          <w:tcPr>
            <w:tcW w:w="520" w:type="dxa"/>
            <w:vAlign w:val="bottom"/>
            <w:shd w:val="clear" w:color="auto" w:fill="CFF0FC"/>
          </w:tcPr>
          <w:p>
            <w:pPr>
              <w:spacing w:after="0"/>
              <w:rPr>
                <w:sz w:val="12"/>
                <w:szCs w:val="12"/>
                <w:color w:val="auto"/>
              </w:rPr>
            </w:pPr>
          </w:p>
        </w:tc>
        <w:tc>
          <w:tcPr>
            <w:tcW w:w="2040" w:type="dxa"/>
            <w:vAlign w:val="bottom"/>
            <w:gridSpan w:val="2"/>
            <w:shd w:val="clear" w:color="auto" w:fill="CFF0FC"/>
          </w:tcPr>
          <w:p>
            <w:pPr>
              <w:jc w:val="right"/>
              <w:ind w:right="260"/>
              <w:spacing w:after="0"/>
              <w:rPr>
                <w:sz w:val="20"/>
                <w:szCs w:val="20"/>
                <w:color w:val="auto"/>
              </w:rPr>
            </w:pPr>
            <w:r>
              <w:rPr>
                <w:rFonts w:ascii="Arial" w:cs="Arial" w:eastAsia="Arial" w:hAnsi="Arial"/>
                <w:sz w:val="13"/>
                <w:szCs w:val="13"/>
                <w:color w:val="auto"/>
              </w:rPr>
              <w:t>(3,144)</w:t>
            </w:r>
          </w:p>
        </w:tc>
        <w:tc>
          <w:tcPr>
            <w:tcW w:w="860" w:type="dxa"/>
            <w:vAlign w:val="bottom"/>
            <w:shd w:val="clear" w:color="auto" w:fill="CFF0FC"/>
          </w:tcPr>
          <w:p>
            <w:pPr>
              <w:spacing w:after="0"/>
              <w:rPr>
                <w:sz w:val="12"/>
                <w:szCs w:val="12"/>
                <w:color w:val="auto"/>
              </w:rPr>
            </w:pPr>
          </w:p>
        </w:tc>
        <w:tc>
          <w:tcPr>
            <w:tcW w:w="1520" w:type="dxa"/>
            <w:vAlign w:val="bottom"/>
            <w:gridSpan w:val="2"/>
            <w:shd w:val="clear" w:color="auto" w:fill="CFF0FC"/>
          </w:tcPr>
          <w:p>
            <w:pPr>
              <w:jc w:val="right"/>
              <w:ind w:right="60"/>
              <w:spacing w:after="0"/>
              <w:rPr>
                <w:sz w:val="20"/>
                <w:szCs w:val="20"/>
                <w:color w:val="auto"/>
              </w:rPr>
            </w:pPr>
            <w:r>
              <w:rPr>
                <w:rFonts w:ascii="Arial" w:cs="Arial" w:eastAsia="Arial" w:hAnsi="Arial"/>
                <w:sz w:val="13"/>
                <w:szCs w:val="13"/>
                <w:color w:val="auto"/>
              </w:rPr>
              <w:t>(2,989)</w:t>
            </w:r>
          </w:p>
        </w:tc>
      </w:tr>
      <w:tr>
        <w:trPr>
          <w:trHeight w:val="148"/>
        </w:trPr>
        <w:tc>
          <w:tcPr>
            <w:tcW w:w="6300" w:type="dxa"/>
            <w:vAlign w:val="bottom"/>
            <w:gridSpan w:val="2"/>
          </w:tcPr>
          <w:p>
            <w:pPr>
              <w:ind w:left="260"/>
              <w:spacing w:after="0"/>
              <w:rPr>
                <w:sz w:val="20"/>
                <w:szCs w:val="20"/>
                <w:color w:val="auto"/>
              </w:rPr>
            </w:pPr>
            <w:r>
              <w:rPr>
                <w:rFonts w:ascii="Arial" w:cs="Arial" w:eastAsia="Arial" w:hAnsi="Arial"/>
                <w:sz w:val="13"/>
                <w:szCs w:val="13"/>
                <w:color w:val="auto"/>
              </w:rPr>
              <w:t>Straight-line revenues and amortization of below-market lease intangibles</w:t>
            </w:r>
          </w:p>
        </w:tc>
        <w:tc>
          <w:tcPr>
            <w:tcW w:w="520" w:type="dxa"/>
            <w:vAlign w:val="bottom"/>
          </w:tcPr>
          <w:p>
            <w:pPr>
              <w:spacing w:after="0"/>
              <w:rPr>
                <w:sz w:val="12"/>
                <w:szCs w:val="12"/>
                <w:color w:val="auto"/>
              </w:rPr>
            </w:pPr>
          </w:p>
        </w:tc>
        <w:tc>
          <w:tcPr>
            <w:tcW w:w="2040" w:type="dxa"/>
            <w:vAlign w:val="bottom"/>
            <w:gridSpan w:val="2"/>
          </w:tcPr>
          <w:p>
            <w:pPr>
              <w:jc w:val="right"/>
              <w:ind w:right="260"/>
              <w:spacing w:after="0"/>
              <w:rPr>
                <w:sz w:val="20"/>
                <w:szCs w:val="20"/>
                <w:color w:val="auto"/>
              </w:rPr>
            </w:pPr>
            <w:r>
              <w:rPr>
                <w:rFonts w:ascii="Arial" w:cs="Arial" w:eastAsia="Arial" w:hAnsi="Arial"/>
                <w:sz w:val="13"/>
                <w:szCs w:val="13"/>
                <w:color w:val="auto"/>
              </w:rPr>
              <w:t>(11,022)</w:t>
            </w:r>
          </w:p>
        </w:tc>
        <w:tc>
          <w:tcPr>
            <w:tcW w:w="860" w:type="dxa"/>
            <w:vAlign w:val="bottom"/>
          </w:tcPr>
          <w:p>
            <w:pPr>
              <w:spacing w:after="0"/>
              <w:rPr>
                <w:sz w:val="12"/>
                <w:szCs w:val="12"/>
                <w:color w:val="auto"/>
              </w:rPr>
            </w:pPr>
          </w:p>
        </w:tc>
        <w:tc>
          <w:tcPr>
            <w:tcW w:w="1520" w:type="dxa"/>
            <w:vAlign w:val="bottom"/>
            <w:gridSpan w:val="2"/>
          </w:tcPr>
          <w:p>
            <w:pPr>
              <w:jc w:val="right"/>
              <w:ind w:right="60"/>
              <w:spacing w:after="0"/>
              <w:rPr>
                <w:sz w:val="20"/>
                <w:szCs w:val="20"/>
                <w:color w:val="auto"/>
              </w:rPr>
            </w:pPr>
            <w:r>
              <w:rPr>
                <w:rFonts w:ascii="Arial" w:cs="Arial" w:eastAsia="Arial" w:hAnsi="Arial"/>
                <w:sz w:val="13"/>
                <w:szCs w:val="13"/>
                <w:color w:val="auto"/>
              </w:rPr>
              <w:t>(6,906)</w:t>
            </w:r>
          </w:p>
        </w:tc>
      </w:tr>
      <w:tr>
        <w:trPr>
          <w:trHeight w:val="148"/>
        </w:trPr>
        <w:tc>
          <w:tcPr>
            <w:tcW w:w="6300" w:type="dxa"/>
            <w:vAlign w:val="bottom"/>
            <w:gridSpan w:val="2"/>
            <w:shd w:val="clear" w:color="auto" w:fill="CFF0FC"/>
          </w:tcPr>
          <w:p>
            <w:pPr>
              <w:ind w:left="260"/>
              <w:spacing w:after="0"/>
              <w:rPr>
                <w:sz w:val="20"/>
                <w:szCs w:val="20"/>
                <w:color w:val="auto"/>
              </w:rPr>
            </w:pPr>
            <w:r>
              <w:rPr>
                <w:rFonts w:ascii="Arial" w:cs="Arial" w:eastAsia="Arial" w:hAnsi="Arial"/>
                <w:sz w:val="13"/>
                <w:szCs w:val="13"/>
                <w:color w:val="auto"/>
              </w:rPr>
              <w:t>Stock-based compensation</w:t>
            </w:r>
          </w:p>
        </w:tc>
        <w:tc>
          <w:tcPr>
            <w:tcW w:w="520" w:type="dxa"/>
            <w:vAlign w:val="bottom"/>
            <w:shd w:val="clear" w:color="auto" w:fill="CFF0FC"/>
          </w:tcPr>
          <w:p>
            <w:pPr>
              <w:spacing w:after="0"/>
              <w:rPr>
                <w:sz w:val="12"/>
                <w:szCs w:val="12"/>
                <w:color w:val="auto"/>
              </w:rPr>
            </w:pPr>
          </w:p>
        </w:tc>
        <w:tc>
          <w:tcPr>
            <w:tcW w:w="17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3,312</w:t>
            </w:r>
          </w:p>
        </w:tc>
        <w:tc>
          <w:tcPr>
            <w:tcW w:w="300" w:type="dxa"/>
            <w:vAlign w:val="bottom"/>
            <w:shd w:val="clear" w:color="auto" w:fill="CFF0FC"/>
          </w:tcPr>
          <w:p>
            <w:pPr>
              <w:spacing w:after="0"/>
              <w:rPr>
                <w:sz w:val="12"/>
                <w:szCs w:val="12"/>
                <w:color w:val="auto"/>
              </w:rPr>
            </w:pPr>
          </w:p>
        </w:tc>
        <w:tc>
          <w:tcPr>
            <w:tcW w:w="860" w:type="dxa"/>
            <w:vAlign w:val="bottom"/>
            <w:shd w:val="clear" w:color="auto" w:fill="CFF0FC"/>
          </w:tcPr>
          <w:p>
            <w:pPr>
              <w:spacing w:after="0"/>
              <w:rPr>
                <w:sz w:val="12"/>
                <w:szCs w:val="12"/>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3,335</w:t>
            </w:r>
          </w:p>
        </w:tc>
        <w:tc>
          <w:tcPr>
            <w:tcW w:w="100" w:type="dxa"/>
            <w:vAlign w:val="bottom"/>
            <w:shd w:val="clear" w:color="auto" w:fill="CFF0FC"/>
          </w:tcPr>
          <w:p>
            <w:pPr>
              <w:spacing w:after="0"/>
              <w:rPr>
                <w:sz w:val="12"/>
                <w:szCs w:val="12"/>
                <w:color w:val="auto"/>
              </w:rPr>
            </w:pPr>
          </w:p>
        </w:tc>
      </w:tr>
      <w:tr>
        <w:trPr>
          <w:trHeight w:val="149"/>
        </w:trPr>
        <w:tc>
          <w:tcPr>
            <w:tcW w:w="6300" w:type="dxa"/>
            <w:vAlign w:val="bottom"/>
            <w:gridSpan w:val="2"/>
          </w:tcPr>
          <w:p>
            <w:pPr>
              <w:ind w:left="260"/>
              <w:spacing w:after="0"/>
              <w:rPr>
                <w:sz w:val="20"/>
                <w:szCs w:val="20"/>
                <w:color w:val="auto"/>
              </w:rPr>
            </w:pPr>
            <w:r>
              <w:rPr>
                <w:rFonts w:ascii="Arial" w:cs="Arial" w:eastAsia="Arial" w:hAnsi="Arial"/>
                <w:sz w:val="13"/>
                <w:szCs w:val="13"/>
                <w:color w:val="auto"/>
              </w:rPr>
              <w:t>Change in fair value of contingent consideration</w:t>
            </w:r>
          </w:p>
        </w:tc>
        <w:tc>
          <w:tcPr>
            <w:tcW w:w="520" w:type="dxa"/>
            <w:vAlign w:val="bottom"/>
          </w:tcPr>
          <w:p>
            <w:pPr>
              <w:spacing w:after="0"/>
              <w:rPr>
                <w:sz w:val="12"/>
                <w:szCs w:val="12"/>
                <w:color w:val="auto"/>
              </w:rPr>
            </w:pPr>
          </w:p>
        </w:tc>
        <w:tc>
          <w:tcPr>
            <w:tcW w:w="1740" w:type="dxa"/>
            <w:vAlign w:val="bottom"/>
          </w:tcPr>
          <w:p>
            <w:pPr>
              <w:jc w:val="right"/>
              <w:spacing w:after="0"/>
              <w:rPr>
                <w:sz w:val="20"/>
                <w:szCs w:val="20"/>
                <w:color w:val="auto"/>
              </w:rPr>
            </w:pPr>
            <w:r>
              <w:rPr>
                <w:rFonts w:ascii="Arial" w:cs="Arial" w:eastAsia="Arial" w:hAnsi="Arial"/>
                <w:sz w:val="13"/>
                <w:szCs w:val="13"/>
                <w:color w:val="auto"/>
              </w:rPr>
              <w:t>-</w:t>
            </w:r>
          </w:p>
        </w:tc>
        <w:tc>
          <w:tcPr>
            <w:tcW w:w="3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420" w:type="dxa"/>
            <w:vAlign w:val="bottom"/>
          </w:tcPr>
          <w:p>
            <w:pPr>
              <w:jc w:val="right"/>
              <w:spacing w:after="0"/>
              <w:rPr>
                <w:sz w:val="20"/>
                <w:szCs w:val="20"/>
                <w:color w:val="auto"/>
              </w:rPr>
            </w:pPr>
            <w:r>
              <w:rPr>
                <w:rFonts w:ascii="Arial" w:cs="Arial" w:eastAsia="Arial" w:hAnsi="Arial"/>
                <w:sz w:val="13"/>
                <w:szCs w:val="13"/>
                <w:color w:val="auto"/>
              </w:rPr>
              <w:t>21</w:t>
            </w:r>
          </w:p>
        </w:tc>
        <w:tc>
          <w:tcPr>
            <w:tcW w:w="100" w:type="dxa"/>
            <w:vAlign w:val="bottom"/>
          </w:tcPr>
          <w:p>
            <w:pPr>
              <w:spacing w:after="0"/>
              <w:rPr>
                <w:sz w:val="12"/>
                <w:szCs w:val="12"/>
                <w:color w:val="auto"/>
              </w:rPr>
            </w:pPr>
          </w:p>
        </w:tc>
      </w:tr>
      <w:tr>
        <w:trPr>
          <w:trHeight w:val="148"/>
        </w:trPr>
        <w:tc>
          <w:tcPr>
            <w:tcW w:w="6300" w:type="dxa"/>
            <w:vAlign w:val="bottom"/>
            <w:gridSpan w:val="2"/>
            <w:shd w:val="clear" w:color="auto" w:fill="CFF0FC"/>
          </w:tcPr>
          <w:p>
            <w:pPr>
              <w:ind w:left="260"/>
              <w:spacing w:after="0"/>
              <w:rPr>
                <w:sz w:val="20"/>
                <w:szCs w:val="20"/>
                <w:color w:val="auto"/>
              </w:rPr>
            </w:pPr>
            <w:r>
              <w:rPr>
                <w:rFonts w:ascii="Arial" w:cs="Arial" w:eastAsia="Arial" w:hAnsi="Arial"/>
                <w:sz w:val="13"/>
                <w:szCs w:val="13"/>
                <w:color w:val="auto"/>
              </w:rPr>
              <w:t>Loss on asset disposals</w:t>
            </w:r>
          </w:p>
        </w:tc>
        <w:tc>
          <w:tcPr>
            <w:tcW w:w="520" w:type="dxa"/>
            <w:vAlign w:val="bottom"/>
            <w:shd w:val="clear" w:color="auto" w:fill="CFF0FC"/>
          </w:tcPr>
          <w:p>
            <w:pPr>
              <w:spacing w:after="0"/>
              <w:rPr>
                <w:sz w:val="12"/>
                <w:szCs w:val="12"/>
                <w:color w:val="auto"/>
              </w:rPr>
            </w:pPr>
          </w:p>
        </w:tc>
        <w:tc>
          <w:tcPr>
            <w:tcW w:w="17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663</w:t>
            </w:r>
          </w:p>
        </w:tc>
        <w:tc>
          <w:tcPr>
            <w:tcW w:w="300" w:type="dxa"/>
            <w:vAlign w:val="bottom"/>
            <w:shd w:val="clear" w:color="auto" w:fill="CFF0FC"/>
          </w:tcPr>
          <w:p>
            <w:pPr>
              <w:spacing w:after="0"/>
              <w:rPr>
                <w:sz w:val="12"/>
                <w:szCs w:val="12"/>
                <w:color w:val="auto"/>
              </w:rPr>
            </w:pPr>
          </w:p>
        </w:tc>
        <w:tc>
          <w:tcPr>
            <w:tcW w:w="860" w:type="dxa"/>
            <w:vAlign w:val="bottom"/>
            <w:shd w:val="clear" w:color="auto" w:fill="CFF0FC"/>
          </w:tcPr>
          <w:p>
            <w:pPr>
              <w:spacing w:after="0"/>
              <w:rPr>
                <w:sz w:val="12"/>
                <w:szCs w:val="12"/>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134</w:t>
            </w:r>
          </w:p>
        </w:tc>
        <w:tc>
          <w:tcPr>
            <w:tcW w:w="100" w:type="dxa"/>
            <w:vAlign w:val="bottom"/>
            <w:shd w:val="clear" w:color="auto" w:fill="CFF0FC"/>
          </w:tcPr>
          <w:p>
            <w:pPr>
              <w:spacing w:after="0"/>
              <w:rPr>
                <w:sz w:val="12"/>
                <w:szCs w:val="12"/>
                <w:color w:val="auto"/>
              </w:rPr>
            </w:pPr>
          </w:p>
        </w:tc>
      </w:tr>
      <w:tr>
        <w:trPr>
          <w:trHeight w:val="148"/>
        </w:trPr>
        <w:tc>
          <w:tcPr>
            <w:tcW w:w="6300" w:type="dxa"/>
            <w:vAlign w:val="bottom"/>
            <w:gridSpan w:val="2"/>
          </w:tcPr>
          <w:p>
            <w:pPr>
              <w:ind w:left="260"/>
              <w:spacing w:after="0"/>
              <w:rPr>
                <w:sz w:val="20"/>
                <w:szCs w:val="20"/>
                <w:color w:val="auto"/>
              </w:rPr>
            </w:pPr>
            <w:r>
              <w:rPr>
                <w:rFonts w:ascii="Arial" w:cs="Arial" w:eastAsia="Arial" w:hAnsi="Arial"/>
                <w:sz w:val="13"/>
                <w:szCs w:val="13"/>
                <w:color w:val="auto"/>
              </w:rPr>
              <w:t>Accretion of settlement obligation</w:t>
            </w:r>
          </w:p>
        </w:tc>
        <w:tc>
          <w:tcPr>
            <w:tcW w:w="520" w:type="dxa"/>
            <w:vAlign w:val="bottom"/>
          </w:tcPr>
          <w:p>
            <w:pPr>
              <w:spacing w:after="0"/>
              <w:rPr>
                <w:sz w:val="12"/>
                <w:szCs w:val="12"/>
                <w:color w:val="auto"/>
              </w:rPr>
            </w:pPr>
          </w:p>
        </w:tc>
        <w:tc>
          <w:tcPr>
            <w:tcW w:w="1740" w:type="dxa"/>
            <w:vAlign w:val="bottom"/>
          </w:tcPr>
          <w:p>
            <w:pPr>
              <w:jc w:val="right"/>
              <w:spacing w:after="0"/>
              <w:rPr>
                <w:sz w:val="20"/>
                <w:szCs w:val="20"/>
                <w:color w:val="auto"/>
              </w:rPr>
            </w:pPr>
            <w:r>
              <w:rPr>
                <w:rFonts w:ascii="Arial" w:cs="Arial" w:eastAsia="Arial" w:hAnsi="Arial"/>
                <w:sz w:val="13"/>
                <w:szCs w:val="13"/>
                <w:color w:val="auto"/>
              </w:rPr>
              <w:t>2,876</w:t>
            </w:r>
          </w:p>
        </w:tc>
        <w:tc>
          <w:tcPr>
            <w:tcW w:w="3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420" w:type="dxa"/>
            <w:vAlign w:val="bottom"/>
          </w:tcPr>
          <w:p>
            <w:pPr>
              <w:jc w:val="right"/>
              <w:spacing w:after="0"/>
              <w:rPr>
                <w:sz w:val="20"/>
                <w:szCs w:val="20"/>
                <w:color w:val="auto"/>
              </w:rPr>
            </w:pPr>
            <w:r>
              <w:rPr>
                <w:rFonts w:ascii="Arial" w:cs="Arial" w:eastAsia="Arial" w:hAnsi="Arial"/>
                <w:sz w:val="13"/>
                <w:szCs w:val="13"/>
                <w:color w:val="auto"/>
              </w:rPr>
              <w:t>4,553</w:t>
            </w:r>
          </w:p>
        </w:tc>
        <w:tc>
          <w:tcPr>
            <w:tcW w:w="100" w:type="dxa"/>
            <w:vAlign w:val="bottom"/>
          </w:tcPr>
          <w:p>
            <w:pPr>
              <w:spacing w:after="0"/>
              <w:rPr>
                <w:sz w:val="12"/>
                <w:szCs w:val="12"/>
                <w:color w:val="auto"/>
              </w:rPr>
            </w:pPr>
          </w:p>
        </w:tc>
      </w:tr>
      <w:tr>
        <w:trPr>
          <w:trHeight w:val="148"/>
        </w:trPr>
        <w:tc>
          <w:tcPr>
            <w:tcW w:w="6300" w:type="dxa"/>
            <w:vAlign w:val="bottom"/>
            <w:gridSpan w:val="2"/>
            <w:shd w:val="clear" w:color="auto" w:fill="CFF0FC"/>
          </w:tcPr>
          <w:p>
            <w:pPr>
              <w:ind w:left="260"/>
              <w:spacing w:after="0"/>
              <w:rPr>
                <w:sz w:val="20"/>
                <w:szCs w:val="20"/>
                <w:color w:val="auto"/>
              </w:rPr>
            </w:pPr>
            <w:r>
              <w:rPr>
                <w:rFonts w:ascii="Arial" w:cs="Arial" w:eastAsia="Arial" w:hAnsi="Arial"/>
                <w:sz w:val="13"/>
                <w:szCs w:val="13"/>
                <w:color w:val="auto"/>
              </w:rPr>
              <w:t>Other</w:t>
            </w:r>
          </w:p>
        </w:tc>
        <w:tc>
          <w:tcPr>
            <w:tcW w:w="520" w:type="dxa"/>
            <w:vAlign w:val="bottom"/>
            <w:shd w:val="clear" w:color="auto" w:fill="CFF0FC"/>
          </w:tcPr>
          <w:p>
            <w:pPr>
              <w:spacing w:after="0"/>
              <w:rPr>
                <w:sz w:val="12"/>
                <w:szCs w:val="12"/>
                <w:color w:val="auto"/>
              </w:rPr>
            </w:pPr>
          </w:p>
        </w:tc>
        <w:tc>
          <w:tcPr>
            <w:tcW w:w="2040" w:type="dxa"/>
            <w:vAlign w:val="bottom"/>
            <w:gridSpan w:val="2"/>
            <w:shd w:val="clear" w:color="auto" w:fill="CFF0FC"/>
          </w:tcPr>
          <w:p>
            <w:pPr>
              <w:jc w:val="right"/>
              <w:ind w:right="260"/>
              <w:spacing w:after="0"/>
              <w:rPr>
                <w:sz w:val="20"/>
                <w:szCs w:val="20"/>
                <w:color w:val="auto"/>
              </w:rPr>
            </w:pPr>
            <w:r>
              <w:rPr>
                <w:rFonts w:ascii="Arial" w:cs="Arial" w:eastAsia="Arial" w:hAnsi="Arial"/>
                <w:sz w:val="13"/>
                <w:szCs w:val="13"/>
                <w:color w:val="auto"/>
              </w:rPr>
              <w:t>(318)</w:t>
            </w:r>
          </w:p>
        </w:tc>
        <w:tc>
          <w:tcPr>
            <w:tcW w:w="860" w:type="dxa"/>
            <w:vAlign w:val="bottom"/>
            <w:shd w:val="clear" w:color="auto" w:fill="CFF0FC"/>
          </w:tcPr>
          <w:p>
            <w:pPr>
              <w:spacing w:after="0"/>
              <w:rPr>
                <w:sz w:val="12"/>
                <w:szCs w:val="12"/>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181</w:t>
            </w:r>
          </w:p>
        </w:tc>
        <w:tc>
          <w:tcPr>
            <w:tcW w:w="100" w:type="dxa"/>
            <w:vAlign w:val="bottom"/>
            <w:shd w:val="clear" w:color="auto" w:fill="CFF0FC"/>
          </w:tcPr>
          <w:p>
            <w:pPr>
              <w:spacing w:after="0"/>
              <w:rPr>
                <w:sz w:val="12"/>
                <w:szCs w:val="12"/>
                <w:color w:val="auto"/>
              </w:rPr>
            </w:pPr>
          </w:p>
        </w:tc>
      </w:tr>
      <w:tr>
        <w:trPr>
          <w:trHeight w:val="148"/>
        </w:trPr>
        <w:tc>
          <w:tcPr>
            <w:tcW w:w="6300" w:type="dxa"/>
            <w:vAlign w:val="bottom"/>
            <w:gridSpan w:val="2"/>
          </w:tcPr>
          <w:p>
            <w:pPr>
              <w:ind w:left="260"/>
              <w:spacing w:after="0"/>
              <w:rPr>
                <w:sz w:val="20"/>
                <w:szCs w:val="20"/>
                <w:color w:val="auto"/>
              </w:rPr>
            </w:pPr>
            <w:r>
              <w:rPr>
                <w:rFonts w:ascii="Arial" w:cs="Arial" w:eastAsia="Arial" w:hAnsi="Arial"/>
                <w:sz w:val="13"/>
                <w:szCs w:val="13"/>
                <w:color w:val="auto"/>
              </w:rPr>
              <w:t>Changes in assets and liabilities, net of acquisitions:</w:t>
            </w:r>
          </w:p>
        </w:tc>
        <w:tc>
          <w:tcPr>
            <w:tcW w:w="520" w:type="dxa"/>
            <w:vAlign w:val="bottom"/>
          </w:tcPr>
          <w:p>
            <w:pPr>
              <w:spacing w:after="0"/>
              <w:rPr>
                <w:sz w:val="12"/>
                <w:szCs w:val="12"/>
                <w:color w:val="auto"/>
              </w:rPr>
            </w:pPr>
          </w:p>
        </w:tc>
        <w:tc>
          <w:tcPr>
            <w:tcW w:w="1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49"/>
        </w:trPr>
        <w:tc>
          <w:tcPr>
            <w:tcW w:w="6300" w:type="dxa"/>
            <w:vAlign w:val="bottom"/>
            <w:gridSpan w:val="2"/>
            <w:shd w:val="clear" w:color="auto" w:fill="CFF0FC"/>
          </w:tcPr>
          <w:p>
            <w:pPr>
              <w:ind w:left="380"/>
              <w:spacing w:after="0"/>
              <w:rPr>
                <w:sz w:val="20"/>
                <w:szCs w:val="20"/>
                <w:color w:val="auto"/>
              </w:rPr>
            </w:pPr>
            <w:r>
              <w:rPr>
                <w:rFonts w:ascii="Arial" w:cs="Arial" w:eastAsia="Arial" w:hAnsi="Arial"/>
                <w:sz w:val="13"/>
                <w:szCs w:val="13"/>
                <w:color w:val="auto"/>
              </w:rPr>
              <w:t>Accounts receivable</w:t>
            </w:r>
          </w:p>
        </w:tc>
        <w:tc>
          <w:tcPr>
            <w:tcW w:w="520" w:type="dxa"/>
            <w:vAlign w:val="bottom"/>
            <w:shd w:val="clear" w:color="auto" w:fill="CFF0FC"/>
          </w:tcPr>
          <w:p>
            <w:pPr>
              <w:spacing w:after="0"/>
              <w:rPr>
                <w:sz w:val="12"/>
                <w:szCs w:val="12"/>
                <w:color w:val="auto"/>
              </w:rPr>
            </w:pPr>
          </w:p>
        </w:tc>
        <w:tc>
          <w:tcPr>
            <w:tcW w:w="2040" w:type="dxa"/>
            <w:vAlign w:val="bottom"/>
            <w:gridSpan w:val="2"/>
            <w:shd w:val="clear" w:color="auto" w:fill="CFF0FC"/>
          </w:tcPr>
          <w:p>
            <w:pPr>
              <w:jc w:val="right"/>
              <w:ind w:right="260"/>
              <w:spacing w:after="0"/>
              <w:rPr>
                <w:sz w:val="20"/>
                <w:szCs w:val="20"/>
                <w:color w:val="auto"/>
              </w:rPr>
            </w:pPr>
            <w:r>
              <w:rPr>
                <w:rFonts w:ascii="Arial" w:cs="Arial" w:eastAsia="Arial" w:hAnsi="Arial"/>
                <w:sz w:val="13"/>
                <w:szCs w:val="13"/>
                <w:color w:val="auto"/>
              </w:rPr>
              <w:t>(2,814)</w:t>
            </w:r>
          </w:p>
        </w:tc>
        <w:tc>
          <w:tcPr>
            <w:tcW w:w="860" w:type="dxa"/>
            <w:vAlign w:val="bottom"/>
            <w:shd w:val="clear" w:color="auto" w:fill="CFF0FC"/>
          </w:tcPr>
          <w:p>
            <w:pPr>
              <w:spacing w:after="0"/>
              <w:rPr>
                <w:sz w:val="12"/>
                <w:szCs w:val="12"/>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11,466</w:t>
            </w:r>
          </w:p>
        </w:tc>
        <w:tc>
          <w:tcPr>
            <w:tcW w:w="100" w:type="dxa"/>
            <w:vAlign w:val="bottom"/>
            <w:shd w:val="clear" w:color="auto" w:fill="CFF0FC"/>
          </w:tcPr>
          <w:p>
            <w:pPr>
              <w:spacing w:after="0"/>
              <w:rPr>
                <w:sz w:val="12"/>
                <w:szCs w:val="12"/>
                <w:color w:val="auto"/>
              </w:rPr>
            </w:pPr>
          </w:p>
        </w:tc>
      </w:tr>
      <w:tr>
        <w:trPr>
          <w:trHeight w:val="148"/>
        </w:trPr>
        <w:tc>
          <w:tcPr>
            <w:tcW w:w="6300" w:type="dxa"/>
            <w:vAlign w:val="bottom"/>
            <w:gridSpan w:val="2"/>
          </w:tcPr>
          <w:p>
            <w:pPr>
              <w:ind w:left="380"/>
              <w:spacing w:after="0"/>
              <w:rPr>
                <w:sz w:val="20"/>
                <w:szCs w:val="20"/>
                <w:color w:val="auto"/>
              </w:rPr>
            </w:pPr>
            <w:r>
              <w:rPr>
                <w:rFonts w:ascii="Arial" w:cs="Arial" w:eastAsia="Arial" w:hAnsi="Arial"/>
                <w:sz w:val="13"/>
                <w:szCs w:val="13"/>
                <w:color w:val="auto"/>
              </w:rPr>
              <w:t>Other assets</w:t>
            </w:r>
          </w:p>
        </w:tc>
        <w:tc>
          <w:tcPr>
            <w:tcW w:w="520" w:type="dxa"/>
            <w:vAlign w:val="bottom"/>
          </w:tcPr>
          <w:p>
            <w:pPr>
              <w:spacing w:after="0"/>
              <w:rPr>
                <w:sz w:val="12"/>
                <w:szCs w:val="12"/>
                <w:color w:val="auto"/>
              </w:rPr>
            </w:pPr>
          </w:p>
        </w:tc>
        <w:tc>
          <w:tcPr>
            <w:tcW w:w="1740" w:type="dxa"/>
            <w:vAlign w:val="bottom"/>
          </w:tcPr>
          <w:p>
            <w:pPr>
              <w:jc w:val="right"/>
              <w:spacing w:after="0"/>
              <w:rPr>
                <w:sz w:val="20"/>
                <w:szCs w:val="20"/>
                <w:color w:val="auto"/>
              </w:rPr>
            </w:pPr>
            <w:r>
              <w:rPr>
                <w:rFonts w:ascii="Arial" w:cs="Arial" w:eastAsia="Arial" w:hAnsi="Arial"/>
                <w:sz w:val="13"/>
                <w:szCs w:val="13"/>
                <w:color w:val="auto"/>
              </w:rPr>
              <w:t>157</w:t>
            </w:r>
          </w:p>
        </w:tc>
        <w:tc>
          <w:tcPr>
            <w:tcW w:w="3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420" w:type="dxa"/>
            <w:vAlign w:val="bottom"/>
          </w:tcPr>
          <w:p>
            <w:pPr>
              <w:jc w:val="right"/>
              <w:spacing w:after="0"/>
              <w:rPr>
                <w:sz w:val="20"/>
                <w:szCs w:val="20"/>
                <w:color w:val="auto"/>
              </w:rPr>
            </w:pPr>
            <w:r>
              <w:rPr>
                <w:rFonts w:ascii="Arial" w:cs="Arial" w:eastAsia="Arial" w:hAnsi="Arial"/>
                <w:sz w:val="13"/>
                <w:szCs w:val="13"/>
                <w:color w:val="auto"/>
              </w:rPr>
              <w:t>47,630</w:t>
            </w:r>
          </w:p>
        </w:tc>
        <w:tc>
          <w:tcPr>
            <w:tcW w:w="100" w:type="dxa"/>
            <w:vAlign w:val="bottom"/>
          </w:tcPr>
          <w:p>
            <w:pPr>
              <w:spacing w:after="0"/>
              <w:rPr>
                <w:sz w:val="12"/>
                <w:szCs w:val="12"/>
                <w:color w:val="auto"/>
              </w:rPr>
            </w:pPr>
          </w:p>
        </w:tc>
      </w:tr>
      <w:tr>
        <w:trPr>
          <w:trHeight w:val="148"/>
        </w:trPr>
        <w:tc>
          <w:tcPr>
            <w:tcW w:w="6300" w:type="dxa"/>
            <w:vAlign w:val="bottom"/>
            <w:gridSpan w:val="2"/>
            <w:shd w:val="clear" w:color="auto" w:fill="CFF0FC"/>
          </w:tcPr>
          <w:p>
            <w:pPr>
              <w:ind w:left="380"/>
              <w:spacing w:after="0"/>
              <w:rPr>
                <w:sz w:val="20"/>
                <w:szCs w:val="20"/>
                <w:color w:val="auto"/>
              </w:rPr>
            </w:pPr>
            <w:r>
              <w:rPr>
                <w:rFonts w:ascii="Arial" w:cs="Arial" w:eastAsia="Arial" w:hAnsi="Arial"/>
                <w:sz w:val="13"/>
                <w:szCs w:val="13"/>
                <w:color w:val="auto"/>
              </w:rPr>
              <w:t>Accounts payable, accrued expenses and other liabilities</w:t>
            </w:r>
          </w:p>
        </w:tc>
        <w:tc>
          <w:tcPr>
            <w:tcW w:w="520" w:type="dxa"/>
            <w:vAlign w:val="bottom"/>
            <w:shd w:val="clear" w:color="auto" w:fill="CFF0FC"/>
          </w:tcPr>
          <w:p>
            <w:pPr>
              <w:spacing w:after="0"/>
              <w:rPr>
                <w:sz w:val="12"/>
                <w:szCs w:val="12"/>
                <w:color w:val="auto"/>
              </w:rPr>
            </w:pPr>
          </w:p>
        </w:tc>
        <w:tc>
          <w:tcPr>
            <w:tcW w:w="2040" w:type="dxa"/>
            <w:vAlign w:val="bottom"/>
            <w:gridSpan w:val="2"/>
            <w:shd w:val="clear" w:color="auto" w:fill="CFF0FC"/>
          </w:tcPr>
          <w:p>
            <w:pPr>
              <w:jc w:val="right"/>
              <w:ind w:right="260"/>
              <w:spacing w:after="0"/>
              <w:rPr>
                <w:sz w:val="20"/>
                <w:szCs w:val="20"/>
                <w:color w:val="auto"/>
              </w:rPr>
            </w:pPr>
            <w:r>
              <w:rPr>
                <w:rFonts w:ascii="Arial" w:cs="Arial" w:eastAsia="Arial" w:hAnsi="Arial"/>
                <w:sz w:val="13"/>
                <w:szCs w:val="13"/>
                <w:color w:val="auto"/>
              </w:rPr>
              <w:t>(54,920)</w:t>
            </w:r>
          </w:p>
        </w:tc>
        <w:tc>
          <w:tcPr>
            <w:tcW w:w="860" w:type="dxa"/>
            <w:vAlign w:val="bottom"/>
            <w:shd w:val="clear" w:color="auto" w:fill="CFF0FC"/>
          </w:tcPr>
          <w:p>
            <w:pPr>
              <w:spacing w:after="0"/>
              <w:rPr>
                <w:sz w:val="12"/>
                <w:szCs w:val="12"/>
                <w:color w:val="auto"/>
              </w:rPr>
            </w:pPr>
          </w:p>
        </w:tc>
        <w:tc>
          <w:tcPr>
            <w:tcW w:w="1520" w:type="dxa"/>
            <w:vAlign w:val="bottom"/>
            <w:gridSpan w:val="2"/>
            <w:shd w:val="clear" w:color="auto" w:fill="CFF0FC"/>
          </w:tcPr>
          <w:p>
            <w:pPr>
              <w:jc w:val="right"/>
              <w:ind w:right="60"/>
              <w:spacing w:after="0"/>
              <w:rPr>
                <w:sz w:val="20"/>
                <w:szCs w:val="20"/>
                <w:color w:val="auto"/>
              </w:rPr>
            </w:pPr>
            <w:r>
              <w:rPr>
                <w:rFonts w:ascii="Arial" w:cs="Arial" w:eastAsia="Arial" w:hAnsi="Arial"/>
                <w:sz w:val="13"/>
                <w:szCs w:val="13"/>
                <w:color w:val="auto"/>
              </w:rPr>
              <w:t>(40,110)</w:t>
            </w:r>
          </w:p>
        </w:tc>
      </w:tr>
      <w:tr>
        <w:trPr>
          <w:trHeight w:val="142"/>
        </w:trPr>
        <w:tc>
          <w:tcPr>
            <w:tcW w:w="6300" w:type="dxa"/>
            <w:vAlign w:val="bottom"/>
            <w:gridSpan w:val="2"/>
          </w:tcPr>
          <w:p>
            <w:pPr>
              <w:spacing w:after="0" w:line="142" w:lineRule="exact"/>
              <w:rPr>
                <w:sz w:val="20"/>
                <w:szCs w:val="20"/>
                <w:color w:val="auto"/>
              </w:rPr>
            </w:pPr>
            <w:r>
              <w:rPr>
                <w:rFonts w:ascii="Arial" w:cs="Arial" w:eastAsia="Arial" w:hAnsi="Arial"/>
                <w:sz w:val="13"/>
                <w:szCs w:val="13"/>
                <w:color w:val="auto"/>
              </w:rPr>
              <w:t>Net cash provided by operating activities</w:t>
            </w:r>
          </w:p>
        </w:tc>
        <w:tc>
          <w:tcPr>
            <w:tcW w:w="520" w:type="dxa"/>
            <w:vAlign w:val="bottom"/>
            <w:tcBorders>
              <w:top w:val="single" w:sz="8" w:color="auto"/>
            </w:tcBorders>
          </w:tcPr>
          <w:p>
            <w:pPr>
              <w:spacing w:after="0"/>
              <w:rPr>
                <w:sz w:val="12"/>
                <w:szCs w:val="12"/>
                <w:color w:val="auto"/>
              </w:rPr>
            </w:pPr>
          </w:p>
        </w:tc>
        <w:tc>
          <w:tcPr>
            <w:tcW w:w="17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3"/>
                <w:szCs w:val="13"/>
                <w:color w:val="auto"/>
              </w:rPr>
              <w:t>63,221</w:t>
            </w:r>
          </w:p>
        </w:tc>
        <w:tc>
          <w:tcPr>
            <w:tcW w:w="300" w:type="dxa"/>
            <w:vAlign w:val="bottom"/>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14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3"/>
                <w:szCs w:val="13"/>
                <w:color w:val="auto"/>
              </w:rPr>
              <w:t>126,664</w:t>
            </w:r>
          </w:p>
        </w:tc>
        <w:tc>
          <w:tcPr>
            <w:tcW w:w="100" w:type="dxa"/>
            <w:vAlign w:val="bottom"/>
          </w:tcPr>
          <w:p>
            <w:pPr>
              <w:spacing w:after="0"/>
              <w:rPr>
                <w:sz w:val="12"/>
                <w:szCs w:val="12"/>
                <w:color w:val="auto"/>
              </w:rPr>
            </w:pPr>
          </w:p>
        </w:tc>
      </w:tr>
      <w:tr>
        <w:trPr>
          <w:trHeight w:val="148"/>
        </w:trPr>
        <w:tc>
          <w:tcPr>
            <w:tcW w:w="6300" w:type="dxa"/>
            <w:vAlign w:val="bottom"/>
            <w:gridSpan w:val="2"/>
            <w:shd w:val="clear" w:color="auto" w:fill="CFF0FC"/>
          </w:tcPr>
          <w:p>
            <w:pPr>
              <w:spacing w:after="0"/>
              <w:rPr>
                <w:sz w:val="20"/>
                <w:szCs w:val="20"/>
                <w:color w:val="auto"/>
              </w:rPr>
            </w:pPr>
            <w:r>
              <w:rPr>
                <w:rFonts w:ascii="Arial" w:cs="Arial" w:eastAsia="Arial" w:hAnsi="Arial"/>
                <w:sz w:val="13"/>
                <w:szCs w:val="13"/>
                <w:b w:val="1"/>
                <w:bCs w:val="1"/>
                <w:color w:val="auto"/>
              </w:rPr>
              <w:t>Cash flow from investing activities</w:t>
            </w:r>
          </w:p>
        </w:tc>
        <w:tc>
          <w:tcPr>
            <w:tcW w:w="520" w:type="dxa"/>
            <w:vAlign w:val="bottom"/>
            <w:shd w:val="clear" w:color="auto" w:fill="CFF0FC"/>
          </w:tcPr>
          <w:p>
            <w:pPr>
              <w:spacing w:after="0"/>
              <w:rPr>
                <w:sz w:val="12"/>
                <w:szCs w:val="12"/>
                <w:color w:val="auto"/>
              </w:rPr>
            </w:pPr>
          </w:p>
        </w:tc>
        <w:tc>
          <w:tcPr>
            <w:tcW w:w="174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860" w:type="dxa"/>
            <w:vAlign w:val="bottom"/>
            <w:shd w:val="clear" w:color="auto" w:fill="CFF0FC"/>
          </w:tcPr>
          <w:p>
            <w:pPr>
              <w:spacing w:after="0"/>
              <w:rPr>
                <w:sz w:val="12"/>
                <w:szCs w:val="12"/>
                <w:color w:val="auto"/>
              </w:rPr>
            </w:pPr>
          </w:p>
        </w:tc>
        <w:tc>
          <w:tcPr>
            <w:tcW w:w="14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r>
      <w:tr>
        <w:trPr>
          <w:trHeight w:val="149"/>
        </w:trPr>
        <w:tc>
          <w:tcPr>
            <w:tcW w:w="6300" w:type="dxa"/>
            <w:vAlign w:val="bottom"/>
            <w:gridSpan w:val="2"/>
          </w:tcPr>
          <w:p>
            <w:pPr>
              <w:ind w:left="260"/>
              <w:spacing w:after="0"/>
              <w:rPr>
                <w:sz w:val="20"/>
                <w:szCs w:val="20"/>
                <w:color w:val="auto"/>
              </w:rPr>
            </w:pPr>
            <w:r>
              <w:rPr>
                <w:rFonts w:ascii="Arial" w:cs="Arial" w:eastAsia="Arial" w:hAnsi="Arial"/>
                <w:sz w:val="13"/>
                <w:szCs w:val="13"/>
                <w:color w:val="auto"/>
              </w:rPr>
              <w:t>Other capital expenditures</w:t>
            </w:r>
          </w:p>
        </w:tc>
        <w:tc>
          <w:tcPr>
            <w:tcW w:w="520" w:type="dxa"/>
            <w:vAlign w:val="bottom"/>
          </w:tcPr>
          <w:p>
            <w:pPr>
              <w:spacing w:after="0"/>
              <w:rPr>
                <w:sz w:val="12"/>
                <w:szCs w:val="12"/>
                <w:color w:val="auto"/>
              </w:rPr>
            </w:pPr>
          </w:p>
        </w:tc>
        <w:tc>
          <w:tcPr>
            <w:tcW w:w="2040" w:type="dxa"/>
            <w:vAlign w:val="bottom"/>
            <w:gridSpan w:val="2"/>
          </w:tcPr>
          <w:p>
            <w:pPr>
              <w:jc w:val="right"/>
              <w:ind w:right="260"/>
              <w:spacing w:after="0"/>
              <w:rPr>
                <w:sz w:val="20"/>
                <w:szCs w:val="20"/>
                <w:color w:val="auto"/>
              </w:rPr>
            </w:pPr>
            <w:r>
              <w:rPr>
                <w:rFonts w:ascii="Arial" w:cs="Arial" w:eastAsia="Arial" w:hAnsi="Arial"/>
                <w:sz w:val="13"/>
                <w:szCs w:val="13"/>
                <w:color w:val="auto"/>
              </w:rPr>
              <w:t>(94,728)</w:t>
            </w:r>
          </w:p>
        </w:tc>
        <w:tc>
          <w:tcPr>
            <w:tcW w:w="860" w:type="dxa"/>
            <w:vAlign w:val="bottom"/>
          </w:tcPr>
          <w:p>
            <w:pPr>
              <w:spacing w:after="0"/>
              <w:rPr>
                <w:sz w:val="12"/>
                <w:szCs w:val="12"/>
                <w:color w:val="auto"/>
              </w:rPr>
            </w:pPr>
          </w:p>
        </w:tc>
        <w:tc>
          <w:tcPr>
            <w:tcW w:w="1520" w:type="dxa"/>
            <w:vAlign w:val="bottom"/>
            <w:gridSpan w:val="2"/>
          </w:tcPr>
          <w:p>
            <w:pPr>
              <w:jc w:val="right"/>
              <w:ind w:right="60"/>
              <w:spacing w:after="0"/>
              <w:rPr>
                <w:sz w:val="20"/>
                <w:szCs w:val="20"/>
                <w:color w:val="auto"/>
              </w:rPr>
            </w:pPr>
            <w:r>
              <w:rPr>
                <w:rFonts w:ascii="Arial" w:cs="Arial" w:eastAsia="Arial" w:hAnsi="Arial"/>
                <w:sz w:val="13"/>
                <w:szCs w:val="13"/>
                <w:color w:val="auto"/>
              </w:rPr>
              <w:t>(84,377)</w:t>
            </w:r>
          </w:p>
        </w:tc>
      </w:tr>
      <w:tr>
        <w:trPr>
          <w:trHeight w:val="148"/>
        </w:trPr>
        <w:tc>
          <w:tcPr>
            <w:tcW w:w="6300" w:type="dxa"/>
            <w:vAlign w:val="bottom"/>
            <w:gridSpan w:val="2"/>
            <w:shd w:val="clear" w:color="auto" w:fill="CFF0FC"/>
          </w:tcPr>
          <w:p>
            <w:pPr>
              <w:ind w:left="260"/>
              <w:spacing w:after="0"/>
              <w:rPr>
                <w:sz w:val="20"/>
                <w:szCs w:val="20"/>
                <w:color w:val="auto"/>
              </w:rPr>
            </w:pPr>
            <w:r>
              <w:rPr>
                <w:rFonts w:ascii="Arial" w:cs="Arial" w:eastAsia="Arial" w:hAnsi="Arial"/>
                <w:sz w:val="13"/>
                <w:szCs w:val="13"/>
                <w:color w:val="auto"/>
              </w:rPr>
              <w:t>Proceeds from sale of other equipment</w:t>
            </w:r>
          </w:p>
        </w:tc>
        <w:tc>
          <w:tcPr>
            <w:tcW w:w="520" w:type="dxa"/>
            <w:vAlign w:val="bottom"/>
            <w:tcBorders>
              <w:bottom w:val="single" w:sz="8" w:color="auto"/>
            </w:tcBorders>
            <w:shd w:val="clear" w:color="auto" w:fill="CFF0FC"/>
          </w:tcPr>
          <w:p>
            <w:pPr>
              <w:spacing w:after="0"/>
              <w:rPr>
                <w:sz w:val="12"/>
                <w:szCs w:val="12"/>
                <w:color w:val="auto"/>
              </w:rPr>
            </w:pPr>
          </w:p>
        </w:tc>
        <w:tc>
          <w:tcPr>
            <w:tcW w:w="17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3"/>
                <w:szCs w:val="13"/>
                <w:color w:val="auto"/>
              </w:rPr>
              <w:t>379</w:t>
            </w:r>
          </w:p>
        </w:tc>
        <w:tc>
          <w:tcPr>
            <w:tcW w:w="300" w:type="dxa"/>
            <w:vAlign w:val="bottom"/>
            <w:shd w:val="clear" w:color="auto" w:fill="CFF0FC"/>
          </w:tcPr>
          <w:p>
            <w:pPr>
              <w:spacing w:after="0"/>
              <w:rPr>
                <w:sz w:val="12"/>
                <w:szCs w:val="12"/>
                <w:color w:val="auto"/>
              </w:rPr>
            </w:pPr>
          </w:p>
        </w:tc>
        <w:tc>
          <w:tcPr>
            <w:tcW w:w="860" w:type="dxa"/>
            <w:vAlign w:val="bottom"/>
            <w:tcBorders>
              <w:bottom w:val="single" w:sz="8" w:color="auto"/>
            </w:tcBorders>
            <w:shd w:val="clear" w:color="auto" w:fill="CFF0FC"/>
          </w:tcPr>
          <w:p>
            <w:pPr>
              <w:spacing w:after="0"/>
              <w:rPr>
                <w:sz w:val="12"/>
                <w:szCs w:val="12"/>
                <w:color w:val="auto"/>
              </w:rPr>
            </w:pPr>
          </w:p>
        </w:tc>
        <w:tc>
          <w:tcPr>
            <w:tcW w:w="14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2"/>
                <w:szCs w:val="12"/>
                <w:color w:val="auto"/>
              </w:rPr>
            </w:pPr>
          </w:p>
        </w:tc>
      </w:tr>
      <w:tr>
        <w:trPr>
          <w:trHeight w:val="142"/>
        </w:trPr>
        <w:tc>
          <w:tcPr>
            <w:tcW w:w="6300" w:type="dxa"/>
            <w:vAlign w:val="bottom"/>
            <w:gridSpan w:val="2"/>
          </w:tcPr>
          <w:p>
            <w:pPr>
              <w:spacing w:after="0" w:line="142" w:lineRule="exact"/>
              <w:rPr>
                <w:sz w:val="20"/>
                <w:szCs w:val="20"/>
                <w:color w:val="auto"/>
              </w:rPr>
            </w:pPr>
            <w:r>
              <w:rPr>
                <w:rFonts w:ascii="Arial" w:cs="Arial" w:eastAsia="Arial" w:hAnsi="Arial"/>
                <w:sz w:val="13"/>
                <w:szCs w:val="13"/>
                <w:color w:val="auto"/>
              </w:rPr>
              <w:t>Net cash used in investing activities</w:t>
            </w:r>
          </w:p>
        </w:tc>
        <w:tc>
          <w:tcPr>
            <w:tcW w:w="520" w:type="dxa"/>
            <w:vAlign w:val="bottom"/>
          </w:tcPr>
          <w:p>
            <w:pPr>
              <w:spacing w:after="0"/>
              <w:rPr>
                <w:sz w:val="12"/>
                <w:szCs w:val="12"/>
                <w:color w:val="auto"/>
              </w:rPr>
            </w:pPr>
          </w:p>
        </w:tc>
        <w:tc>
          <w:tcPr>
            <w:tcW w:w="1740" w:type="dxa"/>
            <w:vAlign w:val="bottom"/>
          </w:tcPr>
          <w:p>
            <w:pPr>
              <w:jc w:val="right"/>
              <w:spacing w:after="0" w:line="142" w:lineRule="exact"/>
              <w:rPr>
                <w:sz w:val="20"/>
                <w:szCs w:val="20"/>
                <w:color w:val="auto"/>
              </w:rPr>
            </w:pPr>
            <w:r>
              <w:rPr>
                <w:rFonts w:ascii="Arial" w:cs="Arial" w:eastAsia="Arial" w:hAnsi="Arial"/>
                <w:sz w:val="13"/>
                <w:szCs w:val="13"/>
                <w:color w:val="auto"/>
              </w:rPr>
              <w:t>(94,349)</w:t>
            </w:r>
          </w:p>
        </w:tc>
        <w:tc>
          <w:tcPr>
            <w:tcW w:w="3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420" w:type="dxa"/>
            <w:vAlign w:val="bottom"/>
          </w:tcPr>
          <w:p>
            <w:pPr>
              <w:jc w:val="right"/>
              <w:spacing w:after="0" w:line="142" w:lineRule="exact"/>
              <w:rPr>
                <w:sz w:val="20"/>
                <w:szCs w:val="20"/>
                <w:color w:val="auto"/>
              </w:rPr>
            </w:pPr>
            <w:r>
              <w:rPr>
                <w:rFonts w:ascii="Arial" w:cs="Arial" w:eastAsia="Arial" w:hAnsi="Arial"/>
                <w:sz w:val="13"/>
                <w:szCs w:val="13"/>
                <w:color w:val="auto"/>
              </w:rPr>
              <w:t>(84,377)</w:t>
            </w:r>
          </w:p>
        </w:tc>
        <w:tc>
          <w:tcPr>
            <w:tcW w:w="100" w:type="dxa"/>
            <w:vAlign w:val="bottom"/>
          </w:tcPr>
          <w:p>
            <w:pPr>
              <w:spacing w:after="0"/>
              <w:rPr>
                <w:sz w:val="12"/>
                <w:szCs w:val="12"/>
                <w:color w:val="auto"/>
              </w:rPr>
            </w:pPr>
          </w:p>
        </w:tc>
      </w:tr>
      <w:tr>
        <w:trPr>
          <w:trHeight w:val="148"/>
        </w:trPr>
        <w:tc>
          <w:tcPr>
            <w:tcW w:w="6300" w:type="dxa"/>
            <w:vAlign w:val="bottom"/>
            <w:gridSpan w:val="2"/>
            <w:shd w:val="clear" w:color="auto" w:fill="CFF0FC"/>
          </w:tcPr>
          <w:p>
            <w:pPr>
              <w:spacing w:after="0"/>
              <w:rPr>
                <w:sz w:val="20"/>
                <w:szCs w:val="20"/>
                <w:color w:val="auto"/>
              </w:rPr>
            </w:pPr>
            <w:r>
              <w:rPr>
                <w:rFonts w:ascii="Arial" w:cs="Arial" w:eastAsia="Arial" w:hAnsi="Arial"/>
                <w:sz w:val="13"/>
                <w:szCs w:val="13"/>
                <w:b w:val="1"/>
                <w:bCs w:val="1"/>
                <w:color w:val="auto"/>
              </w:rPr>
              <w:t>Cash flow from financing activities</w:t>
            </w:r>
          </w:p>
        </w:tc>
        <w:tc>
          <w:tcPr>
            <w:tcW w:w="520" w:type="dxa"/>
            <w:vAlign w:val="bottom"/>
            <w:shd w:val="clear" w:color="auto" w:fill="CFF0FC"/>
          </w:tcPr>
          <w:p>
            <w:pPr>
              <w:spacing w:after="0"/>
              <w:rPr>
                <w:sz w:val="12"/>
                <w:szCs w:val="12"/>
                <w:color w:val="auto"/>
              </w:rPr>
            </w:pPr>
          </w:p>
        </w:tc>
        <w:tc>
          <w:tcPr>
            <w:tcW w:w="174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860" w:type="dxa"/>
            <w:vAlign w:val="bottom"/>
            <w:shd w:val="clear" w:color="auto" w:fill="CFF0FC"/>
          </w:tcPr>
          <w:p>
            <w:pPr>
              <w:spacing w:after="0"/>
              <w:rPr>
                <w:sz w:val="12"/>
                <w:szCs w:val="12"/>
                <w:color w:val="auto"/>
              </w:rPr>
            </w:pPr>
          </w:p>
        </w:tc>
        <w:tc>
          <w:tcPr>
            <w:tcW w:w="14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r>
      <w:tr>
        <w:trPr>
          <w:trHeight w:val="149"/>
        </w:trPr>
        <w:tc>
          <w:tcPr>
            <w:tcW w:w="6300" w:type="dxa"/>
            <w:vAlign w:val="bottom"/>
            <w:gridSpan w:val="2"/>
          </w:tcPr>
          <w:p>
            <w:pPr>
              <w:ind w:left="260"/>
              <w:spacing w:after="0"/>
              <w:rPr>
                <w:sz w:val="20"/>
                <w:szCs w:val="20"/>
                <w:color w:val="auto"/>
              </w:rPr>
            </w:pPr>
            <w:r>
              <w:rPr>
                <w:rFonts w:ascii="Arial" w:cs="Arial" w:eastAsia="Arial" w:hAnsi="Arial"/>
                <w:sz w:val="13"/>
                <w:szCs w:val="13"/>
                <w:color w:val="auto"/>
              </w:rPr>
              <w:t>Repayment of debt</w:t>
            </w:r>
          </w:p>
        </w:tc>
        <w:tc>
          <w:tcPr>
            <w:tcW w:w="520" w:type="dxa"/>
            <w:vAlign w:val="bottom"/>
          </w:tcPr>
          <w:p>
            <w:pPr>
              <w:spacing w:after="0"/>
              <w:rPr>
                <w:sz w:val="12"/>
                <w:szCs w:val="12"/>
                <w:color w:val="auto"/>
              </w:rPr>
            </w:pPr>
          </w:p>
        </w:tc>
        <w:tc>
          <w:tcPr>
            <w:tcW w:w="1740" w:type="dxa"/>
            <w:vAlign w:val="bottom"/>
          </w:tcPr>
          <w:p>
            <w:pPr>
              <w:jc w:val="right"/>
              <w:spacing w:after="0"/>
              <w:rPr>
                <w:sz w:val="20"/>
                <w:szCs w:val="20"/>
                <w:color w:val="auto"/>
              </w:rPr>
            </w:pPr>
            <w:r>
              <w:rPr>
                <w:rFonts w:ascii="Arial" w:cs="Arial" w:eastAsia="Arial" w:hAnsi="Arial"/>
                <w:sz w:val="13"/>
                <w:szCs w:val="13"/>
                <w:color w:val="auto"/>
              </w:rPr>
              <w:t>-</w:t>
            </w:r>
          </w:p>
        </w:tc>
        <w:tc>
          <w:tcPr>
            <w:tcW w:w="3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520" w:type="dxa"/>
            <w:vAlign w:val="bottom"/>
            <w:gridSpan w:val="2"/>
          </w:tcPr>
          <w:p>
            <w:pPr>
              <w:jc w:val="right"/>
              <w:ind w:right="60"/>
              <w:spacing w:after="0"/>
              <w:rPr>
                <w:sz w:val="20"/>
                <w:szCs w:val="20"/>
                <w:color w:val="auto"/>
              </w:rPr>
            </w:pPr>
            <w:r>
              <w:rPr>
                <w:rFonts w:ascii="Arial" w:cs="Arial" w:eastAsia="Arial" w:hAnsi="Arial"/>
                <w:sz w:val="13"/>
                <w:szCs w:val="13"/>
                <w:color w:val="auto"/>
              </w:rPr>
              <w:t>(1,051,181)</w:t>
            </w:r>
          </w:p>
        </w:tc>
      </w:tr>
      <w:tr>
        <w:trPr>
          <w:trHeight w:val="148"/>
        </w:trPr>
        <w:tc>
          <w:tcPr>
            <w:tcW w:w="6300" w:type="dxa"/>
            <w:vAlign w:val="bottom"/>
            <w:gridSpan w:val="2"/>
            <w:shd w:val="clear" w:color="auto" w:fill="CFF0FC"/>
          </w:tcPr>
          <w:p>
            <w:pPr>
              <w:ind w:left="260"/>
              <w:spacing w:after="0"/>
              <w:rPr>
                <w:sz w:val="20"/>
                <w:szCs w:val="20"/>
                <w:color w:val="auto"/>
              </w:rPr>
            </w:pPr>
            <w:r>
              <w:rPr>
                <w:rFonts w:ascii="Arial" w:cs="Arial" w:eastAsia="Arial" w:hAnsi="Arial"/>
                <w:sz w:val="13"/>
                <w:szCs w:val="13"/>
                <w:color w:val="auto"/>
              </w:rPr>
              <w:t>Proceeds from issuance of notes</w:t>
            </w:r>
          </w:p>
        </w:tc>
        <w:tc>
          <w:tcPr>
            <w:tcW w:w="520" w:type="dxa"/>
            <w:vAlign w:val="bottom"/>
            <w:shd w:val="clear" w:color="auto" w:fill="CFF0FC"/>
          </w:tcPr>
          <w:p>
            <w:pPr>
              <w:spacing w:after="0"/>
              <w:rPr>
                <w:sz w:val="12"/>
                <w:szCs w:val="12"/>
                <w:color w:val="auto"/>
              </w:rPr>
            </w:pPr>
          </w:p>
        </w:tc>
        <w:tc>
          <w:tcPr>
            <w:tcW w:w="17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300" w:type="dxa"/>
            <w:vAlign w:val="bottom"/>
            <w:shd w:val="clear" w:color="auto" w:fill="CFF0FC"/>
          </w:tcPr>
          <w:p>
            <w:pPr>
              <w:spacing w:after="0"/>
              <w:rPr>
                <w:sz w:val="12"/>
                <w:szCs w:val="12"/>
                <w:color w:val="auto"/>
              </w:rPr>
            </w:pPr>
          </w:p>
        </w:tc>
        <w:tc>
          <w:tcPr>
            <w:tcW w:w="860" w:type="dxa"/>
            <w:vAlign w:val="bottom"/>
            <w:shd w:val="clear" w:color="auto" w:fill="CFF0FC"/>
          </w:tcPr>
          <w:p>
            <w:pPr>
              <w:spacing w:after="0"/>
              <w:rPr>
                <w:sz w:val="12"/>
                <w:szCs w:val="12"/>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1,110,000</w:t>
            </w:r>
          </w:p>
        </w:tc>
        <w:tc>
          <w:tcPr>
            <w:tcW w:w="100" w:type="dxa"/>
            <w:vAlign w:val="bottom"/>
            <w:shd w:val="clear" w:color="auto" w:fill="CFF0FC"/>
          </w:tcPr>
          <w:p>
            <w:pPr>
              <w:spacing w:after="0"/>
              <w:rPr>
                <w:sz w:val="12"/>
                <w:szCs w:val="12"/>
                <w:color w:val="auto"/>
              </w:rPr>
            </w:pPr>
          </w:p>
        </w:tc>
      </w:tr>
      <w:tr>
        <w:trPr>
          <w:trHeight w:val="148"/>
        </w:trPr>
        <w:tc>
          <w:tcPr>
            <w:tcW w:w="6300" w:type="dxa"/>
            <w:vAlign w:val="bottom"/>
            <w:gridSpan w:val="2"/>
          </w:tcPr>
          <w:p>
            <w:pPr>
              <w:ind w:left="260"/>
              <w:spacing w:after="0"/>
              <w:rPr>
                <w:sz w:val="20"/>
                <w:szCs w:val="20"/>
                <w:color w:val="auto"/>
              </w:rPr>
            </w:pPr>
            <w:r>
              <w:rPr>
                <w:rFonts w:ascii="Arial" w:cs="Arial" w:eastAsia="Arial" w:hAnsi="Arial"/>
                <w:sz w:val="13"/>
                <w:szCs w:val="13"/>
                <w:color w:val="auto"/>
              </w:rPr>
              <w:t>Dividends paid</w:t>
            </w:r>
          </w:p>
        </w:tc>
        <w:tc>
          <w:tcPr>
            <w:tcW w:w="520" w:type="dxa"/>
            <w:vAlign w:val="bottom"/>
          </w:tcPr>
          <w:p>
            <w:pPr>
              <w:spacing w:after="0"/>
              <w:rPr>
                <w:sz w:val="12"/>
                <w:szCs w:val="12"/>
                <w:color w:val="auto"/>
              </w:rPr>
            </w:pPr>
          </w:p>
        </w:tc>
        <w:tc>
          <w:tcPr>
            <w:tcW w:w="2040" w:type="dxa"/>
            <w:vAlign w:val="bottom"/>
            <w:gridSpan w:val="2"/>
          </w:tcPr>
          <w:p>
            <w:pPr>
              <w:jc w:val="right"/>
              <w:ind w:right="260"/>
              <w:spacing w:after="0"/>
              <w:rPr>
                <w:sz w:val="20"/>
                <w:szCs w:val="20"/>
                <w:color w:val="auto"/>
              </w:rPr>
            </w:pPr>
            <w:r>
              <w:rPr>
                <w:rFonts w:ascii="Arial" w:cs="Arial" w:eastAsia="Arial" w:hAnsi="Arial"/>
                <w:sz w:val="13"/>
                <w:szCs w:val="13"/>
                <w:color w:val="auto"/>
              </w:rPr>
              <w:t>(105)</w:t>
            </w:r>
          </w:p>
        </w:tc>
        <w:tc>
          <w:tcPr>
            <w:tcW w:w="860" w:type="dxa"/>
            <w:vAlign w:val="bottom"/>
          </w:tcPr>
          <w:p>
            <w:pPr>
              <w:spacing w:after="0"/>
              <w:rPr>
                <w:sz w:val="12"/>
                <w:szCs w:val="12"/>
                <w:color w:val="auto"/>
              </w:rPr>
            </w:pPr>
          </w:p>
        </w:tc>
        <w:tc>
          <w:tcPr>
            <w:tcW w:w="1520" w:type="dxa"/>
            <w:vAlign w:val="bottom"/>
            <w:gridSpan w:val="2"/>
          </w:tcPr>
          <w:p>
            <w:pPr>
              <w:jc w:val="right"/>
              <w:ind w:right="60"/>
              <w:spacing w:after="0"/>
              <w:rPr>
                <w:sz w:val="20"/>
                <w:szCs w:val="20"/>
                <w:color w:val="auto"/>
              </w:rPr>
            </w:pPr>
            <w:r>
              <w:rPr>
                <w:rFonts w:ascii="Arial" w:cs="Arial" w:eastAsia="Arial" w:hAnsi="Arial"/>
                <w:sz w:val="13"/>
                <w:szCs w:val="13"/>
                <w:color w:val="auto"/>
              </w:rPr>
              <w:t>(34,961)</w:t>
            </w:r>
          </w:p>
        </w:tc>
      </w:tr>
      <w:tr>
        <w:trPr>
          <w:trHeight w:val="148"/>
        </w:trPr>
        <w:tc>
          <w:tcPr>
            <w:tcW w:w="6300" w:type="dxa"/>
            <w:vAlign w:val="bottom"/>
            <w:gridSpan w:val="2"/>
            <w:shd w:val="clear" w:color="auto" w:fill="CFF0FC"/>
          </w:tcPr>
          <w:p>
            <w:pPr>
              <w:ind w:left="260"/>
              <w:spacing w:after="0"/>
              <w:rPr>
                <w:sz w:val="20"/>
                <w:szCs w:val="20"/>
                <w:color w:val="auto"/>
              </w:rPr>
            </w:pPr>
            <w:r>
              <w:rPr>
                <w:rFonts w:ascii="Arial" w:cs="Arial" w:eastAsia="Arial" w:hAnsi="Arial"/>
                <w:sz w:val="13"/>
                <w:szCs w:val="13"/>
                <w:color w:val="auto"/>
              </w:rPr>
              <w:t>Payments of settlement payable</w:t>
            </w:r>
          </w:p>
        </w:tc>
        <w:tc>
          <w:tcPr>
            <w:tcW w:w="520" w:type="dxa"/>
            <w:vAlign w:val="bottom"/>
            <w:shd w:val="clear" w:color="auto" w:fill="CFF0FC"/>
          </w:tcPr>
          <w:p>
            <w:pPr>
              <w:spacing w:after="0"/>
              <w:rPr>
                <w:sz w:val="12"/>
                <w:szCs w:val="12"/>
                <w:color w:val="auto"/>
              </w:rPr>
            </w:pPr>
          </w:p>
        </w:tc>
        <w:tc>
          <w:tcPr>
            <w:tcW w:w="17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300" w:type="dxa"/>
            <w:vAlign w:val="bottom"/>
            <w:shd w:val="clear" w:color="auto" w:fill="CFF0FC"/>
          </w:tcPr>
          <w:p>
            <w:pPr>
              <w:spacing w:after="0"/>
              <w:rPr>
                <w:sz w:val="12"/>
                <w:szCs w:val="12"/>
                <w:color w:val="auto"/>
              </w:rPr>
            </w:pPr>
          </w:p>
        </w:tc>
        <w:tc>
          <w:tcPr>
            <w:tcW w:w="860" w:type="dxa"/>
            <w:vAlign w:val="bottom"/>
            <w:shd w:val="clear" w:color="auto" w:fill="CFF0FC"/>
          </w:tcPr>
          <w:p>
            <w:pPr>
              <w:spacing w:after="0"/>
              <w:rPr>
                <w:sz w:val="12"/>
                <w:szCs w:val="12"/>
                <w:color w:val="auto"/>
              </w:rPr>
            </w:pPr>
          </w:p>
        </w:tc>
        <w:tc>
          <w:tcPr>
            <w:tcW w:w="1520" w:type="dxa"/>
            <w:vAlign w:val="bottom"/>
            <w:gridSpan w:val="2"/>
            <w:shd w:val="clear" w:color="auto" w:fill="CFF0FC"/>
          </w:tcPr>
          <w:p>
            <w:pPr>
              <w:jc w:val="right"/>
              <w:ind w:right="60"/>
              <w:spacing w:after="0"/>
              <w:rPr>
                <w:sz w:val="20"/>
                <w:szCs w:val="20"/>
                <w:color w:val="auto"/>
              </w:rPr>
            </w:pPr>
            <w:r>
              <w:rPr>
                <w:rFonts w:ascii="Arial" w:cs="Arial" w:eastAsia="Arial" w:hAnsi="Arial"/>
                <w:sz w:val="13"/>
                <w:szCs w:val="13"/>
                <w:color w:val="auto"/>
              </w:rPr>
              <w:t>(24,505)</w:t>
            </w:r>
          </w:p>
        </w:tc>
      </w:tr>
      <w:tr>
        <w:trPr>
          <w:trHeight w:val="149"/>
        </w:trPr>
        <w:tc>
          <w:tcPr>
            <w:tcW w:w="6300" w:type="dxa"/>
            <w:vAlign w:val="bottom"/>
            <w:gridSpan w:val="2"/>
          </w:tcPr>
          <w:p>
            <w:pPr>
              <w:ind w:left="260"/>
              <w:spacing w:after="0"/>
              <w:rPr>
                <w:sz w:val="20"/>
                <w:szCs w:val="20"/>
                <w:color w:val="auto"/>
              </w:rPr>
            </w:pPr>
            <w:r>
              <w:rPr>
                <w:rFonts w:ascii="Arial" w:cs="Arial" w:eastAsia="Arial" w:hAnsi="Arial"/>
                <w:sz w:val="13"/>
                <w:szCs w:val="13"/>
                <w:color w:val="auto"/>
              </w:rPr>
              <w:t>Payments of contingent consideration</w:t>
            </w:r>
          </w:p>
        </w:tc>
        <w:tc>
          <w:tcPr>
            <w:tcW w:w="520" w:type="dxa"/>
            <w:vAlign w:val="bottom"/>
          </w:tcPr>
          <w:p>
            <w:pPr>
              <w:spacing w:after="0"/>
              <w:rPr>
                <w:sz w:val="12"/>
                <w:szCs w:val="12"/>
                <w:color w:val="auto"/>
              </w:rPr>
            </w:pPr>
          </w:p>
        </w:tc>
        <w:tc>
          <w:tcPr>
            <w:tcW w:w="1740" w:type="dxa"/>
            <w:vAlign w:val="bottom"/>
          </w:tcPr>
          <w:p>
            <w:pPr>
              <w:jc w:val="right"/>
              <w:spacing w:after="0"/>
              <w:rPr>
                <w:sz w:val="20"/>
                <w:szCs w:val="20"/>
                <w:color w:val="auto"/>
              </w:rPr>
            </w:pPr>
            <w:r>
              <w:rPr>
                <w:rFonts w:ascii="Arial" w:cs="Arial" w:eastAsia="Arial" w:hAnsi="Arial"/>
                <w:sz w:val="13"/>
                <w:szCs w:val="13"/>
                <w:color w:val="auto"/>
              </w:rPr>
              <w:t>-</w:t>
            </w:r>
          </w:p>
        </w:tc>
        <w:tc>
          <w:tcPr>
            <w:tcW w:w="3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520" w:type="dxa"/>
            <w:vAlign w:val="bottom"/>
            <w:gridSpan w:val="2"/>
          </w:tcPr>
          <w:p>
            <w:pPr>
              <w:jc w:val="right"/>
              <w:ind w:right="60"/>
              <w:spacing w:after="0"/>
              <w:rPr>
                <w:sz w:val="20"/>
                <w:szCs w:val="20"/>
                <w:color w:val="auto"/>
              </w:rPr>
            </w:pPr>
            <w:r>
              <w:rPr>
                <w:rFonts w:ascii="Arial" w:cs="Arial" w:eastAsia="Arial" w:hAnsi="Arial"/>
                <w:sz w:val="13"/>
                <w:szCs w:val="13"/>
                <w:color w:val="auto"/>
              </w:rPr>
              <w:t>(2,979)</w:t>
            </w:r>
          </w:p>
        </w:tc>
      </w:tr>
      <w:tr>
        <w:trPr>
          <w:trHeight w:val="148"/>
        </w:trPr>
        <w:tc>
          <w:tcPr>
            <w:tcW w:w="6300" w:type="dxa"/>
            <w:vAlign w:val="bottom"/>
            <w:gridSpan w:val="2"/>
            <w:shd w:val="clear" w:color="auto" w:fill="CFF0FC"/>
          </w:tcPr>
          <w:p>
            <w:pPr>
              <w:ind w:left="260"/>
              <w:spacing w:after="0"/>
              <w:rPr>
                <w:sz w:val="20"/>
                <w:szCs w:val="20"/>
                <w:color w:val="auto"/>
              </w:rPr>
            </w:pPr>
            <w:r>
              <w:rPr>
                <w:rFonts w:ascii="Arial" w:cs="Arial" w:eastAsia="Arial" w:hAnsi="Arial"/>
                <w:sz w:val="13"/>
                <w:szCs w:val="13"/>
                <w:color w:val="auto"/>
              </w:rPr>
              <w:t>Distributions paid to noncontrolling interest</w:t>
            </w:r>
          </w:p>
        </w:tc>
        <w:tc>
          <w:tcPr>
            <w:tcW w:w="520" w:type="dxa"/>
            <w:vAlign w:val="bottom"/>
            <w:shd w:val="clear" w:color="auto" w:fill="CFF0FC"/>
          </w:tcPr>
          <w:p>
            <w:pPr>
              <w:spacing w:after="0"/>
              <w:rPr>
                <w:sz w:val="12"/>
                <w:szCs w:val="12"/>
                <w:color w:val="auto"/>
              </w:rPr>
            </w:pPr>
          </w:p>
        </w:tc>
        <w:tc>
          <w:tcPr>
            <w:tcW w:w="17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300" w:type="dxa"/>
            <w:vAlign w:val="bottom"/>
            <w:shd w:val="clear" w:color="auto" w:fill="CFF0FC"/>
          </w:tcPr>
          <w:p>
            <w:pPr>
              <w:spacing w:after="0"/>
              <w:rPr>
                <w:sz w:val="12"/>
                <w:szCs w:val="12"/>
                <w:color w:val="auto"/>
              </w:rPr>
            </w:pPr>
          </w:p>
        </w:tc>
        <w:tc>
          <w:tcPr>
            <w:tcW w:w="860" w:type="dxa"/>
            <w:vAlign w:val="bottom"/>
            <w:shd w:val="clear" w:color="auto" w:fill="CFF0FC"/>
          </w:tcPr>
          <w:p>
            <w:pPr>
              <w:spacing w:after="0"/>
              <w:rPr>
                <w:sz w:val="12"/>
                <w:szCs w:val="12"/>
                <w:color w:val="auto"/>
              </w:rPr>
            </w:pPr>
          </w:p>
        </w:tc>
        <w:tc>
          <w:tcPr>
            <w:tcW w:w="1520" w:type="dxa"/>
            <w:vAlign w:val="bottom"/>
            <w:gridSpan w:val="2"/>
            <w:shd w:val="clear" w:color="auto" w:fill="CFF0FC"/>
          </w:tcPr>
          <w:p>
            <w:pPr>
              <w:jc w:val="right"/>
              <w:ind w:right="60"/>
              <w:spacing w:after="0"/>
              <w:rPr>
                <w:sz w:val="20"/>
                <w:szCs w:val="20"/>
                <w:color w:val="auto"/>
              </w:rPr>
            </w:pPr>
            <w:r>
              <w:rPr>
                <w:rFonts w:ascii="Arial" w:cs="Arial" w:eastAsia="Arial" w:hAnsi="Arial"/>
                <w:sz w:val="13"/>
                <w:szCs w:val="13"/>
                <w:color w:val="auto"/>
              </w:rPr>
              <w:t>(520)</w:t>
            </w:r>
          </w:p>
        </w:tc>
      </w:tr>
      <w:tr>
        <w:trPr>
          <w:trHeight w:val="148"/>
        </w:trPr>
        <w:tc>
          <w:tcPr>
            <w:tcW w:w="6300" w:type="dxa"/>
            <w:vAlign w:val="bottom"/>
            <w:gridSpan w:val="2"/>
          </w:tcPr>
          <w:p>
            <w:pPr>
              <w:ind w:left="260"/>
              <w:spacing w:after="0"/>
              <w:rPr>
                <w:sz w:val="20"/>
                <w:szCs w:val="20"/>
                <w:color w:val="auto"/>
              </w:rPr>
            </w:pPr>
            <w:r>
              <w:rPr>
                <w:rFonts w:ascii="Arial" w:cs="Arial" w:eastAsia="Arial" w:hAnsi="Arial"/>
                <w:sz w:val="13"/>
                <w:szCs w:val="13"/>
                <w:color w:val="auto"/>
              </w:rPr>
              <w:t>Borrowings under revolving credit facility</w:t>
            </w:r>
          </w:p>
        </w:tc>
        <w:tc>
          <w:tcPr>
            <w:tcW w:w="520" w:type="dxa"/>
            <w:vAlign w:val="bottom"/>
          </w:tcPr>
          <w:p>
            <w:pPr>
              <w:spacing w:after="0"/>
              <w:rPr>
                <w:sz w:val="12"/>
                <w:szCs w:val="12"/>
                <w:color w:val="auto"/>
              </w:rPr>
            </w:pPr>
          </w:p>
        </w:tc>
        <w:tc>
          <w:tcPr>
            <w:tcW w:w="1740" w:type="dxa"/>
            <w:vAlign w:val="bottom"/>
          </w:tcPr>
          <w:p>
            <w:pPr>
              <w:jc w:val="right"/>
              <w:spacing w:after="0"/>
              <w:rPr>
                <w:sz w:val="20"/>
                <w:szCs w:val="20"/>
                <w:color w:val="auto"/>
              </w:rPr>
            </w:pPr>
            <w:r>
              <w:rPr>
                <w:rFonts w:ascii="Arial" w:cs="Arial" w:eastAsia="Arial" w:hAnsi="Arial"/>
                <w:sz w:val="13"/>
                <w:szCs w:val="13"/>
                <w:color w:val="auto"/>
              </w:rPr>
              <w:t>85,000</w:t>
            </w:r>
          </w:p>
        </w:tc>
        <w:tc>
          <w:tcPr>
            <w:tcW w:w="3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420" w:type="dxa"/>
            <w:vAlign w:val="bottom"/>
          </w:tcPr>
          <w:p>
            <w:pPr>
              <w:jc w:val="right"/>
              <w:spacing w:after="0"/>
              <w:rPr>
                <w:sz w:val="20"/>
                <w:szCs w:val="20"/>
                <w:color w:val="auto"/>
              </w:rPr>
            </w:pPr>
            <w:r>
              <w:rPr>
                <w:rFonts w:ascii="Arial" w:cs="Arial" w:eastAsia="Arial" w:hAnsi="Arial"/>
                <w:sz w:val="13"/>
                <w:szCs w:val="13"/>
                <w:color w:val="auto"/>
              </w:rPr>
              <w:t>105,000</w:t>
            </w:r>
          </w:p>
        </w:tc>
        <w:tc>
          <w:tcPr>
            <w:tcW w:w="100" w:type="dxa"/>
            <w:vAlign w:val="bottom"/>
          </w:tcPr>
          <w:p>
            <w:pPr>
              <w:spacing w:after="0"/>
              <w:rPr>
                <w:sz w:val="12"/>
                <w:szCs w:val="12"/>
                <w:color w:val="auto"/>
              </w:rPr>
            </w:pPr>
          </w:p>
        </w:tc>
      </w:tr>
      <w:tr>
        <w:trPr>
          <w:trHeight w:val="149"/>
        </w:trPr>
        <w:tc>
          <w:tcPr>
            <w:tcW w:w="6300" w:type="dxa"/>
            <w:vAlign w:val="bottom"/>
            <w:gridSpan w:val="2"/>
            <w:shd w:val="clear" w:color="auto" w:fill="CFF0FC"/>
          </w:tcPr>
          <w:p>
            <w:pPr>
              <w:ind w:left="260"/>
              <w:spacing w:after="0"/>
              <w:rPr>
                <w:sz w:val="20"/>
                <w:szCs w:val="20"/>
                <w:color w:val="auto"/>
              </w:rPr>
            </w:pPr>
            <w:r>
              <w:rPr>
                <w:rFonts w:ascii="Arial" w:cs="Arial" w:eastAsia="Arial" w:hAnsi="Arial"/>
                <w:sz w:val="13"/>
                <w:szCs w:val="13"/>
                <w:color w:val="auto"/>
              </w:rPr>
              <w:t>Payments under revolving credit facility</w:t>
            </w:r>
          </w:p>
        </w:tc>
        <w:tc>
          <w:tcPr>
            <w:tcW w:w="520" w:type="dxa"/>
            <w:vAlign w:val="bottom"/>
            <w:shd w:val="clear" w:color="auto" w:fill="CFF0FC"/>
          </w:tcPr>
          <w:p>
            <w:pPr>
              <w:spacing w:after="0"/>
              <w:rPr>
                <w:sz w:val="12"/>
                <w:szCs w:val="12"/>
                <w:color w:val="auto"/>
              </w:rPr>
            </w:pPr>
          </w:p>
        </w:tc>
        <w:tc>
          <w:tcPr>
            <w:tcW w:w="2040" w:type="dxa"/>
            <w:vAlign w:val="bottom"/>
            <w:gridSpan w:val="2"/>
            <w:shd w:val="clear" w:color="auto" w:fill="CFF0FC"/>
          </w:tcPr>
          <w:p>
            <w:pPr>
              <w:jc w:val="right"/>
              <w:ind w:right="260"/>
              <w:spacing w:after="0"/>
              <w:rPr>
                <w:sz w:val="20"/>
                <w:szCs w:val="20"/>
                <w:color w:val="auto"/>
              </w:rPr>
            </w:pPr>
            <w:r>
              <w:rPr>
                <w:rFonts w:ascii="Arial" w:cs="Arial" w:eastAsia="Arial" w:hAnsi="Arial"/>
                <w:sz w:val="13"/>
                <w:szCs w:val="13"/>
                <w:color w:val="auto"/>
              </w:rPr>
              <w:t>(60,000)</w:t>
            </w:r>
          </w:p>
        </w:tc>
        <w:tc>
          <w:tcPr>
            <w:tcW w:w="860" w:type="dxa"/>
            <w:vAlign w:val="bottom"/>
            <w:shd w:val="clear" w:color="auto" w:fill="CFF0FC"/>
          </w:tcPr>
          <w:p>
            <w:pPr>
              <w:spacing w:after="0"/>
              <w:rPr>
                <w:sz w:val="12"/>
                <w:szCs w:val="12"/>
                <w:color w:val="auto"/>
              </w:rPr>
            </w:pPr>
          </w:p>
        </w:tc>
        <w:tc>
          <w:tcPr>
            <w:tcW w:w="1520" w:type="dxa"/>
            <w:vAlign w:val="bottom"/>
            <w:gridSpan w:val="2"/>
            <w:shd w:val="clear" w:color="auto" w:fill="CFF0FC"/>
          </w:tcPr>
          <w:p>
            <w:pPr>
              <w:jc w:val="right"/>
              <w:ind w:right="60"/>
              <w:spacing w:after="0"/>
              <w:rPr>
                <w:sz w:val="20"/>
                <w:szCs w:val="20"/>
                <w:color w:val="auto"/>
              </w:rPr>
            </w:pPr>
            <w:r>
              <w:rPr>
                <w:rFonts w:ascii="Arial" w:cs="Arial" w:eastAsia="Arial" w:hAnsi="Arial"/>
                <w:sz w:val="13"/>
                <w:szCs w:val="13"/>
                <w:color w:val="auto"/>
              </w:rPr>
              <w:t>(55,000)</w:t>
            </w:r>
          </w:p>
        </w:tc>
      </w:tr>
      <w:tr>
        <w:trPr>
          <w:trHeight w:val="148"/>
        </w:trPr>
        <w:tc>
          <w:tcPr>
            <w:tcW w:w="6300" w:type="dxa"/>
            <w:vAlign w:val="bottom"/>
            <w:gridSpan w:val="2"/>
          </w:tcPr>
          <w:p>
            <w:pPr>
              <w:ind w:left="260"/>
              <w:spacing w:after="0"/>
              <w:rPr>
                <w:sz w:val="20"/>
                <w:szCs w:val="20"/>
                <w:color w:val="auto"/>
              </w:rPr>
            </w:pPr>
            <w:r>
              <w:rPr>
                <w:rFonts w:ascii="Arial" w:cs="Arial" w:eastAsia="Arial" w:hAnsi="Arial"/>
                <w:sz w:val="13"/>
                <w:szCs w:val="13"/>
                <w:color w:val="auto"/>
              </w:rPr>
              <w:t>Finance lease payments</w:t>
            </w:r>
          </w:p>
        </w:tc>
        <w:tc>
          <w:tcPr>
            <w:tcW w:w="520" w:type="dxa"/>
            <w:vAlign w:val="bottom"/>
          </w:tcPr>
          <w:p>
            <w:pPr>
              <w:spacing w:after="0"/>
              <w:rPr>
                <w:sz w:val="12"/>
                <w:szCs w:val="12"/>
                <w:color w:val="auto"/>
              </w:rPr>
            </w:pPr>
          </w:p>
        </w:tc>
        <w:tc>
          <w:tcPr>
            <w:tcW w:w="2040" w:type="dxa"/>
            <w:vAlign w:val="bottom"/>
            <w:gridSpan w:val="2"/>
          </w:tcPr>
          <w:p>
            <w:pPr>
              <w:jc w:val="right"/>
              <w:ind w:right="260"/>
              <w:spacing w:after="0"/>
              <w:rPr>
                <w:sz w:val="20"/>
                <w:szCs w:val="20"/>
                <w:color w:val="auto"/>
              </w:rPr>
            </w:pPr>
            <w:r>
              <w:rPr>
                <w:rFonts w:ascii="Arial" w:cs="Arial" w:eastAsia="Arial" w:hAnsi="Arial"/>
                <w:sz w:val="13"/>
                <w:szCs w:val="13"/>
                <w:color w:val="auto"/>
              </w:rPr>
              <w:t>(280)</w:t>
            </w:r>
          </w:p>
        </w:tc>
        <w:tc>
          <w:tcPr>
            <w:tcW w:w="860" w:type="dxa"/>
            <w:vAlign w:val="bottom"/>
          </w:tcPr>
          <w:p>
            <w:pPr>
              <w:spacing w:after="0"/>
              <w:rPr>
                <w:sz w:val="12"/>
                <w:szCs w:val="12"/>
                <w:color w:val="auto"/>
              </w:rPr>
            </w:pPr>
          </w:p>
        </w:tc>
        <w:tc>
          <w:tcPr>
            <w:tcW w:w="1520" w:type="dxa"/>
            <w:vAlign w:val="bottom"/>
            <w:gridSpan w:val="2"/>
          </w:tcPr>
          <w:p>
            <w:pPr>
              <w:jc w:val="right"/>
              <w:ind w:right="60"/>
              <w:spacing w:after="0"/>
              <w:rPr>
                <w:sz w:val="20"/>
                <w:szCs w:val="20"/>
                <w:color w:val="auto"/>
              </w:rPr>
            </w:pPr>
            <w:r>
              <w:rPr>
                <w:rFonts w:ascii="Arial" w:cs="Arial" w:eastAsia="Arial" w:hAnsi="Arial"/>
                <w:sz w:val="13"/>
                <w:szCs w:val="13"/>
                <w:color w:val="auto"/>
              </w:rPr>
              <w:t>(710)</w:t>
            </w:r>
          </w:p>
        </w:tc>
      </w:tr>
      <w:tr>
        <w:trPr>
          <w:trHeight w:val="149"/>
        </w:trPr>
        <w:tc>
          <w:tcPr>
            <w:tcW w:w="6300" w:type="dxa"/>
            <w:vAlign w:val="bottom"/>
            <w:gridSpan w:val="2"/>
            <w:shd w:val="clear" w:color="auto" w:fill="CFF0FC"/>
          </w:tcPr>
          <w:p>
            <w:pPr>
              <w:ind w:left="260"/>
              <w:spacing w:after="0"/>
              <w:rPr>
                <w:sz w:val="20"/>
                <w:szCs w:val="20"/>
                <w:color w:val="auto"/>
              </w:rPr>
            </w:pPr>
            <w:r>
              <w:rPr>
                <w:rFonts w:ascii="Arial" w:cs="Arial" w:eastAsia="Arial" w:hAnsi="Arial"/>
                <w:sz w:val="13"/>
                <w:szCs w:val="13"/>
                <w:color w:val="auto"/>
              </w:rPr>
              <w:t>Payments for financing costs</w:t>
            </w:r>
          </w:p>
        </w:tc>
        <w:tc>
          <w:tcPr>
            <w:tcW w:w="520" w:type="dxa"/>
            <w:vAlign w:val="bottom"/>
            <w:shd w:val="clear" w:color="auto" w:fill="CFF0FC"/>
          </w:tcPr>
          <w:p>
            <w:pPr>
              <w:spacing w:after="0"/>
              <w:rPr>
                <w:sz w:val="12"/>
                <w:szCs w:val="12"/>
                <w:color w:val="auto"/>
              </w:rPr>
            </w:pPr>
          </w:p>
        </w:tc>
        <w:tc>
          <w:tcPr>
            <w:tcW w:w="17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300" w:type="dxa"/>
            <w:vAlign w:val="bottom"/>
            <w:shd w:val="clear" w:color="auto" w:fill="CFF0FC"/>
          </w:tcPr>
          <w:p>
            <w:pPr>
              <w:spacing w:after="0"/>
              <w:rPr>
                <w:sz w:val="12"/>
                <w:szCs w:val="12"/>
                <w:color w:val="auto"/>
              </w:rPr>
            </w:pPr>
          </w:p>
        </w:tc>
        <w:tc>
          <w:tcPr>
            <w:tcW w:w="860" w:type="dxa"/>
            <w:vAlign w:val="bottom"/>
            <w:shd w:val="clear" w:color="auto" w:fill="CFF0FC"/>
          </w:tcPr>
          <w:p>
            <w:pPr>
              <w:spacing w:after="0"/>
              <w:rPr>
                <w:sz w:val="12"/>
                <w:szCs w:val="12"/>
                <w:color w:val="auto"/>
              </w:rPr>
            </w:pPr>
          </w:p>
        </w:tc>
        <w:tc>
          <w:tcPr>
            <w:tcW w:w="1520" w:type="dxa"/>
            <w:vAlign w:val="bottom"/>
            <w:gridSpan w:val="2"/>
            <w:shd w:val="clear" w:color="auto" w:fill="CFF0FC"/>
          </w:tcPr>
          <w:p>
            <w:pPr>
              <w:jc w:val="right"/>
              <w:ind w:right="60"/>
              <w:spacing w:after="0"/>
              <w:rPr>
                <w:sz w:val="20"/>
                <w:szCs w:val="20"/>
                <w:color w:val="auto"/>
              </w:rPr>
            </w:pPr>
            <w:r>
              <w:rPr>
                <w:rFonts w:ascii="Arial" w:cs="Arial" w:eastAsia="Arial" w:hAnsi="Arial"/>
                <w:sz w:val="13"/>
                <w:szCs w:val="13"/>
                <w:color w:val="auto"/>
              </w:rPr>
              <w:t>(22,931)</w:t>
            </w:r>
          </w:p>
        </w:tc>
      </w:tr>
      <w:tr>
        <w:trPr>
          <w:trHeight w:val="148"/>
        </w:trPr>
        <w:tc>
          <w:tcPr>
            <w:tcW w:w="6300" w:type="dxa"/>
            <w:vAlign w:val="bottom"/>
            <w:gridSpan w:val="2"/>
          </w:tcPr>
          <w:p>
            <w:pPr>
              <w:ind w:left="260"/>
              <w:spacing w:after="0"/>
              <w:rPr>
                <w:sz w:val="20"/>
                <w:szCs w:val="20"/>
                <w:color w:val="auto"/>
              </w:rPr>
            </w:pPr>
            <w:r>
              <w:rPr>
                <w:rFonts w:ascii="Arial" w:cs="Arial" w:eastAsia="Arial" w:hAnsi="Arial"/>
                <w:sz w:val="13"/>
                <w:szCs w:val="13"/>
                <w:color w:val="auto"/>
              </w:rPr>
              <w:t>Payment of tender premium</w:t>
            </w:r>
          </w:p>
        </w:tc>
        <w:tc>
          <w:tcPr>
            <w:tcW w:w="520" w:type="dxa"/>
            <w:vAlign w:val="bottom"/>
          </w:tcPr>
          <w:p>
            <w:pPr>
              <w:spacing w:after="0"/>
              <w:rPr>
                <w:sz w:val="12"/>
                <w:szCs w:val="12"/>
                <w:color w:val="auto"/>
              </w:rPr>
            </w:pPr>
          </w:p>
        </w:tc>
        <w:tc>
          <w:tcPr>
            <w:tcW w:w="1740" w:type="dxa"/>
            <w:vAlign w:val="bottom"/>
          </w:tcPr>
          <w:p>
            <w:pPr>
              <w:jc w:val="right"/>
              <w:spacing w:after="0"/>
              <w:rPr>
                <w:sz w:val="20"/>
                <w:szCs w:val="20"/>
                <w:color w:val="auto"/>
              </w:rPr>
            </w:pPr>
            <w:r>
              <w:rPr>
                <w:rFonts w:ascii="Arial" w:cs="Arial" w:eastAsia="Arial" w:hAnsi="Arial"/>
                <w:sz w:val="13"/>
                <w:szCs w:val="13"/>
                <w:color w:val="auto"/>
              </w:rPr>
              <w:t>-</w:t>
            </w:r>
          </w:p>
        </w:tc>
        <w:tc>
          <w:tcPr>
            <w:tcW w:w="3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520" w:type="dxa"/>
            <w:vAlign w:val="bottom"/>
            <w:gridSpan w:val="2"/>
          </w:tcPr>
          <w:p>
            <w:pPr>
              <w:jc w:val="right"/>
              <w:ind w:right="60"/>
              <w:spacing w:after="0"/>
              <w:rPr>
                <w:sz w:val="20"/>
                <w:szCs w:val="20"/>
                <w:color w:val="auto"/>
              </w:rPr>
            </w:pPr>
            <w:r>
              <w:rPr>
                <w:rFonts w:ascii="Arial" w:cs="Arial" w:eastAsia="Arial" w:hAnsi="Arial"/>
                <w:sz w:val="13"/>
                <w:szCs w:val="13"/>
                <w:color w:val="auto"/>
              </w:rPr>
              <w:t>(17,550)</w:t>
            </w:r>
          </w:p>
        </w:tc>
      </w:tr>
      <w:tr>
        <w:trPr>
          <w:trHeight w:val="148"/>
        </w:trPr>
        <w:tc>
          <w:tcPr>
            <w:tcW w:w="6300" w:type="dxa"/>
            <w:vAlign w:val="bottom"/>
            <w:gridSpan w:val="2"/>
            <w:shd w:val="clear" w:color="auto" w:fill="CFF0FC"/>
          </w:tcPr>
          <w:p>
            <w:pPr>
              <w:ind w:left="260"/>
              <w:spacing w:after="0"/>
              <w:rPr>
                <w:sz w:val="20"/>
                <w:szCs w:val="20"/>
                <w:color w:val="auto"/>
              </w:rPr>
            </w:pPr>
            <w:r>
              <w:rPr>
                <w:rFonts w:ascii="Arial" w:cs="Arial" w:eastAsia="Arial" w:hAnsi="Arial"/>
                <w:sz w:val="13"/>
                <w:szCs w:val="13"/>
                <w:color w:val="auto"/>
              </w:rPr>
              <w:t>Employee stock purchase program</w:t>
            </w:r>
          </w:p>
        </w:tc>
        <w:tc>
          <w:tcPr>
            <w:tcW w:w="520" w:type="dxa"/>
            <w:vAlign w:val="bottom"/>
            <w:shd w:val="clear" w:color="auto" w:fill="CFF0FC"/>
          </w:tcPr>
          <w:p>
            <w:pPr>
              <w:spacing w:after="0"/>
              <w:rPr>
                <w:sz w:val="12"/>
                <w:szCs w:val="12"/>
                <w:color w:val="auto"/>
              </w:rPr>
            </w:pPr>
          </w:p>
        </w:tc>
        <w:tc>
          <w:tcPr>
            <w:tcW w:w="17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264</w:t>
            </w:r>
          </w:p>
        </w:tc>
        <w:tc>
          <w:tcPr>
            <w:tcW w:w="300" w:type="dxa"/>
            <w:vAlign w:val="bottom"/>
            <w:shd w:val="clear" w:color="auto" w:fill="CFF0FC"/>
          </w:tcPr>
          <w:p>
            <w:pPr>
              <w:spacing w:after="0"/>
              <w:rPr>
                <w:sz w:val="12"/>
                <w:szCs w:val="12"/>
                <w:color w:val="auto"/>
              </w:rPr>
            </w:pPr>
          </w:p>
        </w:tc>
        <w:tc>
          <w:tcPr>
            <w:tcW w:w="860" w:type="dxa"/>
            <w:vAlign w:val="bottom"/>
            <w:shd w:val="clear" w:color="auto" w:fill="CFF0FC"/>
          </w:tcPr>
          <w:p>
            <w:pPr>
              <w:spacing w:after="0"/>
              <w:rPr>
                <w:sz w:val="12"/>
                <w:szCs w:val="12"/>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288</w:t>
            </w:r>
          </w:p>
        </w:tc>
        <w:tc>
          <w:tcPr>
            <w:tcW w:w="100" w:type="dxa"/>
            <w:vAlign w:val="bottom"/>
            <w:shd w:val="clear" w:color="auto" w:fill="CFF0FC"/>
          </w:tcPr>
          <w:p>
            <w:pPr>
              <w:spacing w:after="0"/>
              <w:rPr>
                <w:sz w:val="12"/>
                <w:szCs w:val="12"/>
                <w:color w:val="auto"/>
              </w:rPr>
            </w:pPr>
          </w:p>
        </w:tc>
      </w:tr>
      <w:tr>
        <w:trPr>
          <w:trHeight w:val="149"/>
        </w:trPr>
        <w:tc>
          <w:tcPr>
            <w:tcW w:w="6300" w:type="dxa"/>
            <w:vAlign w:val="bottom"/>
            <w:gridSpan w:val="2"/>
          </w:tcPr>
          <w:p>
            <w:pPr>
              <w:ind w:left="260"/>
              <w:spacing w:after="0"/>
              <w:rPr>
                <w:sz w:val="20"/>
                <w:szCs w:val="20"/>
                <w:color w:val="auto"/>
              </w:rPr>
            </w:pPr>
            <w:r>
              <w:rPr>
                <w:rFonts w:ascii="Arial" w:cs="Arial" w:eastAsia="Arial" w:hAnsi="Arial"/>
                <w:sz w:val="13"/>
                <w:szCs w:val="13"/>
                <w:color w:val="auto"/>
              </w:rPr>
              <w:t>Payments related to tax withholding for stock-based compensation</w:t>
            </w:r>
          </w:p>
        </w:tc>
        <w:tc>
          <w:tcPr>
            <w:tcW w:w="520" w:type="dxa"/>
            <w:vAlign w:val="bottom"/>
          </w:tcPr>
          <w:p>
            <w:pPr>
              <w:spacing w:after="0"/>
              <w:rPr>
                <w:sz w:val="12"/>
                <w:szCs w:val="12"/>
                <w:color w:val="auto"/>
              </w:rPr>
            </w:pPr>
          </w:p>
        </w:tc>
        <w:tc>
          <w:tcPr>
            <w:tcW w:w="2040" w:type="dxa"/>
            <w:vAlign w:val="bottom"/>
            <w:gridSpan w:val="2"/>
          </w:tcPr>
          <w:p>
            <w:pPr>
              <w:jc w:val="right"/>
              <w:ind w:right="260"/>
              <w:spacing w:after="0"/>
              <w:rPr>
                <w:sz w:val="20"/>
                <w:szCs w:val="20"/>
                <w:color w:val="auto"/>
              </w:rPr>
            </w:pPr>
            <w:r>
              <w:rPr>
                <w:rFonts w:ascii="Arial" w:cs="Arial" w:eastAsia="Arial" w:hAnsi="Arial"/>
                <w:sz w:val="13"/>
                <w:szCs w:val="13"/>
                <w:color w:val="auto"/>
              </w:rPr>
              <w:t>(1,525)</w:t>
            </w:r>
          </w:p>
        </w:tc>
        <w:tc>
          <w:tcPr>
            <w:tcW w:w="860" w:type="dxa"/>
            <w:vAlign w:val="bottom"/>
          </w:tcPr>
          <w:p>
            <w:pPr>
              <w:spacing w:after="0"/>
              <w:rPr>
                <w:sz w:val="12"/>
                <w:szCs w:val="12"/>
                <w:color w:val="auto"/>
              </w:rPr>
            </w:pPr>
          </w:p>
        </w:tc>
        <w:tc>
          <w:tcPr>
            <w:tcW w:w="1520" w:type="dxa"/>
            <w:vAlign w:val="bottom"/>
            <w:gridSpan w:val="2"/>
          </w:tcPr>
          <w:p>
            <w:pPr>
              <w:jc w:val="right"/>
              <w:ind w:right="60"/>
              <w:spacing w:after="0"/>
              <w:rPr>
                <w:sz w:val="20"/>
                <w:szCs w:val="20"/>
                <w:color w:val="auto"/>
              </w:rPr>
            </w:pPr>
            <w:r>
              <w:rPr>
                <w:rFonts w:ascii="Arial" w:cs="Arial" w:eastAsia="Arial" w:hAnsi="Arial"/>
                <w:sz w:val="13"/>
                <w:szCs w:val="13"/>
                <w:color w:val="auto"/>
              </w:rPr>
              <w:t>(2,306)</w:t>
            </w:r>
          </w:p>
        </w:tc>
      </w:tr>
      <w:tr>
        <w:trPr>
          <w:trHeight w:val="142"/>
        </w:trPr>
        <w:tc>
          <w:tcPr>
            <w:tcW w:w="6300" w:type="dxa"/>
            <w:vAlign w:val="bottom"/>
            <w:tcBorders>
              <w:top w:val="single" w:sz="8" w:color="CFF0FC"/>
            </w:tcBorders>
            <w:gridSpan w:val="2"/>
            <w:shd w:val="clear" w:color="auto" w:fill="CFF0FC"/>
          </w:tcPr>
          <w:p>
            <w:pPr>
              <w:spacing w:after="0" w:line="142" w:lineRule="exact"/>
              <w:rPr>
                <w:sz w:val="20"/>
                <w:szCs w:val="20"/>
                <w:color w:val="auto"/>
              </w:rPr>
            </w:pPr>
            <w:r>
              <w:rPr>
                <w:rFonts w:ascii="Arial" w:cs="Arial" w:eastAsia="Arial" w:hAnsi="Arial"/>
                <w:sz w:val="13"/>
                <w:szCs w:val="13"/>
                <w:color w:val="auto"/>
              </w:rPr>
              <w:t>Net cash provided by financing activities</w:t>
            </w:r>
          </w:p>
        </w:tc>
        <w:tc>
          <w:tcPr>
            <w:tcW w:w="520" w:type="dxa"/>
            <w:vAlign w:val="bottom"/>
            <w:tcBorders>
              <w:top w:val="single" w:sz="8" w:color="auto"/>
            </w:tcBorders>
            <w:shd w:val="clear" w:color="auto" w:fill="CFF0FC"/>
          </w:tcPr>
          <w:p>
            <w:pPr>
              <w:spacing w:after="0"/>
              <w:rPr>
                <w:sz w:val="12"/>
                <w:szCs w:val="12"/>
                <w:color w:val="auto"/>
              </w:rPr>
            </w:pPr>
          </w:p>
        </w:tc>
        <w:tc>
          <w:tcPr>
            <w:tcW w:w="1740" w:type="dxa"/>
            <w:vAlign w:val="bottom"/>
            <w:tcBorders>
              <w:top w:val="single" w:sz="8" w:color="auto"/>
            </w:tcBorders>
            <w:shd w:val="clear" w:color="auto" w:fill="CFF0FC"/>
          </w:tcPr>
          <w:p>
            <w:pPr>
              <w:jc w:val="right"/>
              <w:spacing w:after="0" w:line="142" w:lineRule="exact"/>
              <w:rPr>
                <w:sz w:val="20"/>
                <w:szCs w:val="20"/>
                <w:color w:val="auto"/>
              </w:rPr>
            </w:pPr>
            <w:r>
              <w:rPr>
                <w:rFonts w:ascii="Arial" w:cs="Arial" w:eastAsia="Arial" w:hAnsi="Arial"/>
                <w:sz w:val="13"/>
                <w:szCs w:val="13"/>
                <w:color w:val="auto"/>
              </w:rPr>
              <w:t>23,354</w:t>
            </w:r>
          </w:p>
        </w:tc>
        <w:tc>
          <w:tcPr>
            <w:tcW w:w="300" w:type="dxa"/>
            <w:vAlign w:val="bottom"/>
            <w:tcBorders>
              <w:top w:val="single" w:sz="8" w:color="CFF0FC"/>
            </w:tcBorders>
            <w:shd w:val="clear" w:color="auto" w:fill="CFF0FC"/>
          </w:tcPr>
          <w:p>
            <w:pPr>
              <w:spacing w:after="0"/>
              <w:rPr>
                <w:sz w:val="12"/>
                <w:szCs w:val="12"/>
                <w:color w:val="auto"/>
              </w:rPr>
            </w:pPr>
          </w:p>
        </w:tc>
        <w:tc>
          <w:tcPr>
            <w:tcW w:w="860" w:type="dxa"/>
            <w:vAlign w:val="bottom"/>
            <w:tcBorders>
              <w:top w:val="single" w:sz="8" w:color="auto"/>
            </w:tcBorders>
            <w:shd w:val="clear" w:color="auto" w:fill="CFF0FC"/>
          </w:tcPr>
          <w:p>
            <w:pPr>
              <w:spacing w:after="0"/>
              <w:rPr>
                <w:sz w:val="12"/>
                <w:szCs w:val="12"/>
                <w:color w:val="auto"/>
              </w:rPr>
            </w:pPr>
          </w:p>
        </w:tc>
        <w:tc>
          <w:tcPr>
            <w:tcW w:w="1420" w:type="dxa"/>
            <w:vAlign w:val="bottom"/>
            <w:tcBorders>
              <w:top w:val="single" w:sz="8" w:color="auto"/>
            </w:tcBorders>
            <w:shd w:val="clear" w:color="auto" w:fill="CFF0FC"/>
          </w:tcPr>
          <w:p>
            <w:pPr>
              <w:jc w:val="right"/>
              <w:spacing w:after="0" w:line="142" w:lineRule="exact"/>
              <w:rPr>
                <w:sz w:val="20"/>
                <w:szCs w:val="20"/>
                <w:color w:val="auto"/>
              </w:rPr>
            </w:pPr>
            <w:r>
              <w:rPr>
                <w:rFonts w:ascii="Arial" w:cs="Arial" w:eastAsia="Arial" w:hAnsi="Arial"/>
                <w:sz w:val="13"/>
                <w:szCs w:val="13"/>
                <w:color w:val="auto"/>
              </w:rPr>
              <w:t>2,645</w:t>
            </w:r>
          </w:p>
        </w:tc>
        <w:tc>
          <w:tcPr>
            <w:tcW w:w="100" w:type="dxa"/>
            <w:vAlign w:val="bottom"/>
            <w:tcBorders>
              <w:top w:val="single" w:sz="8" w:color="CFF0FC"/>
            </w:tcBorders>
            <w:shd w:val="clear" w:color="auto" w:fill="CFF0FC"/>
          </w:tcPr>
          <w:p>
            <w:pPr>
              <w:spacing w:after="0"/>
              <w:rPr>
                <w:sz w:val="12"/>
                <w:szCs w:val="12"/>
                <w:color w:val="auto"/>
              </w:rPr>
            </w:pPr>
          </w:p>
        </w:tc>
      </w:tr>
      <w:tr>
        <w:trPr>
          <w:trHeight w:val="149"/>
        </w:trPr>
        <w:tc>
          <w:tcPr>
            <w:tcW w:w="6000" w:type="dxa"/>
            <w:vAlign w:val="bottom"/>
            <w:tcBorders>
              <w:bottom w:val="single" w:sz="8" w:color="CFF0FC"/>
            </w:tcBorders>
          </w:tcPr>
          <w:p>
            <w:pPr>
              <w:spacing w:after="0"/>
              <w:rPr>
                <w:sz w:val="12"/>
                <w:szCs w:val="12"/>
                <w:color w:val="auto"/>
              </w:rPr>
            </w:pPr>
          </w:p>
        </w:tc>
        <w:tc>
          <w:tcPr>
            <w:tcW w:w="300" w:type="dxa"/>
            <w:vAlign w:val="bottom"/>
            <w:tcBorders>
              <w:bottom w:val="single" w:sz="8" w:color="CFF0FC"/>
            </w:tcBorders>
          </w:tcPr>
          <w:p>
            <w:pPr>
              <w:spacing w:after="0"/>
              <w:rPr>
                <w:sz w:val="12"/>
                <w:szCs w:val="12"/>
                <w:color w:val="auto"/>
              </w:rPr>
            </w:pPr>
          </w:p>
        </w:tc>
        <w:tc>
          <w:tcPr>
            <w:tcW w:w="520" w:type="dxa"/>
            <w:vAlign w:val="bottom"/>
            <w:tcBorders>
              <w:bottom w:val="single" w:sz="8" w:color="auto"/>
            </w:tcBorders>
          </w:tcPr>
          <w:p>
            <w:pPr>
              <w:spacing w:after="0"/>
              <w:rPr>
                <w:sz w:val="12"/>
                <w:szCs w:val="12"/>
                <w:color w:val="auto"/>
              </w:rPr>
            </w:pPr>
          </w:p>
        </w:tc>
        <w:tc>
          <w:tcPr>
            <w:tcW w:w="1740" w:type="dxa"/>
            <w:vAlign w:val="bottom"/>
            <w:tcBorders>
              <w:bottom w:val="single" w:sz="8" w:color="auto"/>
            </w:tcBorders>
          </w:tcPr>
          <w:p>
            <w:pPr>
              <w:spacing w:after="0"/>
              <w:rPr>
                <w:sz w:val="12"/>
                <w:szCs w:val="12"/>
                <w:color w:val="auto"/>
              </w:rPr>
            </w:pPr>
          </w:p>
        </w:tc>
        <w:tc>
          <w:tcPr>
            <w:tcW w:w="300" w:type="dxa"/>
            <w:vAlign w:val="bottom"/>
            <w:tcBorders>
              <w:bottom w:val="single" w:sz="8" w:color="CFF0FC"/>
            </w:tcBorders>
          </w:tcPr>
          <w:p>
            <w:pPr>
              <w:spacing w:after="0"/>
              <w:rPr>
                <w:sz w:val="12"/>
                <w:szCs w:val="12"/>
                <w:color w:val="auto"/>
              </w:rPr>
            </w:pPr>
          </w:p>
        </w:tc>
        <w:tc>
          <w:tcPr>
            <w:tcW w:w="860" w:type="dxa"/>
            <w:vAlign w:val="bottom"/>
            <w:tcBorders>
              <w:bottom w:val="single" w:sz="8" w:color="auto"/>
            </w:tcBorders>
          </w:tcPr>
          <w:p>
            <w:pPr>
              <w:spacing w:after="0"/>
              <w:rPr>
                <w:sz w:val="12"/>
                <w:szCs w:val="12"/>
                <w:color w:val="auto"/>
              </w:rPr>
            </w:pPr>
          </w:p>
        </w:tc>
        <w:tc>
          <w:tcPr>
            <w:tcW w:w="1420" w:type="dxa"/>
            <w:vAlign w:val="bottom"/>
            <w:tcBorders>
              <w:bottom w:val="single" w:sz="8" w:color="auto"/>
            </w:tcBorders>
          </w:tcPr>
          <w:p>
            <w:pPr>
              <w:spacing w:after="0"/>
              <w:rPr>
                <w:sz w:val="12"/>
                <w:szCs w:val="12"/>
                <w:color w:val="auto"/>
              </w:rPr>
            </w:pPr>
          </w:p>
        </w:tc>
        <w:tc>
          <w:tcPr>
            <w:tcW w:w="100" w:type="dxa"/>
            <w:vAlign w:val="bottom"/>
            <w:tcBorders>
              <w:bottom w:val="single" w:sz="8" w:color="CFF0FC"/>
            </w:tcBorders>
          </w:tcPr>
          <w:p>
            <w:pPr>
              <w:spacing w:after="0"/>
              <w:rPr>
                <w:sz w:val="12"/>
                <w:szCs w:val="12"/>
                <w:color w:val="auto"/>
              </w:rPr>
            </w:pPr>
          </w:p>
        </w:tc>
      </w:tr>
      <w:tr>
        <w:trPr>
          <w:trHeight w:val="142"/>
        </w:trPr>
        <w:tc>
          <w:tcPr>
            <w:tcW w:w="6300" w:type="dxa"/>
            <w:vAlign w:val="bottom"/>
            <w:gridSpan w:val="2"/>
            <w:shd w:val="clear" w:color="auto" w:fill="CFF0FC"/>
          </w:tcPr>
          <w:p>
            <w:pPr>
              <w:spacing w:after="0" w:line="142" w:lineRule="exact"/>
              <w:rPr>
                <w:sz w:val="20"/>
                <w:szCs w:val="20"/>
                <w:color w:val="auto"/>
              </w:rPr>
            </w:pPr>
            <w:r>
              <w:rPr>
                <w:rFonts w:ascii="Arial" w:cs="Arial" w:eastAsia="Arial" w:hAnsi="Arial"/>
                <w:sz w:val="13"/>
                <w:szCs w:val="13"/>
                <w:color w:val="auto"/>
              </w:rPr>
              <w:t>Net (decrease) increase in cash and cash equivalents</w:t>
            </w:r>
          </w:p>
        </w:tc>
        <w:tc>
          <w:tcPr>
            <w:tcW w:w="520" w:type="dxa"/>
            <w:vAlign w:val="bottom"/>
            <w:shd w:val="clear" w:color="auto" w:fill="CFF0FC"/>
          </w:tcPr>
          <w:p>
            <w:pPr>
              <w:spacing w:after="0"/>
              <w:rPr>
                <w:sz w:val="12"/>
                <w:szCs w:val="12"/>
                <w:color w:val="auto"/>
              </w:rPr>
            </w:pPr>
          </w:p>
        </w:tc>
        <w:tc>
          <w:tcPr>
            <w:tcW w:w="1740" w:type="dxa"/>
            <w:vAlign w:val="bottom"/>
            <w:shd w:val="clear" w:color="auto" w:fill="CFF0FC"/>
          </w:tcPr>
          <w:p>
            <w:pPr>
              <w:jc w:val="right"/>
              <w:spacing w:after="0" w:line="142" w:lineRule="exact"/>
              <w:rPr>
                <w:sz w:val="20"/>
                <w:szCs w:val="20"/>
                <w:color w:val="auto"/>
              </w:rPr>
            </w:pPr>
            <w:r>
              <w:rPr>
                <w:rFonts w:ascii="Arial" w:cs="Arial" w:eastAsia="Arial" w:hAnsi="Arial"/>
                <w:sz w:val="13"/>
                <w:szCs w:val="13"/>
                <w:color w:val="auto"/>
              </w:rPr>
              <w:t>(7,774)</w:t>
            </w:r>
          </w:p>
        </w:tc>
        <w:tc>
          <w:tcPr>
            <w:tcW w:w="300" w:type="dxa"/>
            <w:vAlign w:val="bottom"/>
            <w:shd w:val="clear" w:color="auto" w:fill="CFF0FC"/>
          </w:tcPr>
          <w:p>
            <w:pPr>
              <w:spacing w:after="0"/>
              <w:rPr>
                <w:sz w:val="12"/>
                <w:szCs w:val="12"/>
                <w:color w:val="auto"/>
              </w:rPr>
            </w:pPr>
          </w:p>
        </w:tc>
        <w:tc>
          <w:tcPr>
            <w:tcW w:w="860" w:type="dxa"/>
            <w:vAlign w:val="bottom"/>
            <w:shd w:val="clear" w:color="auto" w:fill="CFF0FC"/>
          </w:tcPr>
          <w:p>
            <w:pPr>
              <w:spacing w:after="0"/>
              <w:rPr>
                <w:sz w:val="12"/>
                <w:szCs w:val="12"/>
                <w:color w:val="auto"/>
              </w:rPr>
            </w:pPr>
          </w:p>
        </w:tc>
        <w:tc>
          <w:tcPr>
            <w:tcW w:w="1420" w:type="dxa"/>
            <w:vAlign w:val="bottom"/>
            <w:shd w:val="clear" w:color="auto" w:fill="CFF0FC"/>
          </w:tcPr>
          <w:p>
            <w:pPr>
              <w:jc w:val="right"/>
              <w:spacing w:after="0" w:line="142" w:lineRule="exact"/>
              <w:rPr>
                <w:sz w:val="20"/>
                <w:szCs w:val="20"/>
                <w:color w:val="auto"/>
              </w:rPr>
            </w:pPr>
            <w:r>
              <w:rPr>
                <w:rFonts w:ascii="Arial" w:cs="Arial" w:eastAsia="Arial" w:hAnsi="Arial"/>
                <w:sz w:val="13"/>
                <w:szCs w:val="13"/>
                <w:color w:val="auto"/>
              </w:rPr>
              <w:t>44,932</w:t>
            </w:r>
          </w:p>
        </w:tc>
        <w:tc>
          <w:tcPr>
            <w:tcW w:w="100" w:type="dxa"/>
            <w:vAlign w:val="bottom"/>
            <w:shd w:val="clear" w:color="auto" w:fill="CFF0FC"/>
          </w:tcPr>
          <w:p>
            <w:pPr>
              <w:spacing w:after="0"/>
              <w:rPr>
                <w:sz w:val="12"/>
                <w:szCs w:val="12"/>
                <w:color w:val="auto"/>
              </w:rPr>
            </w:pPr>
          </w:p>
        </w:tc>
      </w:tr>
      <w:tr>
        <w:trPr>
          <w:trHeight w:val="148"/>
        </w:trPr>
        <w:tc>
          <w:tcPr>
            <w:tcW w:w="6300" w:type="dxa"/>
            <w:vAlign w:val="bottom"/>
            <w:tcBorders>
              <w:bottom w:val="single" w:sz="8" w:color="CFF0FC"/>
            </w:tcBorders>
            <w:gridSpan w:val="2"/>
          </w:tcPr>
          <w:p>
            <w:pPr>
              <w:spacing w:after="0"/>
              <w:rPr>
                <w:sz w:val="20"/>
                <w:szCs w:val="20"/>
                <w:color w:val="auto"/>
              </w:rPr>
            </w:pPr>
            <w:r>
              <w:rPr>
                <w:rFonts w:ascii="Arial" w:cs="Arial" w:eastAsia="Arial" w:hAnsi="Arial"/>
                <w:sz w:val="13"/>
                <w:szCs w:val="13"/>
                <w:color w:val="auto"/>
              </w:rPr>
              <w:t>Cash and cash equivalents at beginning of period</w:t>
            </w:r>
          </w:p>
        </w:tc>
        <w:tc>
          <w:tcPr>
            <w:tcW w:w="520" w:type="dxa"/>
            <w:vAlign w:val="bottom"/>
            <w:tcBorders>
              <w:bottom w:val="single" w:sz="8" w:color="auto"/>
            </w:tcBorders>
          </w:tcPr>
          <w:p>
            <w:pPr>
              <w:spacing w:after="0"/>
              <w:rPr>
                <w:sz w:val="12"/>
                <w:szCs w:val="12"/>
                <w:color w:val="auto"/>
              </w:rPr>
            </w:pPr>
          </w:p>
        </w:tc>
        <w:tc>
          <w:tcPr>
            <w:tcW w:w="174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58,903</w:t>
            </w:r>
          </w:p>
        </w:tc>
        <w:tc>
          <w:tcPr>
            <w:tcW w:w="300" w:type="dxa"/>
            <w:vAlign w:val="bottom"/>
            <w:tcBorders>
              <w:bottom w:val="single" w:sz="8" w:color="CFF0FC"/>
            </w:tcBorders>
          </w:tcPr>
          <w:p>
            <w:pPr>
              <w:spacing w:after="0"/>
              <w:rPr>
                <w:sz w:val="12"/>
                <w:szCs w:val="12"/>
                <w:color w:val="auto"/>
              </w:rPr>
            </w:pPr>
          </w:p>
        </w:tc>
        <w:tc>
          <w:tcPr>
            <w:tcW w:w="860" w:type="dxa"/>
            <w:vAlign w:val="bottom"/>
            <w:tcBorders>
              <w:bottom w:val="single" w:sz="8" w:color="auto"/>
            </w:tcBorders>
          </w:tcPr>
          <w:p>
            <w:pPr>
              <w:spacing w:after="0"/>
              <w:rPr>
                <w:sz w:val="12"/>
                <w:szCs w:val="12"/>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77,534</w:t>
            </w:r>
          </w:p>
        </w:tc>
        <w:tc>
          <w:tcPr>
            <w:tcW w:w="100" w:type="dxa"/>
            <w:vAlign w:val="bottom"/>
            <w:tcBorders>
              <w:bottom w:val="single" w:sz="8" w:color="CFF0FC"/>
            </w:tcBorders>
          </w:tcPr>
          <w:p>
            <w:pPr>
              <w:spacing w:after="0"/>
              <w:rPr>
                <w:sz w:val="12"/>
                <w:szCs w:val="12"/>
                <w:color w:val="auto"/>
              </w:rPr>
            </w:pPr>
          </w:p>
        </w:tc>
      </w:tr>
      <w:tr>
        <w:trPr>
          <w:trHeight w:val="142"/>
        </w:trPr>
        <w:tc>
          <w:tcPr>
            <w:tcW w:w="6300" w:type="dxa"/>
            <w:vAlign w:val="bottom"/>
            <w:tcBorders>
              <w:bottom w:val="single" w:sz="8" w:color="CFF0FC"/>
            </w:tcBorders>
            <w:gridSpan w:val="2"/>
            <w:shd w:val="clear" w:color="auto" w:fill="CFF0FC"/>
          </w:tcPr>
          <w:p>
            <w:pPr>
              <w:spacing w:after="0" w:line="142" w:lineRule="exact"/>
              <w:rPr>
                <w:sz w:val="20"/>
                <w:szCs w:val="20"/>
                <w:color w:val="auto"/>
              </w:rPr>
            </w:pPr>
            <w:r>
              <w:rPr>
                <w:rFonts w:ascii="Arial" w:cs="Arial" w:eastAsia="Arial" w:hAnsi="Arial"/>
                <w:sz w:val="13"/>
                <w:szCs w:val="13"/>
                <w:color w:val="auto"/>
              </w:rPr>
              <w:t>Cash and cash equivalents at end of period</w:t>
            </w:r>
          </w:p>
        </w:tc>
        <w:tc>
          <w:tcPr>
            <w:tcW w:w="520" w:type="dxa"/>
            <w:vAlign w:val="bottom"/>
            <w:tcBorders>
              <w:bottom w:val="single" w:sz="8" w:color="auto"/>
            </w:tcBorders>
            <w:shd w:val="clear" w:color="auto" w:fill="CFF0FC"/>
          </w:tcPr>
          <w:p>
            <w:pPr>
              <w:jc w:val="right"/>
              <w:ind w:right="408"/>
              <w:spacing w:after="0"/>
              <w:rPr>
                <w:sz w:val="20"/>
                <w:szCs w:val="20"/>
                <w:color w:val="auto"/>
              </w:rPr>
            </w:pPr>
            <w:r>
              <w:rPr>
                <w:rFonts w:ascii="Arial" w:cs="Arial" w:eastAsia="Arial" w:hAnsi="Arial"/>
                <w:sz w:val="10"/>
                <w:szCs w:val="10"/>
                <w:color w:val="auto"/>
                <w:w w:val="71"/>
              </w:rPr>
              <w:t>$</w:t>
            </w:r>
          </w:p>
        </w:tc>
        <w:tc>
          <w:tcPr>
            <w:tcW w:w="1740" w:type="dxa"/>
            <w:vAlign w:val="bottom"/>
            <w:tcBorders>
              <w:bottom w:val="single" w:sz="8" w:color="auto"/>
            </w:tcBorders>
            <w:shd w:val="clear" w:color="auto" w:fill="CFF0FC"/>
          </w:tcPr>
          <w:p>
            <w:pPr>
              <w:jc w:val="right"/>
              <w:spacing w:after="0" w:line="142" w:lineRule="exact"/>
              <w:rPr>
                <w:sz w:val="20"/>
                <w:szCs w:val="20"/>
                <w:color w:val="auto"/>
              </w:rPr>
            </w:pPr>
            <w:r>
              <w:rPr>
                <w:rFonts w:ascii="Arial" w:cs="Arial" w:eastAsia="Arial" w:hAnsi="Arial"/>
                <w:sz w:val="13"/>
                <w:szCs w:val="13"/>
                <w:color w:val="auto"/>
              </w:rPr>
              <w:t>51,129</w:t>
            </w:r>
          </w:p>
        </w:tc>
        <w:tc>
          <w:tcPr>
            <w:tcW w:w="300" w:type="dxa"/>
            <w:vAlign w:val="bottom"/>
            <w:tcBorders>
              <w:bottom w:val="single" w:sz="8" w:color="CFF0FC"/>
            </w:tcBorders>
            <w:shd w:val="clear" w:color="auto" w:fill="CFF0FC"/>
          </w:tcPr>
          <w:p>
            <w:pPr>
              <w:spacing w:after="0"/>
              <w:rPr>
                <w:sz w:val="12"/>
                <w:szCs w:val="12"/>
                <w:color w:val="auto"/>
              </w:rPr>
            </w:pPr>
          </w:p>
        </w:tc>
        <w:tc>
          <w:tcPr>
            <w:tcW w:w="860" w:type="dxa"/>
            <w:vAlign w:val="bottom"/>
            <w:tcBorders>
              <w:bottom w:val="single" w:sz="8" w:color="auto"/>
            </w:tcBorders>
            <w:shd w:val="clear" w:color="auto" w:fill="CFF0FC"/>
          </w:tcPr>
          <w:p>
            <w:pPr>
              <w:jc w:val="right"/>
              <w:ind w:right="748"/>
              <w:spacing w:after="0"/>
              <w:rPr>
                <w:sz w:val="20"/>
                <w:szCs w:val="20"/>
                <w:color w:val="auto"/>
              </w:rPr>
            </w:pPr>
            <w:r>
              <w:rPr>
                <w:rFonts w:ascii="Arial" w:cs="Arial" w:eastAsia="Arial" w:hAnsi="Arial"/>
                <w:sz w:val="10"/>
                <w:szCs w:val="10"/>
                <w:color w:val="auto"/>
                <w:w w:val="71"/>
              </w:rPr>
              <w:t>$</w:t>
            </w:r>
          </w:p>
        </w:tc>
        <w:tc>
          <w:tcPr>
            <w:tcW w:w="1420" w:type="dxa"/>
            <w:vAlign w:val="bottom"/>
            <w:tcBorders>
              <w:bottom w:val="single" w:sz="8" w:color="auto"/>
            </w:tcBorders>
            <w:shd w:val="clear" w:color="auto" w:fill="CFF0FC"/>
          </w:tcPr>
          <w:p>
            <w:pPr>
              <w:jc w:val="right"/>
              <w:spacing w:after="0" w:line="142" w:lineRule="exact"/>
              <w:rPr>
                <w:sz w:val="20"/>
                <w:szCs w:val="20"/>
                <w:color w:val="auto"/>
              </w:rPr>
            </w:pPr>
            <w:r>
              <w:rPr>
                <w:rFonts w:ascii="Arial" w:cs="Arial" w:eastAsia="Arial" w:hAnsi="Arial"/>
                <w:sz w:val="13"/>
                <w:szCs w:val="13"/>
                <w:color w:val="auto"/>
              </w:rPr>
              <w:t>122,466</w:t>
            </w:r>
          </w:p>
        </w:tc>
        <w:tc>
          <w:tcPr>
            <w:tcW w:w="100" w:type="dxa"/>
            <w:vAlign w:val="bottom"/>
            <w:tcBorders>
              <w:bottom w:val="single" w:sz="8" w:color="CFF0FC"/>
            </w:tcBorders>
            <w:shd w:val="clear" w:color="auto" w:fill="CFF0FC"/>
          </w:tcPr>
          <w:p>
            <w:pPr>
              <w:spacing w:after="0"/>
              <w:rPr>
                <w:sz w:val="12"/>
                <w:szCs w:val="12"/>
                <w:color w:val="auto"/>
              </w:rPr>
            </w:pPr>
          </w:p>
        </w:tc>
      </w:tr>
      <w:tr>
        <w:trPr>
          <w:trHeight w:val="20"/>
        </w:trPr>
        <w:tc>
          <w:tcPr>
            <w:tcW w:w="60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29"/>
        </w:trPr>
        <w:tc>
          <w:tcPr>
            <w:tcW w:w="60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7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49"/>
        </w:trPr>
        <w:tc>
          <w:tcPr>
            <w:tcW w:w="6300" w:type="dxa"/>
            <w:vAlign w:val="bottom"/>
            <w:gridSpan w:val="2"/>
            <w:shd w:val="clear" w:color="auto" w:fill="CFF0FC"/>
          </w:tcPr>
          <w:p>
            <w:pPr>
              <w:spacing w:after="0"/>
              <w:rPr>
                <w:sz w:val="20"/>
                <w:szCs w:val="20"/>
                <w:color w:val="auto"/>
              </w:rPr>
            </w:pPr>
            <w:r>
              <w:rPr>
                <w:rFonts w:ascii="Arial" w:cs="Arial" w:eastAsia="Arial" w:hAnsi="Arial"/>
                <w:sz w:val="13"/>
                <w:szCs w:val="13"/>
                <w:color w:val="auto"/>
              </w:rPr>
              <w:t>Non-cash investing and financing activities:</w:t>
            </w:r>
          </w:p>
        </w:tc>
        <w:tc>
          <w:tcPr>
            <w:tcW w:w="520" w:type="dxa"/>
            <w:vAlign w:val="bottom"/>
            <w:shd w:val="clear" w:color="auto" w:fill="CFF0FC"/>
          </w:tcPr>
          <w:p>
            <w:pPr>
              <w:spacing w:after="0"/>
              <w:rPr>
                <w:sz w:val="12"/>
                <w:szCs w:val="12"/>
                <w:color w:val="auto"/>
              </w:rPr>
            </w:pPr>
          </w:p>
        </w:tc>
        <w:tc>
          <w:tcPr>
            <w:tcW w:w="1740" w:type="dxa"/>
            <w:vAlign w:val="bottom"/>
            <w:shd w:val="clear" w:color="auto" w:fill="CFF0FC"/>
          </w:tcPr>
          <w:p>
            <w:pPr>
              <w:spacing w:after="0"/>
              <w:rPr>
                <w:sz w:val="12"/>
                <w:szCs w:val="12"/>
                <w:color w:val="auto"/>
              </w:rPr>
            </w:pPr>
          </w:p>
        </w:tc>
        <w:tc>
          <w:tcPr>
            <w:tcW w:w="300" w:type="dxa"/>
            <w:vAlign w:val="bottom"/>
            <w:shd w:val="clear" w:color="auto" w:fill="CFF0FC"/>
          </w:tcPr>
          <w:p>
            <w:pPr>
              <w:spacing w:after="0"/>
              <w:rPr>
                <w:sz w:val="12"/>
                <w:szCs w:val="12"/>
                <w:color w:val="auto"/>
              </w:rPr>
            </w:pPr>
          </w:p>
        </w:tc>
        <w:tc>
          <w:tcPr>
            <w:tcW w:w="860" w:type="dxa"/>
            <w:vAlign w:val="bottom"/>
            <w:shd w:val="clear" w:color="auto" w:fill="CFF0FC"/>
          </w:tcPr>
          <w:p>
            <w:pPr>
              <w:spacing w:after="0"/>
              <w:rPr>
                <w:sz w:val="12"/>
                <w:szCs w:val="12"/>
                <w:color w:val="auto"/>
              </w:rPr>
            </w:pPr>
          </w:p>
        </w:tc>
        <w:tc>
          <w:tcPr>
            <w:tcW w:w="14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r>
      <w:tr>
        <w:trPr>
          <w:trHeight w:val="148"/>
        </w:trPr>
        <w:tc>
          <w:tcPr>
            <w:tcW w:w="6300" w:type="dxa"/>
            <w:vAlign w:val="bottom"/>
            <w:gridSpan w:val="2"/>
          </w:tcPr>
          <w:p>
            <w:pPr>
              <w:ind w:left="260"/>
              <w:spacing w:after="0"/>
              <w:rPr>
                <w:sz w:val="20"/>
                <w:szCs w:val="20"/>
                <w:color w:val="auto"/>
              </w:rPr>
            </w:pPr>
            <w:r>
              <w:rPr>
                <w:rFonts w:ascii="Arial" w:cs="Arial" w:eastAsia="Arial" w:hAnsi="Arial"/>
                <w:sz w:val="13"/>
                <w:szCs w:val="13"/>
                <w:color w:val="auto"/>
              </w:rPr>
              <w:t>Property and equipment acquired but not yet paid</w:t>
            </w:r>
          </w:p>
        </w:tc>
        <w:tc>
          <w:tcPr>
            <w:tcW w:w="520" w:type="dxa"/>
            <w:vAlign w:val="bottom"/>
          </w:tcPr>
          <w:p>
            <w:pPr>
              <w:jc w:val="right"/>
              <w:ind w:right="408"/>
              <w:spacing w:after="0"/>
              <w:rPr>
                <w:sz w:val="20"/>
                <w:szCs w:val="20"/>
                <w:color w:val="auto"/>
              </w:rPr>
            </w:pPr>
            <w:r>
              <w:rPr>
                <w:rFonts w:ascii="Arial" w:cs="Arial" w:eastAsia="Arial" w:hAnsi="Arial"/>
                <w:sz w:val="10"/>
                <w:szCs w:val="10"/>
                <w:color w:val="auto"/>
                <w:w w:val="71"/>
              </w:rPr>
              <w:t>$</w:t>
            </w:r>
          </w:p>
        </w:tc>
        <w:tc>
          <w:tcPr>
            <w:tcW w:w="1740" w:type="dxa"/>
            <w:vAlign w:val="bottom"/>
          </w:tcPr>
          <w:p>
            <w:pPr>
              <w:jc w:val="right"/>
              <w:spacing w:after="0"/>
              <w:rPr>
                <w:sz w:val="20"/>
                <w:szCs w:val="20"/>
                <w:color w:val="auto"/>
              </w:rPr>
            </w:pPr>
            <w:r>
              <w:rPr>
                <w:rFonts w:ascii="Arial" w:cs="Arial" w:eastAsia="Arial" w:hAnsi="Arial"/>
                <w:sz w:val="13"/>
                <w:szCs w:val="13"/>
                <w:color w:val="auto"/>
              </w:rPr>
              <w:t>13,338</w:t>
            </w:r>
          </w:p>
        </w:tc>
        <w:tc>
          <w:tcPr>
            <w:tcW w:w="300" w:type="dxa"/>
            <w:vAlign w:val="bottom"/>
          </w:tcPr>
          <w:p>
            <w:pPr>
              <w:spacing w:after="0"/>
              <w:rPr>
                <w:sz w:val="12"/>
                <w:szCs w:val="12"/>
                <w:color w:val="auto"/>
              </w:rPr>
            </w:pPr>
          </w:p>
        </w:tc>
        <w:tc>
          <w:tcPr>
            <w:tcW w:w="860" w:type="dxa"/>
            <w:vAlign w:val="bottom"/>
          </w:tcPr>
          <w:p>
            <w:pPr>
              <w:jc w:val="right"/>
              <w:ind w:right="748"/>
              <w:spacing w:after="0"/>
              <w:rPr>
                <w:sz w:val="20"/>
                <w:szCs w:val="20"/>
                <w:color w:val="auto"/>
              </w:rPr>
            </w:pPr>
            <w:r>
              <w:rPr>
                <w:rFonts w:ascii="Arial" w:cs="Arial" w:eastAsia="Arial" w:hAnsi="Arial"/>
                <w:sz w:val="10"/>
                <w:szCs w:val="10"/>
                <w:color w:val="auto"/>
                <w:w w:val="71"/>
              </w:rPr>
              <w:t>$</w:t>
            </w:r>
          </w:p>
        </w:tc>
        <w:tc>
          <w:tcPr>
            <w:tcW w:w="1420" w:type="dxa"/>
            <w:vAlign w:val="bottom"/>
          </w:tcPr>
          <w:p>
            <w:pPr>
              <w:jc w:val="right"/>
              <w:spacing w:after="0"/>
              <w:rPr>
                <w:sz w:val="20"/>
                <w:szCs w:val="20"/>
                <w:color w:val="auto"/>
              </w:rPr>
            </w:pPr>
            <w:r>
              <w:rPr>
                <w:rFonts w:ascii="Arial" w:cs="Arial" w:eastAsia="Arial" w:hAnsi="Arial"/>
                <w:sz w:val="13"/>
                <w:szCs w:val="13"/>
                <w:color w:val="auto"/>
              </w:rPr>
              <w:t>17,795</w:t>
            </w:r>
          </w:p>
        </w:tc>
        <w:tc>
          <w:tcPr>
            <w:tcW w:w="100" w:type="dxa"/>
            <w:vAlign w:val="bottom"/>
          </w:tcPr>
          <w:p>
            <w:pPr>
              <w:spacing w:after="0"/>
              <w:rPr>
                <w:sz w:val="12"/>
                <w:szCs w:val="12"/>
                <w:color w:val="auto"/>
              </w:rPr>
            </w:pPr>
          </w:p>
        </w:tc>
      </w:tr>
      <w:tr>
        <w:trPr>
          <w:trHeight w:val="148"/>
        </w:trPr>
        <w:tc>
          <w:tcPr>
            <w:tcW w:w="6300" w:type="dxa"/>
            <w:vAlign w:val="bottom"/>
            <w:gridSpan w:val="2"/>
            <w:shd w:val="clear" w:color="auto" w:fill="CFF0FC"/>
          </w:tcPr>
          <w:p>
            <w:pPr>
              <w:ind w:left="260"/>
              <w:spacing w:after="0"/>
              <w:rPr>
                <w:sz w:val="20"/>
                <w:szCs w:val="20"/>
                <w:color w:val="auto"/>
              </w:rPr>
            </w:pPr>
            <w:r>
              <w:rPr>
                <w:rFonts w:ascii="Arial" w:cs="Arial" w:eastAsia="Arial" w:hAnsi="Arial"/>
                <w:sz w:val="13"/>
                <w:szCs w:val="13"/>
                <w:color w:val="auto"/>
              </w:rPr>
              <w:t>Tenant capital improvements</w:t>
            </w:r>
          </w:p>
        </w:tc>
        <w:tc>
          <w:tcPr>
            <w:tcW w:w="520" w:type="dxa"/>
            <w:vAlign w:val="bottom"/>
            <w:shd w:val="clear" w:color="auto" w:fill="CFF0FC"/>
          </w:tcPr>
          <w:p>
            <w:pPr>
              <w:spacing w:after="0"/>
              <w:rPr>
                <w:sz w:val="12"/>
                <w:szCs w:val="12"/>
                <w:color w:val="auto"/>
              </w:rPr>
            </w:pPr>
          </w:p>
        </w:tc>
        <w:tc>
          <w:tcPr>
            <w:tcW w:w="17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38,669</w:t>
            </w:r>
          </w:p>
        </w:tc>
        <w:tc>
          <w:tcPr>
            <w:tcW w:w="300" w:type="dxa"/>
            <w:vAlign w:val="bottom"/>
            <w:shd w:val="clear" w:color="auto" w:fill="CFF0FC"/>
          </w:tcPr>
          <w:p>
            <w:pPr>
              <w:spacing w:after="0"/>
              <w:rPr>
                <w:sz w:val="12"/>
                <w:szCs w:val="12"/>
                <w:color w:val="auto"/>
              </w:rPr>
            </w:pPr>
          </w:p>
        </w:tc>
        <w:tc>
          <w:tcPr>
            <w:tcW w:w="860" w:type="dxa"/>
            <w:vAlign w:val="bottom"/>
            <w:shd w:val="clear" w:color="auto" w:fill="CFF0FC"/>
          </w:tcPr>
          <w:p>
            <w:pPr>
              <w:spacing w:after="0"/>
              <w:rPr>
                <w:sz w:val="12"/>
                <w:szCs w:val="12"/>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62,888</w:t>
            </w:r>
          </w:p>
        </w:tc>
        <w:tc>
          <w:tcPr>
            <w:tcW w:w="100" w:type="dxa"/>
            <w:vAlign w:val="bottom"/>
            <w:shd w:val="clear" w:color="auto" w:fill="CFF0FC"/>
          </w:tcPr>
          <w:p>
            <w:pPr>
              <w:spacing w:after="0"/>
              <w:rPr>
                <w:sz w:val="12"/>
                <w:szCs w:val="1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Uniti Group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the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Organization and Description of Business</w:t>
      </w:r>
    </w:p>
    <w:p>
      <w:pPr>
        <w:spacing w:after="0" w:line="229" w:lineRule="exact"/>
        <w:rPr>
          <w:sz w:val="20"/>
          <w:szCs w:val="20"/>
          <w:color w:val="auto"/>
        </w:rPr>
      </w:pPr>
    </w:p>
    <w:p>
      <w:pPr>
        <w:ind w:right="200"/>
        <w:spacing w:after="0" w:line="279" w:lineRule="auto"/>
        <w:rPr>
          <w:sz w:val="20"/>
          <w:szCs w:val="20"/>
          <w:color w:val="auto"/>
        </w:rPr>
      </w:pPr>
      <w:r>
        <w:rPr>
          <w:rFonts w:ascii="Arial" w:cs="Arial" w:eastAsia="Arial" w:hAnsi="Arial"/>
          <w:sz w:val="17"/>
          <w:szCs w:val="17"/>
          <w:color w:val="auto"/>
        </w:rPr>
        <w:t>Uniti Group Inc. (the “Company,” “Uniti,” “we,” “us,” or “our”) was incorporated in the state of Maryland on September 4, 2014. We are an independent internally managed real estate investment trust (“REIT”) engaged in the acquisition, construction and leasing of mission critical infrastructure in the communications industry. We are principally focused on acquiring and constructing fiber optic, copper and coaxial broadband networks and data centers. We manage our operations focused on our two primary lines of business: Uniti Fiber and Uniti Leasing.</w:t>
      </w:r>
    </w:p>
    <w:p>
      <w:pPr>
        <w:spacing w:after="0" w:line="171" w:lineRule="exact"/>
        <w:rPr>
          <w:sz w:val="20"/>
          <w:szCs w:val="20"/>
          <w:color w:val="auto"/>
        </w:rPr>
      </w:pPr>
    </w:p>
    <w:p>
      <w:pPr>
        <w:ind w:right="40"/>
        <w:spacing w:after="0" w:line="271" w:lineRule="auto"/>
        <w:rPr>
          <w:sz w:val="20"/>
          <w:szCs w:val="20"/>
          <w:color w:val="auto"/>
        </w:rPr>
      </w:pPr>
      <w:r>
        <w:rPr>
          <w:rFonts w:ascii="Arial" w:cs="Arial" w:eastAsia="Arial" w:hAnsi="Arial"/>
          <w:sz w:val="17"/>
          <w:szCs w:val="17"/>
          <w:color w:val="auto"/>
        </w:rPr>
        <w:t>The Company operates through a customary “up-REIT” structure, pursuant to which we hold substantially all of our assets through a partnership, Uniti Group LP, a Delaware limited partnership (the “Operating Partnership”), that we control as general partner, with the only significant difference between the financial position and results of operations of the Operating Partnership and its subsidiaries compared to the consolidated financial position and consolidated results of operations of Uniti is that the results for the Operating Partnership and its subsidiaries do not include Uniti’s Talk America Services (“Talk America”) business, the wind down of which was substantially completed as of the end of the second quarter of 2020. The up-REIT structure is intended to facilitate future acquisition opportunities by providing the Company with the ability to use common units of the Operating Partnership as a tax-efficient acquisition currency. As of March 31, 2022, we are the sole general partner of the Operating Partnership and own approximately 99.8% of the partnership interests in the Operating Partnership.</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Basis of Presentation and Summary of Significant Accounting Policies</w:t>
      </w:r>
    </w:p>
    <w:p>
      <w:pPr>
        <w:spacing w:after="0" w:line="229" w:lineRule="exact"/>
        <w:rPr>
          <w:sz w:val="20"/>
          <w:szCs w:val="20"/>
          <w:color w:val="auto"/>
        </w:rPr>
      </w:pPr>
    </w:p>
    <w:p>
      <w:pPr>
        <w:ind w:right="60"/>
        <w:spacing w:after="0" w:line="279" w:lineRule="auto"/>
        <w:rPr>
          <w:sz w:val="20"/>
          <w:szCs w:val="20"/>
          <w:color w:val="auto"/>
        </w:rPr>
      </w:pPr>
      <w:r>
        <w:rPr>
          <w:rFonts w:ascii="Arial" w:cs="Arial" w:eastAsia="Arial" w:hAnsi="Arial"/>
          <w:sz w:val="17"/>
          <w:szCs w:val="17"/>
          <w:color w:val="auto"/>
        </w:rPr>
        <w:t xml:space="preserve">The accompanying Condensed Consolidated Financial Statements include all accounts of the Company and its wholly-owned and/or controlled subsidiaries, including the Operating Partnership. Under the Accounting Standards Codification 810, </w:t>
      </w:r>
      <w:r>
        <w:rPr>
          <w:rFonts w:ascii="Arial" w:cs="Arial" w:eastAsia="Arial" w:hAnsi="Arial"/>
          <w:sz w:val="17"/>
          <w:szCs w:val="17"/>
          <w:i w:val="1"/>
          <w:iCs w:val="1"/>
          <w:color w:val="auto"/>
        </w:rPr>
        <w:t>Consolidation</w:t>
      </w:r>
      <w:r>
        <w:rPr>
          <w:rFonts w:ascii="Arial" w:cs="Arial" w:eastAsia="Arial" w:hAnsi="Arial"/>
          <w:sz w:val="17"/>
          <w:szCs w:val="17"/>
          <w:color w:val="auto"/>
        </w:rPr>
        <w:t xml:space="preserve"> (“ASC 810”), the Operating Partnership is considered a variable interest entity and is consolidated in the Condensed Consolidated Financial Statements of Uniti Group Inc. because the Company is the primary beneficiary. All material intercompany balances and transactions have been eliminated.</w:t>
      </w:r>
    </w:p>
    <w:p>
      <w:pPr>
        <w:spacing w:after="0" w:line="171"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ASC 810 provides guidance on the identification of entities for which control is achieved through means other than voting rights (“variable interest entities” or “VIEs”) and the determination of which business enterprise, if any, should consolidate the VIEs. Generally, the consideration of whether an entity is a VIE applies when either: (1) the equity investors (if any) lack (i) the ability to make decisions about the entity’s activities through voting or similar rights, (ii) the obligation to absorb the expected losses of the entity, or (iii) the right to receive the expected residual returns of the entity; (2) the equity investment at risk is insufficient to finance that entity’s activities without additional subordinated financial support; or (3) the equity investors have voting rights that are not proportionate to their economic interests and substantially all of the activities of the entity involve or are conducted on behalf of an investor with a disproportionately small voting interest. The Company consolidates VIEs in which it is considered to be the primary beneficiary. The primary beneficiary is defined as the entity having both of the following characteristics: (1) the power to direct the activities that, when taken together, most significantly impact the VIE’s performance; and (2) the obligation to absorb losses and right to receive the returns from the VIE that would be significant to the VIE.</w:t>
      </w:r>
    </w:p>
    <w:p>
      <w:pPr>
        <w:spacing w:after="0" w:line="194" w:lineRule="exact"/>
        <w:rPr>
          <w:sz w:val="20"/>
          <w:szCs w:val="20"/>
          <w:color w:val="auto"/>
        </w:rPr>
      </w:pPr>
    </w:p>
    <w:p>
      <w:pPr>
        <w:ind w:right="200"/>
        <w:spacing w:after="0" w:line="288" w:lineRule="auto"/>
        <w:rPr>
          <w:sz w:val="20"/>
          <w:szCs w:val="20"/>
          <w:color w:val="auto"/>
        </w:rPr>
      </w:pPr>
      <w:r>
        <w:rPr>
          <w:rFonts w:ascii="Arial" w:cs="Arial" w:eastAsia="Arial" w:hAnsi="Arial"/>
          <w:sz w:val="16"/>
          <w:szCs w:val="16"/>
          <w:color w:val="auto"/>
        </w:rPr>
        <w:t>The accompanying Condensed Consolidated Financial Statements have been prepared in accordance with U.S. generally accepted accounting principles (“GAAP”) for interim financial information set forth in the Accounting Standards Codification (“ASC”), as published by the Financial Accounting Standards Board (“FASB”), and with the applicable rules and regulations of the Securities and Exchange Commission (“SEC”). Accordingly, they do not include all of the information and footnotes required by GAAP for complete financial statements. In the opinion of management, all adjustments (consisting of normal recurring accruals) considered necessary for a fair statement of results for the interim period have been included. Operating results from any interim period are not necessarily indicative of the results that may be expected for the full fiscal year. The accompanying Condensed Consolidated Financial Statements and related notes should be read in conjunction with the audited consolidated financial statements and notes thereto included in our Annual Report on Form 10-K filed with the SEC on February 25, 2022, as amended by Amendment No. 1 thereto filed on Form 10-K/A with the SEC on March 22, 2022 (the “Annual Report”). Accordingly, significant accounting policies and other disclosures normally provided have been omitted from the accompanying Condensed Consolidated Financial Statements and related notes since such items are disclosed in our Annual Report.</w:t>
      </w:r>
    </w:p>
    <w:p>
      <w:pPr>
        <w:spacing w:after="0" w:line="168"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u w:val="single" w:color="auto"/>
          <w:color w:val="auto"/>
        </w:rPr>
        <w:t>Concentration of Credit Risks</w:t>
      </w:r>
      <w:r>
        <w:rPr>
          <w:rFonts w:ascii="Arial" w:cs="Arial" w:eastAsia="Arial" w:hAnsi="Arial"/>
          <w:sz w:val="18"/>
          <w:szCs w:val="18"/>
          <w:color w:val="auto"/>
        </w:rPr>
        <w:t>—Prior to September 2020, we were party to a long-term exclusive triple-net lease (the “Master Lease”) with Windstream Holdings, Inc. (together with Windstream Holdings II, LLC, its successor in interest, and its subsidiaries,</w:t>
      </w:r>
    </w:p>
    <w:p>
      <w:pPr>
        <w:spacing w:after="0" w:line="200" w:lineRule="exact"/>
        <w:rPr>
          <w:sz w:val="20"/>
          <w:szCs w:val="20"/>
          <w:color w:val="auto"/>
        </w:rPr>
      </w:pPr>
    </w:p>
    <w:p>
      <w:pPr>
        <w:spacing w:after="0" w:line="21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jc w:val="both"/>
        <w:ind w:right="120"/>
        <w:spacing w:after="0" w:line="287" w:lineRule="auto"/>
        <w:rPr>
          <w:sz w:val="20"/>
          <w:szCs w:val="20"/>
          <w:color w:val="auto"/>
        </w:rPr>
      </w:pPr>
      <w:r>
        <w:rPr>
          <w:rFonts w:ascii="Arial" w:cs="Arial" w:eastAsia="Arial" w:hAnsi="Arial"/>
          <w:sz w:val="16"/>
          <w:szCs w:val="16"/>
          <w:color w:val="auto"/>
        </w:rPr>
        <w:t>“Windstream”) pursuant to which a substantial portion of our real property was leased to Windstream and from which a substantial portion of our leasing revenues were derived. On September 18, 2020, Uniti and Windstream bifurcated the Master Lease and entered into two structurally similar master leases (collectively, the “Windstream Leases”), which amended and restated the Master Lease in its entirety. Revenue under the Windstream Leases provided</w:t>
      </w:r>
    </w:p>
    <w:p>
      <w:pPr>
        <w:spacing w:after="0" w:line="2" w:lineRule="exact"/>
        <w:rPr>
          <w:sz w:val="20"/>
          <w:szCs w:val="20"/>
          <w:color w:val="auto"/>
        </w:rPr>
      </w:pPr>
    </w:p>
    <w:p>
      <w:pPr>
        <w:spacing w:after="0" w:line="295" w:lineRule="auto"/>
        <w:rPr>
          <w:sz w:val="20"/>
          <w:szCs w:val="20"/>
          <w:color w:val="auto"/>
        </w:rPr>
      </w:pPr>
      <w:r>
        <w:rPr>
          <w:rFonts w:ascii="Arial" w:cs="Arial" w:eastAsia="Arial" w:hAnsi="Arial"/>
          <w:sz w:val="16"/>
          <w:szCs w:val="16"/>
          <w:color w:val="auto"/>
        </w:rPr>
        <w:t>66.9% and 66.3% of our revenue for the three months ended March 31, 2022 and 2021, respectively. Because a substantial portion of our revenue and cash flows are derived from lease payments by Windstream pursuant to the Windstream Leases, there could be a material adverse impact on our consolidated results of operations, liquidity, financial condition and/or ability to pay dividends and service debt if Windstream were to default under the Windstream Leases or otherwise experiences operating or liquidity difficulties and becomes unable to generate sufficient cash to make payments to us.</w:t>
      </w:r>
    </w:p>
    <w:p>
      <w:pPr>
        <w:spacing w:after="0" w:line="161" w:lineRule="exact"/>
        <w:rPr>
          <w:sz w:val="20"/>
          <w:szCs w:val="20"/>
          <w:color w:val="auto"/>
        </w:rPr>
      </w:pPr>
    </w:p>
    <w:p>
      <w:pPr>
        <w:ind w:right="80"/>
        <w:spacing w:after="0" w:line="254" w:lineRule="auto"/>
        <w:rPr>
          <w:sz w:val="20"/>
          <w:szCs w:val="20"/>
          <w:color w:val="auto"/>
        </w:rPr>
      </w:pPr>
      <w:r>
        <w:rPr>
          <w:rFonts w:ascii="Arial" w:cs="Arial" w:eastAsia="Arial" w:hAnsi="Arial"/>
          <w:sz w:val="18"/>
          <w:szCs w:val="18"/>
          <w:color w:val="auto"/>
        </w:rPr>
        <w:t>Prior to its emergence from bankruptcy on September 21, 2020, Windstream was a publicly traded company subject to the periodic filing requirements of the Securities Exchange Act of 1934, as amended (the “Exchange Act”). Windstream’s historic filings through their quarter ended June 30, 2020 can be found at www.sec.gov. Additionally, the Windstream audited financial statements as of December 31, 2021, and for the year ended December 31, 2021, as of December 31, 2020 and for the period from September 22, 2020 to December 31, 2020 and for the period from January 1, 2020 to September 21, 2020 and for the year ended December 31, 2019 are included as an exhibit to our Annual Report. On September 22, 2020, Windstream filed a Form 15 to terminate all filing obligations under Sections 12(g) and 15(d) under the Exchange Act. Windstream filings are not incorporated by reference in this Quarterly Report on Form 10-Q.</w:t>
      </w:r>
    </w:p>
    <w:p>
      <w:pPr>
        <w:spacing w:after="0" w:line="195"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We monitor the credit quality of Windstream through numerous methods, including by (i) reviewing credit ratings of Windstream by nationally recognized credit agencies, (ii) reviewing the financial statements of Windstream that are required to be delivered to us pursuant to the Windstream Leases, (iii) monitoring news reports regarding Windstream and its business, (iv) conducting research to ascertain industry trends potentially affecting Windstream, (v) monitoring Windstream’s compliance with the terms of the Windstream Leases and (vi) monitoring the timeliness of its payments under the Windstream Leases.</w:t>
      </w:r>
    </w:p>
    <w:p>
      <w:pPr>
        <w:spacing w:after="0" w:line="188"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As of the date of this Quarterly Report on Form 10-Q, Windstream is current on all lease payments. We note that in August 2020, Moody’s Investor Service assigned a B3 corporate family rating with a stable outlook to Windstream in connection with its post-emergence exit financing. At the same time, S&amp;P Global Ratings assigned Windstream a B- issuer rating with a stable outlook. Both ratings remain current as of the date of this filing. In order to assist us in our continuing assessment of Windstream’s creditworthiness, we periodically receive certain confidential financial information and metrics from Windstream.</w:t>
      </w:r>
    </w:p>
    <w:p>
      <w:pPr>
        <w:spacing w:after="0" w:line="188" w:lineRule="exact"/>
        <w:rPr>
          <w:sz w:val="20"/>
          <w:szCs w:val="20"/>
          <w:color w:val="auto"/>
        </w:rPr>
      </w:pPr>
    </w:p>
    <w:p>
      <w:pPr>
        <w:spacing w:after="0"/>
        <w:rPr>
          <w:sz w:val="20"/>
          <w:szCs w:val="20"/>
          <w:color w:val="auto"/>
        </w:rPr>
      </w:pPr>
      <w:r>
        <w:rPr>
          <w:rFonts w:ascii="Arial" w:cs="Arial" w:eastAsia="Arial" w:hAnsi="Arial"/>
          <w:sz w:val="16"/>
          <w:szCs w:val="16"/>
          <w:u w:val="single" w:color="auto"/>
          <w:color w:val="auto"/>
        </w:rPr>
        <w:t>Reclassifications</w:t>
      </w:r>
      <w:r>
        <w:rPr>
          <w:rFonts w:ascii="Arial" w:cs="Arial" w:eastAsia="Arial" w:hAnsi="Arial"/>
          <w:sz w:val="16"/>
          <w:szCs w:val="16"/>
          <w:color w:val="auto"/>
        </w:rPr>
        <w:t>—Certain prior year asset and liability categories and related amounts have been reclassified to conform with current year presentation.</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Recently Adopted Accounting Pronouncements</w:t>
      </w:r>
    </w:p>
    <w:p>
      <w:pPr>
        <w:spacing w:after="0" w:line="225" w:lineRule="exact"/>
        <w:rPr>
          <w:sz w:val="20"/>
          <w:szCs w:val="20"/>
          <w:color w:val="auto"/>
        </w:rPr>
      </w:pPr>
    </w:p>
    <w:p>
      <w:pPr>
        <w:ind w:right="200"/>
        <w:spacing w:after="0" w:line="254" w:lineRule="auto"/>
        <w:rPr>
          <w:sz w:val="20"/>
          <w:szCs w:val="20"/>
          <w:color w:val="auto"/>
        </w:rPr>
      </w:pPr>
      <w:r>
        <w:rPr>
          <w:rFonts w:ascii="Arial" w:cs="Arial" w:eastAsia="Arial" w:hAnsi="Arial"/>
          <w:sz w:val="18"/>
          <w:szCs w:val="18"/>
          <w:color w:val="auto"/>
        </w:rPr>
        <w:t xml:space="preserve">In May 2021, the FASB issued ASU 2021-04, </w:t>
      </w:r>
      <w:r>
        <w:rPr>
          <w:rFonts w:ascii="Arial" w:cs="Arial" w:eastAsia="Arial" w:hAnsi="Arial"/>
          <w:sz w:val="18"/>
          <w:szCs w:val="18"/>
          <w:i w:val="1"/>
          <w:iCs w:val="1"/>
          <w:color w:val="auto"/>
        </w:rPr>
        <w:t>Earnings Per Share (Topic 260), Debt—Modifications and Extinguishments (Subtopic 470-50),</w:t>
      </w:r>
      <w:r>
        <w:rPr>
          <w:rFonts w:ascii="Arial" w:cs="Arial" w:eastAsia="Arial" w:hAnsi="Arial"/>
          <w:sz w:val="18"/>
          <w:szCs w:val="18"/>
          <w:color w:val="auto"/>
        </w:rPr>
        <w:t xml:space="preserve"> </w:t>
      </w:r>
      <w:r>
        <w:rPr>
          <w:rFonts w:ascii="Arial" w:cs="Arial" w:eastAsia="Arial" w:hAnsi="Arial"/>
          <w:sz w:val="18"/>
          <w:szCs w:val="18"/>
          <w:i w:val="1"/>
          <w:iCs w:val="1"/>
          <w:color w:val="auto"/>
        </w:rPr>
        <w:t>Compensation— Stock Compensation (Topic 718), and Derivatives and Hedging—Contracts in Entity’s Own Equity (Subtopic 815- 40)</w:t>
      </w:r>
      <w:r>
        <w:rPr>
          <w:rFonts w:ascii="Arial" w:cs="Arial" w:eastAsia="Arial" w:hAnsi="Arial"/>
          <w:sz w:val="18"/>
          <w:szCs w:val="18"/>
          <w:color w:val="auto"/>
        </w:rPr>
        <w:t>: Issuer’s</w:t>
      </w:r>
      <w:r>
        <w:rPr>
          <w:rFonts w:ascii="Arial" w:cs="Arial" w:eastAsia="Arial" w:hAnsi="Arial"/>
          <w:sz w:val="18"/>
          <w:szCs w:val="18"/>
          <w:i w:val="1"/>
          <w:iCs w:val="1"/>
          <w:color w:val="auto"/>
        </w:rPr>
        <w:t xml:space="preserve"> </w:t>
      </w:r>
      <w:r>
        <w:rPr>
          <w:rFonts w:ascii="Arial" w:cs="Arial" w:eastAsia="Arial" w:hAnsi="Arial"/>
          <w:sz w:val="18"/>
          <w:szCs w:val="18"/>
          <w:color w:val="auto"/>
        </w:rPr>
        <w:t>Accounting for Certain Modifications or Exchanges of Freestanding Equity-Classified Written Call Options, which clarifies and reduces diversity in an issuer’s accounting for modifications or exchanges of freestanding equity-classified written call options (for example, warrants) that remain equity classified after modification or exchange (“ASU 2021-04”). ASU 2021-04 is effective for all entities for fiscal years beginning after December 15, 2021, including interim periods within those fiscal years. The Company adopted ASU 2021-04 effective January 1, 2022, and there was no impact on our consolidated financial statements.</w:t>
      </w:r>
    </w:p>
    <w:p>
      <w:pPr>
        <w:spacing w:after="0" w:line="195" w:lineRule="exact"/>
        <w:rPr>
          <w:sz w:val="20"/>
          <w:szCs w:val="20"/>
          <w:color w:val="auto"/>
        </w:rPr>
      </w:pPr>
    </w:p>
    <w:p>
      <w:pPr>
        <w:ind w:right="20"/>
        <w:spacing w:after="0" w:line="296" w:lineRule="auto"/>
        <w:rPr>
          <w:sz w:val="20"/>
          <w:szCs w:val="20"/>
          <w:color w:val="auto"/>
        </w:rPr>
      </w:pPr>
      <w:r>
        <w:rPr>
          <w:rFonts w:ascii="Arial" w:cs="Arial" w:eastAsia="Arial" w:hAnsi="Arial"/>
          <w:sz w:val="16"/>
          <w:szCs w:val="16"/>
          <w:color w:val="auto"/>
        </w:rPr>
        <w:t>In July 2021, the FASB issued ASU 2021-05, Leases (Topic 842): Lessors—Certain Leases with Variable Lease Payments (“ASU 2021-05”), which requires lessors to classify leases as operating leases if they (1) have variable lease payments that do not depend on a reference index or rate, and (2) would have resulted in the recognition of a selling loss at lease commencement if classified as sales-type or direct financing. ASU 2021-05 is effective for all entities which have previously adopted Topic 842 for fiscal years beginning after December 15, 2021, including interim periods within those fiscal years. The Company adopted ASU 2021-05 effective January 1, 2022, and there was no impact on our consolidated financial statements.</w:t>
      </w:r>
    </w:p>
    <w:p>
      <w:pPr>
        <w:spacing w:after="0" w:line="200" w:lineRule="exact"/>
        <w:rPr>
          <w:sz w:val="20"/>
          <w:szCs w:val="20"/>
          <w:color w:val="auto"/>
        </w:rPr>
      </w:pPr>
    </w:p>
    <w:p>
      <w:pPr>
        <w:spacing w:after="0" w:line="20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125" w:right="379" w:bottom="1440" w:gutter="0" w:footer="0" w:header="0"/>
        </w:sectPr>
      </w:pPr>
    </w:p>
    <w:bookmarkStart w:id="11" w:name="page12"/>
    <w:bookmarkEnd w:id="11"/>
    <w:tbl>
      <w:tblPr>
        <w:tblLayout w:type="fixed"/>
        <w:tblInd w:w="0" w:type="dxa"/>
        <w:tblCellMar>
          <w:top w:w="0" w:type="dxa"/>
          <w:left w:w="0" w:type="dxa"/>
          <w:bottom w:w="0" w:type="dxa"/>
          <w:right w:w="0" w:type="dxa"/>
        </w:tblCellMar>
      </w:tblPr>
      <w:tr>
        <w:trPr>
          <w:trHeight w:val="207"/>
        </w:trPr>
        <w:tc>
          <w:tcPr>
            <w:tcW w:w="6820" w:type="dxa"/>
            <w:vAlign w:val="bottom"/>
            <w:gridSpan w:val="3"/>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Table of Contents</w:t>
              </w:r>
            </w:hyperlink>
          </w:p>
        </w:tc>
        <w:tc>
          <w:tcPr>
            <w:tcW w:w="2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
        </w:trPr>
        <w:tc>
          <w:tcPr>
            <w:tcW w:w="1280" w:type="dxa"/>
            <w:vAlign w:val="bottom"/>
            <w:shd w:val="clear" w:color="auto" w:fill="0000EE"/>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8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668"/>
        </w:trPr>
        <w:tc>
          <w:tcPr>
            <w:tcW w:w="6820" w:type="dxa"/>
            <w:vAlign w:val="bottom"/>
            <w:gridSpan w:val="3"/>
          </w:tcPr>
          <w:p>
            <w:pPr>
              <w:spacing w:after="0"/>
              <w:rPr>
                <w:sz w:val="20"/>
                <w:szCs w:val="20"/>
                <w:color w:val="auto"/>
              </w:rPr>
            </w:pPr>
            <w:r>
              <w:rPr>
                <w:rFonts w:ascii="Arial" w:cs="Arial" w:eastAsia="Arial" w:hAnsi="Arial"/>
                <w:sz w:val="18"/>
                <w:szCs w:val="18"/>
                <w:b w:val="1"/>
                <w:bCs w:val="1"/>
                <w:color w:val="auto"/>
              </w:rPr>
              <w:t>Note 3. Revenues</w:t>
            </w:r>
          </w:p>
        </w:tc>
        <w:tc>
          <w:tcPr>
            <w:tcW w:w="2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92"/>
        </w:trPr>
        <w:tc>
          <w:tcPr>
            <w:tcW w:w="198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w w:val="89"/>
              </w:rPr>
              <w:t>Disaggregation of Revenue</w:t>
            </w:r>
          </w:p>
        </w:tc>
        <w:tc>
          <w:tcPr>
            <w:tcW w:w="48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53"/>
        </w:trPr>
        <w:tc>
          <w:tcPr>
            <w:tcW w:w="6820" w:type="dxa"/>
            <w:vAlign w:val="bottom"/>
            <w:gridSpan w:val="3"/>
          </w:tcPr>
          <w:p>
            <w:pPr>
              <w:spacing w:after="0"/>
              <w:rPr>
                <w:sz w:val="20"/>
                <w:szCs w:val="20"/>
                <w:color w:val="auto"/>
              </w:rPr>
            </w:pPr>
            <w:r>
              <w:rPr>
                <w:rFonts w:ascii="Arial" w:cs="Arial" w:eastAsia="Arial" w:hAnsi="Arial"/>
                <w:sz w:val="18"/>
                <w:szCs w:val="18"/>
                <w:color w:val="auto"/>
              </w:rPr>
              <w:t>The following table presents our revenues disaggregated by revenue stream.</w:t>
            </w:r>
          </w:p>
        </w:tc>
        <w:tc>
          <w:tcPr>
            <w:tcW w:w="2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41"/>
        </w:trPr>
        <w:tc>
          <w:tcPr>
            <w:tcW w:w="12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8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480" w:type="dxa"/>
            <w:vAlign w:val="bottom"/>
            <w:gridSpan w:val="3"/>
          </w:tcPr>
          <w:p>
            <w:pPr>
              <w:jc w:val="right"/>
              <w:spacing w:after="0"/>
              <w:rPr>
                <w:sz w:val="20"/>
                <w:szCs w:val="20"/>
                <w:color w:val="auto"/>
              </w:rPr>
            </w:pPr>
            <w:r>
              <w:rPr>
                <w:rFonts w:ascii="Arial" w:cs="Arial" w:eastAsia="Arial" w:hAnsi="Arial"/>
                <w:sz w:val="18"/>
                <w:szCs w:val="18"/>
                <w:b w:val="1"/>
                <w:bCs w:val="1"/>
                <w:color w:val="auto"/>
              </w:rPr>
              <w:t>Three Months Ended</w:t>
            </w: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34"/>
        </w:trPr>
        <w:tc>
          <w:tcPr>
            <w:tcW w:w="1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8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2480" w:type="dxa"/>
            <w:vAlign w:val="bottom"/>
            <w:tcBorders>
              <w:bottom w:val="single" w:sz="8" w:color="auto"/>
            </w:tcBorders>
            <w:gridSpan w:val="3"/>
          </w:tcPr>
          <w:p>
            <w:pPr>
              <w:jc w:val="right"/>
              <w:ind w:right="370"/>
              <w:spacing w:after="0"/>
              <w:rPr>
                <w:sz w:val="20"/>
                <w:szCs w:val="20"/>
                <w:color w:val="auto"/>
              </w:rPr>
            </w:pPr>
            <w:r>
              <w:rPr>
                <w:rFonts w:ascii="Arial" w:cs="Arial" w:eastAsia="Arial" w:hAnsi="Arial"/>
                <w:sz w:val="18"/>
                <w:szCs w:val="18"/>
                <w:b w:val="1"/>
                <w:bCs w:val="1"/>
                <w:color w:val="auto"/>
              </w:rPr>
              <w:t>March 31,</w:t>
            </w:r>
          </w:p>
        </w:tc>
        <w:tc>
          <w:tcPr>
            <w:tcW w:w="12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6820" w:type="dxa"/>
            <w:vAlign w:val="bottom"/>
            <w:tcBorders>
              <w:bottom w:val="single" w:sz="8" w:color="auto"/>
            </w:tcBorders>
            <w:gridSpan w:val="3"/>
          </w:tcPr>
          <w:p>
            <w:pPr>
              <w:spacing w:after="0"/>
              <w:rPr>
                <w:sz w:val="20"/>
                <w:szCs w:val="20"/>
                <w:color w:val="auto"/>
              </w:rPr>
            </w:pPr>
            <w:r>
              <w:rPr>
                <w:rFonts w:ascii="Arial" w:cs="Arial" w:eastAsia="Arial" w:hAnsi="Arial"/>
                <w:sz w:val="18"/>
                <w:szCs w:val="18"/>
                <w:color w:val="auto"/>
              </w:rPr>
              <w:t>(Thousands)</w:t>
            </w:r>
          </w:p>
        </w:tc>
        <w:tc>
          <w:tcPr>
            <w:tcW w:w="220" w:type="dxa"/>
            <w:vAlign w:val="bottom"/>
            <w:tcBorders>
              <w:bottom w:val="single" w:sz="8" w:color="CFF0FC"/>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jc w:val="right"/>
              <w:ind w:right="670"/>
              <w:spacing w:after="0"/>
              <w:rPr>
                <w:sz w:val="20"/>
                <w:szCs w:val="20"/>
                <w:color w:val="auto"/>
              </w:rPr>
            </w:pPr>
            <w:r>
              <w:rPr>
                <w:rFonts w:ascii="Arial" w:cs="Arial" w:eastAsia="Arial" w:hAnsi="Arial"/>
                <w:sz w:val="18"/>
                <w:szCs w:val="18"/>
                <w:b w:val="1"/>
                <w:bCs w:val="1"/>
                <w:color w:val="auto"/>
              </w:rPr>
              <w:t>2022</w:t>
            </w:r>
          </w:p>
        </w:tc>
        <w:tc>
          <w:tcPr>
            <w:tcW w:w="320" w:type="dxa"/>
            <w:vAlign w:val="bottom"/>
            <w:tcBorders>
              <w:bottom w:val="single" w:sz="8" w:color="CFF0FC"/>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ind w:right="690"/>
              <w:spacing w:after="0"/>
              <w:rPr>
                <w:sz w:val="20"/>
                <w:szCs w:val="20"/>
                <w:color w:val="auto"/>
              </w:rPr>
            </w:pPr>
            <w:r>
              <w:rPr>
                <w:rFonts w:ascii="Arial" w:cs="Arial" w:eastAsia="Arial" w:hAnsi="Arial"/>
                <w:sz w:val="18"/>
                <w:szCs w:val="18"/>
                <w:b w:val="1"/>
                <w:bCs w:val="1"/>
                <w:color w:val="auto"/>
                <w:w w:val="99"/>
              </w:rPr>
              <w:t>2021</w:t>
            </w:r>
          </w:p>
        </w:tc>
        <w:tc>
          <w:tcPr>
            <w:tcW w:w="100" w:type="dxa"/>
            <w:vAlign w:val="bottom"/>
            <w:tcBorders>
              <w:bottom w:val="single" w:sz="8" w:color="CFF0FC"/>
            </w:tcBorders>
          </w:tcPr>
          <w:p>
            <w:pPr>
              <w:spacing w:after="0"/>
              <w:rPr>
                <w:sz w:val="19"/>
                <w:szCs w:val="19"/>
                <w:color w:val="auto"/>
              </w:rPr>
            </w:pPr>
          </w:p>
        </w:tc>
      </w:tr>
      <w:tr>
        <w:trPr>
          <w:trHeight w:val="223"/>
        </w:trPr>
        <w:tc>
          <w:tcPr>
            <w:tcW w:w="6820" w:type="dxa"/>
            <w:vAlign w:val="bottom"/>
            <w:gridSpan w:val="3"/>
            <w:shd w:val="clear" w:color="auto" w:fill="CFF0FC"/>
          </w:tcPr>
          <w:p>
            <w:pPr>
              <w:spacing w:after="0"/>
              <w:rPr>
                <w:sz w:val="20"/>
                <w:szCs w:val="20"/>
                <w:color w:val="auto"/>
              </w:rPr>
            </w:pPr>
            <w:r>
              <w:rPr>
                <w:rFonts w:ascii="Arial" w:cs="Arial" w:eastAsia="Arial" w:hAnsi="Arial"/>
                <w:sz w:val="18"/>
                <w:szCs w:val="18"/>
                <w:i w:val="1"/>
                <w:iCs w:val="1"/>
                <w:color w:val="auto"/>
              </w:rPr>
              <w:t>Revenue disaggregated by revenue stream</w:t>
            </w:r>
          </w:p>
        </w:tc>
        <w:tc>
          <w:tcPr>
            <w:tcW w:w="2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46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700" w:type="dxa"/>
            <w:vAlign w:val="bottom"/>
            <w:shd w:val="clear" w:color="auto" w:fill="CFF0FC"/>
          </w:tcPr>
          <w:p>
            <w:pPr>
              <w:spacing w:after="0"/>
              <w:rPr>
                <w:sz w:val="19"/>
                <w:szCs w:val="19"/>
                <w:color w:val="auto"/>
              </w:rPr>
            </w:pPr>
          </w:p>
        </w:tc>
        <w:tc>
          <w:tcPr>
            <w:tcW w:w="12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29"/>
        </w:trPr>
        <w:tc>
          <w:tcPr>
            <w:tcW w:w="6820" w:type="dxa"/>
            <w:vAlign w:val="bottom"/>
            <w:gridSpan w:val="3"/>
          </w:tcPr>
          <w:p>
            <w:pPr>
              <w:spacing w:after="0"/>
              <w:rPr>
                <w:sz w:val="20"/>
                <w:szCs w:val="20"/>
                <w:color w:val="auto"/>
              </w:rPr>
            </w:pPr>
            <w:r>
              <w:rPr>
                <w:rFonts w:ascii="Arial" w:cs="Arial" w:eastAsia="Arial" w:hAnsi="Arial"/>
                <w:sz w:val="18"/>
                <w:szCs w:val="18"/>
                <w:color w:val="auto"/>
              </w:rPr>
              <w:t>Revenue from contracts with customers</w:t>
            </w:r>
          </w:p>
        </w:tc>
        <w:tc>
          <w:tcPr>
            <w:tcW w:w="2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0"/>
        </w:trPr>
        <w:tc>
          <w:tcPr>
            <w:tcW w:w="6820" w:type="dxa"/>
            <w:vAlign w:val="bottom"/>
            <w:gridSpan w:val="3"/>
            <w:shd w:val="clear" w:color="auto" w:fill="CFF0FC"/>
          </w:tcPr>
          <w:p>
            <w:pPr>
              <w:ind w:left="140"/>
              <w:spacing w:after="0"/>
              <w:rPr>
                <w:sz w:val="20"/>
                <w:szCs w:val="20"/>
                <w:color w:val="auto"/>
              </w:rPr>
            </w:pPr>
            <w:r>
              <w:rPr>
                <w:rFonts w:ascii="Arial" w:cs="Arial" w:eastAsia="Arial" w:hAnsi="Arial"/>
                <w:sz w:val="18"/>
                <w:szCs w:val="18"/>
                <w:color w:val="auto"/>
              </w:rPr>
              <w:t>Fiber Infrastructure</w:t>
            </w:r>
          </w:p>
        </w:tc>
        <w:tc>
          <w:tcPr>
            <w:tcW w:w="2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46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700" w:type="dxa"/>
            <w:vAlign w:val="bottom"/>
            <w:shd w:val="clear" w:color="auto" w:fill="CFF0FC"/>
          </w:tcPr>
          <w:p>
            <w:pPr>
              <w:spacing w:after="0"/>
              <w:rPr>
                <w:sz w:val="19"/>
                <w:szCs w:val="19"/>
                <w:color w:val="auto"/>
              </w:rPr>
            </w:pPr>
          </w:p>
        </w:tc>
        <w:tc>
          <w:tcPr>
            <w:tcW w:w="12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29"/>
        </w:trPr>
        <w:tc>
          <w:tcPr>
            <w:tcW w:w="6820" w:type="dxa"/>
            <w:vAlign w:val="bottom"/>
            <w:gridSpan w:val="3"/>
          </w:tcPr>
          <w:p>
            <w:pPr>
              <w:ind w:left="380"/>
              <w:spacing w:after="0"/>
              <w:rPr>
                <w:sz w:val="20"/>
                <w:szCs w:val="20"/>
                <w:color w:val="auto"/>
              </w:rPr>
            </w:pPr>
            <w:r>
              <w:rPr>
                <w:rFonts w:ascii="Arial" w:cs="Arial" w:eastAsia="Arial" w:hAnsi="Arial"/>
                <w:sz w:val="18"/>
                <w:szCs w:val="18"/>
                <w:color w:val="auto"/>
              </w:rPr>
              <w:t>Lit backhaul</w:t>
            </w:r>
          </w:p>
        </w:tc>
        <w:tc>
          <w:tcPr>
            <w:tcW w:w="640" w:type="dxa"/>
            <w:vAlign w:val="bottom"/>
            <w:gridSpan w:val="2"/>
          </w:tcPr>
          <w:p>
            <w:pPr>
              <w:jc w:val="right"/>
              <w:ind w:right="230"/>
              <w:spacing w:after="0"/>
              <w:rPr>
                <w:sz w:val="20"/>
                <w:szCs w:val="20"/>
                <w:color w:val="auto"/>
              </w:rPr>
            </w:pPr>
            <w:r>
              <w:rPr>
                <w:rFonts w:ascii="Arial" w:cs="Arial" w:eastAsia="Arial" w:hAnsi="Arial"/>
                <w:sz w:val="18"/>
                <w:szCs w:val="18"/>
                <w:color w:val="auto"/>
              </w:rPr>
              <w:t>$</w:t>
            </w:r>
          </w:p>
        </w:tc>
        <w:tc>
          <w:tcPr>
            <w:tcW w:w="1460" w:type="dxa"/>
            <w:vAlign w:val="bottom"/>
          </w:tcPr>
          <w:p>
            <w:pPr>
              <w:jc w:val="right"/>
              <w:spacing w:after="0"/>
              <w:rPr>
                <w:sz w:val="20"/>
                <w:szCs w:val="20"/>
                <w:color w:val="auto"/>
              </w:rPr>
            </w:pPr>
            <w:r>
              <w:rPr>
                <w:rFonts w:ascii="Arial" w:cs="Arial" w:eastAsia="Arial" w:hAnsi="Arial"/>
                <w:sz w:val="18"/>
                <w:szCs w:val="18"/>
                <w:color w:val="auto"/>
              </w:rPr>
              <w:t>19,438</w:t>
            </w:r>
          </w:p>
        </w:tc>
        <w:tc>
          <w:tcPr>
            <w:tcW w:w="320" w:type="dxa"/>
            <w:vAlign w:val="bottom"/>
          </w:tcPr>
          <w:p>
            <w:pPr>
              <w:spacing w:after="0"/>
              <w:rPr>
                <w:sz w:val="19"/>
                <w:szCs w:val="19"/>
                <w:color w:val="auto"/>
              </w:rPr>
            </w:pPr>
          </w:p>
        </w:tc>
        <w:tc>
          <w:tcPr>
            <w:tcW w:w="700" w:type="dxa"/>
            <w:vAlign w:val="bottom"/>
          </w:tcPr>
          <w:p>
            <w:pPr>
              <w:jc w:val="right"/>
              <w:ind w:right="510"/>
              <w:spacing w:after="0"/>
              <w:rPr>
                <w:sz w:val="20"/>
                <w:szCs w:val="20"/>
                <w:color w:val="auto"/>
              </w:rPr>
            </w:pPr>
            <w:r>
              <w:rPr>
                <w:rFonts w:ascii="Arial" w:cs="Arial" w:eastAsia="Arial" w:hAnsi="Arial"/>
                <w:sz w:val="18"/>
                <w:szCs w:val="18"/>
                <w:color w:val="auto"/>
                <w:w w:val="7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25,044</w:t>
            </w:r>
          </w:p>
        </w:tc>
        <w:tc>
          <w:tcPr>
            <w:tcW w:w="100" w:type="dxa"/>
            <w:vAlign w:val="bottom"/>
          </w:tcPr>
          <w:p>
            <w:pPr>
              <w:spacing w:after="0"/>
              <w:rPr>
                <w:sz w:val="19"/>
                <w:szCs w:val="19"/>
                <w:color w:val="auto"/>
              </w:rPr>
            </w:pPr>
          </w:p>
        </w:tc>
      </w:tr>
      <w:tr>
        <w:trPr>
          <w:trHeight w:val="229"/>
        </w:trPr>
        <w:tc>
          <w:tcPr>
            <w:tcW w:w="6820" w:type="dxa"/>
            <w:vAlign w:val="bottom"/>
            <w:gridSpan w:val="3"/>
            <w:shd w:val="clear" w:color="auto" w:fill="CFF0FC"/>
          </w:tcPr>
          <w:p>
            <w:pPr>
              <w:ind w:left="380"/>
              <w:spacing w:after="0"/>
              <w:rPr>
                <w:sz w:val="20"/>
                <w:szCs w:val="20"/>
                <w:color w:val="auto"/>
              </w:rPr>
            </w:pPr>
            <w:r>
              <w:rPr>
                <w:rFonts w:ascii="Arial" w:cs="Arial" w:eastAsia="Arial" w:hAnsi="Arial"/>
                <w:sz w:val="18"/>
                <w:szCs w:val="18"/>
                <w:color w:val="auto"/>
              </w:rPr>
              <w:t>Enterprise and wholesale</w:t>
            </w:r>
          </w:p>
        </w:tc>
        <w:tc>
          <w:tcPr>
            <w:tcW w:w="2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4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20,935</w:t>
            </w:r>
          </w:p>
        </w:tc>
        <w:tc>
          <w:tcPr>
            <w:tcW w:w="320" w:type="dxa"/>
            <w:vAlign w:val="bottom"/>
            <w:shd w:val="clear" w:color="auto" w:fill="CFF0FC"/>
          </w:tcPr>
          <w:p>
            <w:pPr>
              <w:spacing w:after="0"/>
              <w:rPr>
                <w:sz w:val="19"/>
                <w:szCs w:val="19"/>
                <w:color w:val="auto"/>
              </w:rPr>
            </w:pPr>
          </w:p>
        </w:tc>
        <w:tc>
          <w:tcPr>
            <w:tcW w:w="70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21,000</w:t>
            </w:r>
          </w:p>
        </w:tc>
        <w:tc>
          <w:tcPr>
            <w:tcW w:w="100" w:type="dxa"/>
            <w:vAlign w:val="bottom"/>
            <w:shd w:val="clear" w:color="auto" w:fill="CFF0FC"/>
          </w:tcPr>
          <w:p>
            <w:pPr>
              <w:spacing w:after="0"/>
              <w:rPr>
                <w:sz w:val="19"/>
                <w:szCs w:val="19"/>
                <w:color w:val="auto"/>
              </w:rPr>
            </w:pPr>
          </w:p>
        </w:tc>
      </w:tr>
      <w:tr>
        <w:trPr>
          <w:trHeight w:val="230"/>
        </w:trPr>
        <w:tc>
          <w:tcPr>
            <w:tcW w:w="6820" w:type="dxa"/>
            <w:vAlign w:val="bottom"/>
            <w:gridSpan w:val="3"/>
          </w:tcPr>
          <w:p>
            <w:pPr>
              <w:ind w:left="380"/>
              <w:spacing w:after="0"/>
              <w:rPr>
                <w:sz w:val="20"/>
                <w:szCs w:val="20"/>
                <w:color w:val="auto"/>
              </w:rPr>
            </w:pPr>
            <w:r>
              <w:rPr>
                <w:rFonts w:ascii="Arial" w:cs="Arial" w:eastAsia="Arial" w:hAnsi="Arial"/>
                <w:sz w:val="18"/>
                <w:szCs w:val="18"/>
                <w:color w:val="auto"/>
              </w:rPr>
              <w:t>E-Rate and government</w:t>
            </w:r>
          </w:p>
        </w:tc>
        <w:tc>
          <w:tcPr>
            <w:tcW w:w="2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14,276</w:t>
            </w:r>
          </w:p>
        </w:tc>
        <w:tc>
          <w:tcPr>
            <w:tcW w:w="3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19,364</w:t>
            </w:r>
          </w:p>
        </w:tc>
        <w:tc>
          <w:tcPr>
            <w:tcW w:w="100" w:type="dxa"/>
            <w:vAlign w:val="bottom"/>
          </w:tcPr>
          <w:p>
            <w:pPr>
              <w:spacing w:after="0"/>
              <w:rPr>
                <w:sz w:val="19"/>
                <w:szCs w:val="19"/>
                <w:color w:val="auto"/>
              </w:rPr>
            </w:pPr>
          </w:p>
        </w:tc>
      </w:tr>
      <w:tr>
        <w:trPr>
          <w:trHeight w:val="229"/>
        </w:trPr>
        <w:tc>
          <w:tcPr>
            <w:tcW w:w="6820" w:type="dxa"/>
            <w:vAlign w:val="bottom"/>
            <w:gridSpan w:val="3"/>
            <w:shd w:val="clear" w:color="auto" w:fill="CFF0FC"/>
          </w:tcPr>
          <w:p>
            <w:pPr>
              <w:ind w:left="380"/>
              <w:spacing w:after="0"/>
              <w:rPr>
                <w:sz w:val="20"/>
                <w:szCs w:val="20"/>
                <w:color w:val="auto"/>
              </w:rPr>
            </w:pPr>
            <w:r>
              <w:rPr>
                <w:rFonts w:ascii="Arial" w:cs="Arial" w:eastAsia="Arial" w:hAnsi="Arial"/>
                <w:sz w:val="18"/>
                <w:szCs w:val="18"/>
                <w:color w:val="auto"/>
              </w:rPr>
              <w:t>Other</w:t>
            </w:r>
          </w:p>
        </w:tc>
        <w:tc>
          <w:tcPr>
            <w:tcW w:w="220" w:type="dxa"/>
            <w:vAlign w:val="bottom"/>
            <w:shd w:val="clear" w:color="auto" w:fill="CFF0FC"/>
          </w:tcPr>
          <w:p>
            <w:pPr>
              <w:spacing w:after="0"/>
              <w:rPr>
                <w:sz w:val="19"/>
                <w:szCs w:val="19"/>
                <w:color w:val="auto"/>
              </w:rPr>
            </w:pPr>
          </w:p>
        </w:tc>
        <w:tc>
          <w:tcPr>
            <w:tcW w:w="420" w:type="dxa"/>
            <w:vAlign w:val="bottom"/>
            <w:tcBorders>
              <w:bottom w:val="single" w:sz="8" w:color="auto"/>
            </w:tcBorders>
            <w:shd w:val="clear" w:color="auto" w:fill="CFF0FC"/>
          </w:tcPr>
          <w:p>
            <w:pPr>
              <w:spacing w:after="0"/>
              <w:rPr>
                <w:sz w:val="19"/>
                <w:szCs w:val="19"/>
                <w:color w:val="auto"/>
              </w:rPr>
            </w:pPr>
          </w:p>
        </w:tc>
        <w:tc>
          <w:tcPr>
            <w:tcW w:w="14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661</w:t>
            </w:r>
          </w:p>
        </w:tc>
        <w:tc>
          <w:tcPr>
            <w:tcW w:w="320" w:type="dxa"/>
            <w:vAlign w:val="bottom"/>
            <w:shd w:val="clear" w:color="auto" w:fill="CFF0FC"/>
          </w:tcPr>
          <w:p>
            <w:pPr>
              <w:spacing w:after="0"/>
              <w:rPr>
                <w:sz w:val="19"/>
                <w:szCs w:val="19"/>
                <w:color w:val="auto"/>
              </w:rPr>
            </w:pPr>
          </w:p>
        </w:tc>
        <w:tc>
          <w:tcPr>
            <w:tcW w:w="700" w:type="dxa"/>
            <w:vAlign w:val="bottom"/>
            <w:tcBorders>
              <w:bottom w:val="single" w:sz="8" w:color="auto"/>
            </w:tcBorders>
            <w:shd w:val="clear" w:color="auto" w:fill="CFF0FC"/>
          </w:tcPr>
          <w:p>
            <w:pPr>
              <w:spacing w:after="0"/>
              <w:rPr>
                <w:sz w:val="19"/>
                <w:szCs w:val="19"/>
                <w:color w:val="auto"/>
              </w:rPr>
            </w:pP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816</w:t>
            </w:r>
          </w:p>
        </w:tc>
        <w:tc>
          <w:tcPr>
            <w:tcW w:w="100" w:type="dxa"/>
            <w:vAlign w:val="bottom"/>
            <w:shd w:val="clear" w:color="auto" w:fill="CFF0FC"/>
          </w:tcPr>
          <w:p>
            <w:pPr>
              <w:spacing w:after="0"/>
              <w:rPr>
                <w:sz w:val="19"/>
                <w:szCs w:val="19"/>
                <w:color w:val="auto"/>
              </w:rPr>
            </w:pPr>
          </w:p>
        </w:tc>
      </w:tr>
      <w:tr>
        <w:trPr>
          <w:trHeight w:val="223"/>
        </w:trPr>
        <w:tc>
          <w:tcPr>
            <w:tcW w:w="6820" w:type="dxa"/>
            <w:vAlign w:val="bottom"/>
            <w:gridSpan w:val="3"/>
          </w:tcPr>
          <w:p>
            <w:pPr>
              <w:ind w:left="140"/>
              <w:spacing w:after="0"/>
              <w:rPr>
                <w:sz w:val="20"/>
                <w:szCs w:val="20"/>
                <w:color w:val="auto"/>
              </w:rPr>
            </w:pPr>
            <w:r>
              <w:rPr>
                <w:rFonts w:ascii="Arial" w:cs="Arial" w:eastAsia="Arial" w:hAnsi="Arial"/>
                <w:sz w:val="18"/>
                <w:szCs w:val="18"/>
                <w:color w:val="auto"/>
              </w:rPr>
              <w:t>Fiber Infrastructure</w:t>
            </w:r>
          </w:p>
        </w:tc>
        <w:tc>
          <w:tcPr>
            <w:tcW w:w="220" w:type="dxa"/>
            <w:vAlign w:val="bottom"/>
          </w:tcPr>
          <w:p>
            <w:pPr>
              <w:spacing w:after="0"/>
              <w:rPr>
                <w:sz w:val="19"/>
                <w:szCs w:val="19"/>
                <w:color w:val="auto"/>
              </w:rPr>
            </w:pPr>
          </w:p>
        </w:tc>
        <w:tc>
          <w:tcPr>
            <w:tcW w:w="420" w:type="dxa"/>
            <w:vAlign w:val="bottom"/>
          </w:tcPr>
          <w:p>
            <w:pPr>
              <w:jc w:val="right"/>
              <w:ind w:right="230"/>
              <w:spacing w:after="0"/>
              <w:rPr>
                <w:sz w:val="20"/>
                <w:szCs w:val="20"/>
                <w:color w:val="auto"/>
              </w:rPr>
            </w:pPr>
            <w:r>
              <w:rPr>
                <w:rFonts w:ascii="Arial" w:cs="Arial" w:eastAsia="Arial" w:hAnsi="Arial"/>
                <w:sz w:val="18"/>
                <w:szCs w:val="18"/>
                <w:color w:val="auto"/>
                <w:w w:val="79"/>
              </w:rPr>
              <w:t>$</w:t>
            </w:r>
          </w:p>
        </w:tc>
        <w:tc>
          <w:tcPr>
            <w:tcW w:w="1460" w:type="dxa"/>
            <w:vAlign w:val="bottom"/>
          </w:tcPr>
          <w:p>
            <w:pPr>
              <w:jc w:val="right"/>
              <w:spacing w:after="0"/>
              <w:rPr>
                <w:sz w:val="20"/>
                <w:szCs w:val="20"/>
                <w:color w:val="auto"/>
              </w:rPr>
            </w:pPr>
            <w:r>
              <w:rPr>
                <w:rFonts w:ascii="Arial" w:cs="Arial" w:eastAsia="Arial" w:hAnsi="Arial"/>
                <w:sz w:val="18"/>
                <w:szCs w:val="18"/>
                <w:color w:val="auto"/>
              </w:rPr>
              <w:t>55,310</w:t>
            </w:r>
          </w:p>
        </w:tc>
        <w:tc>
          <w:tcPr>
            <w:tcW w:w="320" w:type="dxa"/>
            <w:vAlign w:val="bottom"/>
          </w:tcPr>
          <w:p>
            <w:pPr>
              <w:spacing w:after="0"/>
              <w:rPr>
                <w:sz w:val="19"/>
                <w:szCs w:val="19"/>
                <w:color w:val="auto"/>
              </w:rPr>
            </w:pPr>
          </w:p>
        </w:tc>
        <w:tc>
          <w:tcPr>
            <w:tcW w:w="700" w:type="dxa"/>
            <w:vAlign w:val="bottom"/>
          </w:tcPr>
          <w:p>
            <w:pPr>
              <w:jc w:val="right"/>
              <w:ind w:right="510"/>
              <w:spacing w:after="0"/>
              <w:rPr>
                <w:sz w:val="20"/>
                <w:szCs w:val="20"/>
                <w:color w:val="auto"/>
              </w:rPr>
            </w:pPr>
            <w:r>
              <w:rPr>
                <w:rFonts w:ascii="Arial" w:cs="Arial" w:eastAsia="Arial" w:hAnsi="Arial"/>
                <w:sz w:val="18"/>
                <w:szCs w:val="18"/>
                <w:color w:val="auto"/>
                <w:w w:val="7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66,224</w:t>
            </w:r>
          </w:p>
        </w:tc>
        <w:tc>
          <w:tcPr>
            <w:tcW w:w="100" w:type="dxa"/>
            <w:vAlign w:val="bottom"/>
          </w:tcPr>
          <w:p>
            <w:pPr>
              <w:spacing w:after="0"/>
              <w:rPr>
                <w:sz w:val="19"/>
                <w:szCs w:val="19"/>
                <w:color w:val="auto"/>
              </w:rPr>
            </w:pPr>
          </w:p>
        </w:tc>
      </w:tr>
      <w:tr>
        <w:trPr>
          <w:trHeight w:val="229"/>
        </w:trPr>
        <w:tc>
          <w:tcPr>
            <w:tcW w:w="6820" w:type="dxa"/>
            <w:vAlign w:val="bottom"/>
            <w:gridSpan w:val="3"/>
            <w:shd w:val="clear" w:color="auto" w:fill="CFF0FC"/>
          </w:tcPr>
          <w:p>
            <w:pPr>
              <w:ind w:left="140"/>
              <w:spacing w:after="0"/>
              <w:rPr>
                <w:sz w:val="20"/>
                <w:szCs w:val="20"/>
                <w:color w:val="auto"/>
              </w:rPr>
            </w:pPr>
            <w:r>
              <w:rPr>
                <w:rFonts w:ascii="Arial" w:cs="Arial" w:eastAsia="Arial" w:hAnsi="Arial"/>
                <w:sz w:val="18"/>
                <w:szCs w:val="18"/>
                <w:color w:val="auto"/>
              </w:rPr>
              <w:t>Leasing</w:t>
            </w:r>
          </w:p>
        </w:tc>
        <w:tc>
          <w:tcPr>
            <w:tcW w:w="220" w:type="dxa"/>
            <w:vAlign w:val="bottom"/>
            <w:shd w:val="clear" w:color="auto" w:fill="CFF0FC"/>
          </w:tcPr>
          <w:p>
            <w:pPr>
              <w:spacing w:after="0"/>
              <w:rPr>
                <w:sz w:val="19"/>
                <w:szCs w:val="19"/>
                <w:color w:val="auto"/>
              </w:rPr>
            </w:pPr>
          </w:p>
        </w:tc>
        <w:tc>
          <w:tcPr>
            <w:tcW w:w="420" w:type="dxa"/>
            <w:vAlign w:val="bottom"/>
            <w:tcBorders>
              <w:bottom w:val="single" w:sz="8" w:color="auto"/>
            </w:tcBorders>
            <w:shd w:val="clear" w:color="auto" w:fill="CFF0FC"/>
          </w:tcPr>
          <w:p>
            <w:pPr>
              <w:spacing w:after="0"/>
              <w:rPr>
                <w:sz w:val="19"/>
                <w:szCs w:val="19"/>
                <w:color w:val="auto"/>
              </w:rPr>
            </w:pPr>
          </w:p>
        </w:tc>
        <w:tc>
          <w:tcPr>
            <w:tcW w:w="14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1,159</w:t>
            </w:r>
          </w:p>
        </w:tc>
        <w:tc>
          <w:tcPr>
            <w:tcW w:w="320" w:type="dxa"/>
            <w:vAlign w:val="bottom"/>
            <w:shd w:val="clear" w:color="auto" w:fill="CFF0FC"/>
          </w:tcPr>
          <w:p>
            <w:pPr>
              <w:spacing w:after="0"/>
              <w:rPr>
                <w:sz w:val="19"/>
                <w:szCs w:val="19"/>
                <w:color w:val="auto"/>
              </w:rPr>
            </w:pPr>
          </w:p>
        </w:tc>
        <w:tc>
          <w:tcPr>
            <w:tcW w:w="700" w:type="dxa"/>
            <w:vAlign w:val="bottom"/>
            <w:tcBorders>
              <w:bottom w:val="single" w:sz="8" w:color="auto"/>
            </w:tcBorders>
            <w:shd w:val="clear" w:color="auto" w:fill="CFF0FC"/>
          </w:tcPr>
          <w:p>
            <w:pPr>
              <w:spacing w:after="0"/>
              <w:rPr>
                <w:sz w:val="19"/>
                <w:szCs w:val="19"/>
                <w:color w:val="auto"/>
              </w:rPr>
            </w:pP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1,167</w:t>
            </w:r>
          </w:p>
        </w:tc>
        <w:tc>
          <w:tcPr>
            <w:tcW w:w="100" w:type="dxa"/>
            <w:vAlign w:val="bottom"/>
            <w:shd w:val="clear" w:color="auto" w:fill="CFF0FC"/>
          </w:tcPr>
          <w:p>
            <w:pPr>
              <w:spacing w:after="0"/>
              <w:rPr>
                <w:sz w:val="19"/>
                <w:szCs w:val="19"/>
                <w:color w:val="auto"/>
              </w:rPr>
            </w:pPr>
          </w:p>
        </w:tc>
      </w:tr>
      <w:tr>
        <w:trPr>
          <w:trHeight w:val="223"/>
        </w:trPr>
        <w:tc>
          <w:tcPr>
            <w:tcW w:w="6820" w:type="dxa"/>
            <w:vAlign w:val="bottom"/>
            <w:gridSpan w:val="3"/>
          </w:tcPr>
          <w:p>
            <w:pPr>
              <w:spacing w:after="0"/>
              <w:rPr>
                <w:sz w:val="20"/>
                <w:szCs w:val="20"/>
                <w:color w:val="auto"/>
              </w:rPr>
            </w:pPr>
            <w:r>
              <w:rPr>
                <w:rFonts w:ascii="Arial" w:cs="Arial" w:eastAsia="Arial" w:hAnsi="Arial"/>
                <w:sz w:val="18"/>
                <w:szCs w:val="18"/>
                <w:color w:val="auto"/>
              </w:rPr>
              <w:t>Total revenue from contracts with customers</w:t>
            </w:r>
          </w:p>
        </w:tc>
        <w:tc>
          <w:tcPr>
            <w:tcW w:w="2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56,469</w:t>
            </w:r>
          </w:p>
        </w:tc>
        <w:tc>
          <w:tcPr>
            <w:tcW w:w="3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67,391</w:t>
            </w:r>
          </w:p>
        </w:tc>
        <w:tc>
          <w:tcPr>
            <w:tcW w:w="100" w:type="dxa"/>
            <w:vAlign w:val="bottom"/>
          </w:tcPr>
          <w:p>
            <w:pPr>
              <w:spacing w:after="0"/>
              <w:rPr>
                <w:sz w:val="19"/>
                <w:szCs w:val="19"/>
                <w:color w:val="auto"/>
              </w:rPr>
            </w:pPr>
          </w:p>
        </w:tc>
      </w:tr>
      <w:tr>
        <w:trPr>
          <w:trHeight w:val="229"/>
        </w:trPr>
        <w:tc>
          <w:tcPr>
            <w:tcW w:w="6820" w:type="dxa"/>
            <w:vAlign w:val="bottom"/>
            <w:gridSpan w:val="3"/>
            <w:shd w:val="clear" w:color="auto" w:fill="CFF0FC"/>
          </w:tcPr>
          <w:p>
            <w:pPr>
              <w:spacing w:after="0"/>
              <w:rPr>
                <w:sz w:val="20"/>
                <w:szCs w:val="20"/>
                <w:color w:val="auto"/>
              </w:rPr>
            </w:pPr>
            <w:r>
              <w:rPr>
                <w:rFonts w:ascii="Arial" w:cs="Arial" w:eastAsia="Arial" w:hAnsi="Arial"/>
                <w:sz w:val="18"/>
                <w:szCs w:val="18"/>
                <w:color w:val="auto"/>
              </w:rPr>
              <w:t>Revenue accounted for under leasing guidance</w:t>
            </w:r>
          </w:p>
        </w:tc>
        <w:tc>
          <w:tcPr>
            <w:tcW w:w="2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46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700" w:type="dxa"/>
            <w:vAlign w:val="bottom"/>
            <w:shd w:val="clear" w:color="auto" w:fill="CFF0FC"/>
          </w:tcPr>
          <w:p>
            <w:pPr>
              <w:spacing w:after="0"/>
              <w:rPr>
                <w:sz w:val="19"/>
                <w:szCs w:val="19"/>
                <w:color w:val="auto"/>
              </w:rPr>
            </w:pPr>
          </w:p>
        </w:tc>
        <w:tc>
          <w:tcPr>
            <w:tcW w:w="12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29"/>
        </w:trPr>
        <w:tc>
          <w:tcPr>
            <w:tcW w:w="6820" w:type="dxa"/>
            <w:vAlign w:val="bottom"/>
            <w:gridSpan w:val="3"/>
          </w:tcPr>
          <w:p>
            <w:pPr>
              <w:ind w:left="140"/>
              <w:spacing w:after="0"/>
              <w:rPr>
                <w:sz w:val="20"/>
                <w:szCs w:val="20"/>
                <w:color w:val="auto"/>
              </w:rPr>
            </w:pPr>
            <w:r>
              <w:rPr>
                <w:rFonts w:ascii="Arial" w:cs="Arial" w:eastAsia="Arial" w:hAnsi="Arial"/>
                <w:sz w:val="18"/>
                <w:szCs w:val="18"/>
                <w:color w:val="auto"/>
              </w:rPr>
              <w:t>Leasing</w:t>
            </w:r>
          </w:p>
        </w:tc>
        <w:tc>
          <w:tcPr>
            <w:tcW w:w="2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203,482</w:t>
            </w:r>
          </w:p>
        </w:tc>
        <w:tc>
          <w:tcPr>
            <w:tcW w:w="3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193,769</w:t>
            </w:r>
          </w:p>
        </w:tc>
        <w:tc>
          <w:tcPr>
            <w:tcW w:w="100" w:type="dxa"/>
            <w:vAlign w:val="bottom"/>
          </w:tcPr>
          <w:p>
            <w:pPr>
              <w:spacing w:after="0"/>
              <w:rPr>
                <w:sz w:val="19"/>
                <w:szCs w:val="19"/>
                <w:color w:val="auto"/>
              </w:rPr>
            </w:pPr>
          </w:p>
        </w:tc>
      </w:tr>
      <w:tr>
        <w:trPr>
          <w:trHeight w:val="230"/>
        </w:trPr>
        <w:tc>
          <w:tcPr>
            <w:tcW w:w="6820" w:type="dxa"/>
            <w:vAlign w:val="bottom"/>
            <w:gridSpan w:val="3"/>
            <w:shd w:val="clear" w:color="auto" w:fill="CFF0FC"/>
          </w:tcPr>
          <w:p>
            <w:pPr>
              <w:ind w:left="140"/>
              <w:spacing w:after="0"/>
              <w:rPr>
                <w:sz w:val="20"/>
                <w:szCs w:val="20"/>
                <w:color w:val="auto"/>
              </w:rPr>
            </w:pPr>
            <w:r>
              <w:rPr>
                <w:rFonts w:ascii="Arial" w:cs="Arial" w:eastAsia="Arial" w:hAnsi="Arial"/>
                <w:sz w:val="18"/>
                <w:szCs w:val="18"/>
                <w:color w:val="auto"/>
              </w:rPr>
              <w:t>Fiber Infrastructure</w:t>
            </w:r>
          </w:p>
        </w:tc>
        <w:tc>
          <w:tcPr>
            <w:tcW w:w="220" w:type="dxa"/>
            <w:vAlign w:val="bottom"/>
            <w:shd w:val="clear" w:color="auto" w:fill="CFF0FC"/>
          </w:tcPr>
          <w:p>
            <w:pPr>
              <w:spacing w:after="0"/>
              <w:rPr>
                <w:sz w:val="19"/>
                <w:szCs w:val="19"/>
                <w:color w:val="auto"/>
              </w:rPr>
            </w:pPr>
          </w:p>
        </w:tc>
        <w:tc>
          <w:tcPr>
            <w:tcW w:w="420" w:type="dxa"/>
            <w:vAlign w:val="bottom"/>
            <w:tcBorders>
              <w:bottom w:val="single" w:sz="8" w:color="auto"/>
            </w:tcBorders>
            <w:shd w:val="clear" w:color="auto" w:fill="CFF0FC"/>
          </w:tcPr>
          <w:p>
            <w:pPr>
              <w:spacing w:after="0"/>
              <w:rPr>
                <w:sz w:val="19"/>
                <w:szCs w:val="19"/>
                <w:color w:val="auto"/>
              </w:rPr>
            </w:pPr>
          </w:p>
        </w:tc>
        <w:tc>
          <w:tcPr>
            <w:tcW w:w="14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18,083</w:t>
            </w:r>
          </w:p>
        </w:tc>
        <w:tc>
          <w:tcPr>
            <w:tcW w:w="320" w:type="dxa"/>
            <w:vAlign w:val="bottom"/>
            <w:shd w:val="clear" w:color="auto" w:fill="CFF0FC"/>
          </w:tcPr>
          <w:p>
            <w:pPr>
              <w:spacing w:after="0"/>
              <w:rPr>
                <w:sz w:val="19"/>
                <w:szCs w:val="19"/>
                <w:color w:val="auto"/>
              </w:rPr>
            </w:pPr>
          </w:p>
        </w:tc>
        <w:tc>
          <w:tcPr>
            <w:tcW w:w="700" w:type="dxa"/>
            <w:vAlign w:val="bottom"/>
            <w:tcBorders>
              <w:bottom w:val="single" w:sz="8" w:color="auto"/>
            </w:tcBorders>
            <w:shd w:val="clear" w:color="auto" w:fill="CFF0FC"/>
          </w:tcPr>
          <w:p>
            <w:pPr>
              <w:spacing w:after="0"/>
              <w:rPr>
                <w:sz w:val="19"/>
                <w:szCs w:val="19"/>
                <w:color w:val="auto"/>
              </w:rPr>
            </w:pP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11,426</w:t>
            </w:r>
          </w:p>
        </w:tc>
        <w:tc>
          <w:tcPr>
            <w:tcW w:w="100" w:type="dxa"/>
            <w:vAlign w:val="bottom"/>
            <w:shd w:val="clear" w:color="auto" w:fill="CFF0FC"/>
          </w:tcPr>
          <w:p>
            <w:pPr>
              <w:spacing w:after="0"/>
              <w:rPr>
                <w:sz w:val="19"/>
                <w:szCs w:val="19"/>
                <w:color w:val="auto"/>
              </w:rPr>
            </w:pPr>
          </w:p>
        </w:tc>
      </w:tr>
      <w:tr>
        <w:trPr>
          <w:trHeight w:val="223"/>
        </w:trPr>
        <w:tc>
          <w:tcPr>
            <w:tcW w:w="6820" w:type="dxa"/>
            <w:vAlign w:val="bottom"/>
            <w:tcBorders>
              <w:bottom w:val="single" w:sz="8" w:color="CFF0FC"/>
            </w:tcBorders>
            <w:gridSpan w:val="3"/>
          </w:tcPr>
          <w:p>
            <w:pPr>
              <w:spacing w:after="0"/>
              <w:rPr>
                <w:sz w:val="20"/>
                <w:szCs w:val="20"/>
                <w:color w:val="auto"/>
              </w:rPr>
            </w:pPr>
            <w:r>
              <w:rPr>
                <w:rFonts w:ascii="Arial" w:cs="Arial" w:eastAsia="Arial" w:hAnsi="Arial"/>
                <w:sz w:val="18"/>
                <w:szCs w:val="18"/>
                <w:color w:val="auto"/>
              </w:rPr>
              <w:t>Total revenue accounted for under leasing guidance</w:t>
            </w:r>
          </w:p>
        </w:tc>
        <w:tc>
          <w:tcPr>
            <w:tcW w:w="220" w:type="dxa"/>
            <w:vAlign w:val="bottom"/>
            <w:tcBorders>
              <w:bottom w:val="single" w:sz="8" w:color="CFF0FC"/>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221,565</w:t>
            </w:r>
          </w:p>
        </w:tc>
        <w:tc>
          <w:tcPr>
            <w:tcW w:w="320" w:type="dxa"/>
            <w:vAlign w:val="bottom"/>
            <w:tcBorders>
              <w:bottom w:val="single" w:sz="8" w:color="CFF0FC"/>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205,195</w:t>
            </w:r>
          </w:p>
        </w:tc>
        <w:tc>
          <w:tcPr>
            <w:tcW w:w="100" w:type="dxa"/>
            <w:vAlign w:val="bottom"/>
            <w:tcBorders>
              <w:bottom w:val="single" w:sz="8" w:color="CFF0FC"/>
            </w:tcBorders>
          </w:tcPr>
          <w:p>
            <w:pPr>
              <w:spacing w:after="0"/>
              <w:rPr>
                <w:sz w:val="19"/>
                <w:szCs w:val="19"/>
                <w:color w:val="auto"/>
              </w:rPr>
            </w:pPr>
          </w:p>
        </w:tc>
      </w:tr>
      <w:tr>
        <w:trPr>
          <w:trHeight w:val="223"/>
        </w:trPr>
        <w:tc>
          <w:tcPr>
            <w:tcW w:w="6820" w:type="dxa"/>
            <w:vAlign w:val="bottom"/>
            <w:tcBorders>
              <w:bottom w:val="single" w:sz="8" w:color="CFF0FC"/>
            </w:tcBorders>
            <w:gridSpan w:val="3"/>
            <w:shd w:val="clear" w:color="auto" w:fill="CFF0FC"/>
          </w:tcPr>
          <w:p>
            <w:pPr>
              <w:spacing w:after="0"/>
              <w:rPr>
                <w:sz w:val="20"/>
                <w:szCs w:val="20"/>
                <w:color w:val="auto"/>
              </w:rPr>
            </w:pPr>
            <w:r>
              <w:rPr>
                <w:rFonts w:ascii="Arial" w:cs="Arial" w:eastAsia="Arial" w:hAnsi="Arial"/>
                <w:sz w:val="18"/>
                <w:szCs w:val="18"/>
                <w:color w:val="auto"/>
              </w:rPr>
              <w:t>Total revenue</w:t>
            </w:r>
          </w:p>
        </w:tc>
        <w:tc>
          <w:tcPr>
            <w:tcW w:w="220" w:type="dxa"/>
            <w:vAlign w:val="bottom"/>
            <w:tcBorders>
              <w:bottom w:val="single" w:sz="8" w:color="CFF0FC"/>
            </w:tcBorders>
            <w:shd w:val="clear" w:color="auto" w:fill="CFF0FC"/>
          </w:tcPr>
          <w:p>
            <w:pPr>
              <w:spacing w:after="0"/>
              <w:rPr>
                <w:sz w:val="19"/>
                <w:szCs w:val="19"/>
                <w:color w:val="auto"/>
              </w:rPr>
            </w:pPr>
          </w:p>
        </w:tc>
        <w:tc>
          <w:tcPr>
            <w:tcW w:w="420" w:type="dxa"/>
            <w:vAlign w:val="bottom"/>
            <w:tcBorders>
              <w:bottom w:val="single" w:sz="8" w:color="auto"/>
            </w:tcBorders>
            <w:shd w:val="clear" w:color="auto" w:fill="CFF0FC"/>
          </w:tcPr>
          <w:p>
            <w:pPr>
              <w:jc w:val="right"/>
              <w:ind w:right="230"/>
              <w:spacing w:after="0"/>
              <w:rPr>
                <w:sz w:val="20"/>
                <w:szCs w:val="20"/>
                <w:color w:val="auto"/>
              </w:rPr>
            </w:pPr>
            <w:r>
              <w:rPr>
                <w:rFonts w:ascii="Arial" w:cs="Arial" w:eastAsia="Arial" w:hAnsi="Arial"/>
                <w:sz w:val="18"/>
                <w:szCs w:val="18"/>
                <w:color w:val="auto"/>
                <w:w w:val="79"/>
              </w:rPr>
              <w:t>$</w:t>
            </w:r>
          </w:p>
        </w:tc>
        <w:tc>
          <w:tcPr>
            <w:tcW w:w="14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278,034</w:t>
            </w:r>
          </w:p>
        </w:tc>
        <w:tc>
          <w:tcPr>
            <w:tcW w:w="320" w:type="dxa"/>
            <w:vAlign w:val="bottom"/>
            <w:tcBorders>
              <w:bottom w:val="single" w:sz="8" w:color="CFF0FC"/>
            </w:tcBorders>
            <w:shd w:val="clear" w:color="auto" w:fill="CFF0FC"/>
          </w:tcPr>
          <w:p>
            <w:pPr>
              <w:spacing w:after="0"/>
              <w:rPr>
                <w:sz w:val="19"/>
                <w:szCs w:val="19"/>
                <w:color w:val="auto"/>
              </w:rPr>
            </w:pPr>
          </w:p>
        </w:tc>
        <w:tc>
          <w:tcPr>
            <w:tcW w:w="700" w:type="dxa"/>
            <w:vAlign w:val="bottom"/>
            <w:tcBorders>
              <w:bottom w:val="single" w:sz="8" w:color="auto"/>
            </w:tcBorders>
            <w:shd w:val="clear" w:color="auto" w:fill="CFF0FC"/>
          </w:tcPr>
          <w:p>
            <w:pPr>
              <w:jc w:val="right"/>
              <w:ind w:right="51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272,586</w:t>
            </w:r>
          </w:p>
        </w:tc>
        <w:tc>
          <w:tcPr>
            <w:tcW w:w="100" w:type="dxa"/>
            <w:vAlign w:val="bottom"/>
            <w:tcBorders>
              <w:bottom w:val="single" w:sz="8" w:color="CFF0FC"/>
            </w:tcBorders>
            <w:shd w:val="clear" w:color="auto" w:fill="CFF0FC"/>
          </w:tcPr>
          <w:p>
            <w:pPr>
              <w:spacing w:after="0"/>
              <w:rPr>
                <w:sz w:val="19"/>
                <w:szCs w:val="19"/>
                <w:color w:val="auto"/>
              </w:rPr>
            </w:pPr>
          </w:p>
        </w:tc>
      </w:tr>
      <w:tr>
        <w:trPr>
          <w:trHeight w:val="20"/>
        </w:trPr>
        <w:tc>
          <w:tcPr>
            <w:tcW w:w="12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8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29"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color w:val="auto"/>
        </w:rPr>
        <w:t>At March 31, 2022, and December 31, 2021, lease receivables were $19.0 million and $19.4 million, respectively, and receivables from contracts with customers were $19.3 million and $14.7 million,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Contract Assets (Unbilled Revenue) and Liabilities (Deferred Revenue)</w:t>
      </w:r>
    </w:p>
    <w:p>
      <w:pPr>
        <w:spacing w:after="0" w:line="225" w:lineRule="exact"/>
        <w:rPr>
          <w:sz w:val="20"/>
          <w:szCs w:val="20"/>
          <w:color w:val="auto"/>
        </w:rPr>
      </w:pPr>
    </w:p>
    <w:p>
      <w:pPr>
        <w:ind w:right="40"/>
        <w:spacing w:after="0" w:line="293" w:lineRule="auto"/>
        <w:rPr>
          <w:sz w:val="20"/>
          <w:szCs w:val="20"/>
          <w:color w:val="auto"/>
        </w:rPr>
      </w:pPr>
      <w:r>
        <w:rPr>
          <w:rFonts w:ascii="Arial" w:cs="Arial" w:eastAsia="Arial" w:hAnsi="Arial"/>
          <w:sz w:val="16"/>
          <w:szCs w:val="16"/>
          <w:color w:val="auto"/>
        </w:rPr>
        <w:t>Contract assets primarily consist of unbilled construction revenue where we are utilizing our costs incurred as the measure of progress of satisfying our performance obligation. Contract assets are reported within accounts receivable, net on our Condensed Consolidated Balance Sheet. When the contract price is invoiced, the related unbilled receivable is reclassified to trade accounts receivable, where the balance will be settled upon the collection of the invoiced amount. Contract liabilities are generally comprised of upfront fees charged to the customer for the cost of establishing the necessary components of the Company’s network prior to the commencement of use by the customer. Fees charged to customers for the recurring use of the Company’s network are recognized during the related periods of service. Upfront fees that are billed in advance of providing services are deferred until such time the customer accepts the Company’s network and then are recognized as service revenues ratably over a period in which substantive services required under the revenue arrangement are expected to be performed, which is the initial term of the arrangement. During the three months ended March 31, 2022, we recognized revenues of $1.8 million which was included in the December 31, 2021 contract liabilities balance.</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information about contract assets and contract liabilities accounted for under ASC 606.</w:t>
      </w: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820" w:type="dxa"/>
            <w:vAlign w:val="bottom"/>
          </w:tcPr>
          <w:p>
            <w:pPr>
              <w:spacing w:after="0"/>
              <w:rPr>
                <w:sz w:val="20"/>
                <w:szCs w:val="20"/>
                <w:color w:val="auto"/>
              </w:rPr>
            </w:pPr>
            <w:r>
              <w:rPr>
                <w:rFonts w:ascii="Arial" w:cs="Arial" w:eastAsia="Arial" w:hAnsi="Arial"/>
                <w:sz w:val="18"/>
                <w:szCs w:val="18"/>
                <w:color w:val="auto"/>
              </w:rPr>
              <w:t>(Thousands)</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00" w:type="dxa"/>
            <w:vAlign w:val="bottom"/>
            <w:gridSpan w:val="2"/>
          </w:tcPr>
          <w:p>
            <w:pPr>
              <w:ind w:left="120"/>
              <w:spacing w:after="0"/>
              <w:rPr>
                <w:sz w:val="20"/>
                <w:szCs w:val="20"/>
                <w:color w:val="auto"/>
              </w:rPr>
            </w:pPr>
            <w:r>
              <w:rPr>
                <w:rFonts w:ascii="Arial" w:cs="Arial" w:eastAsia="Arial" w:hAnsi="Arial"/>
                <w:sz w:val="18"/>
                <w:szCs w:val="18"/>
                <w:b w:val="1"/>
                <w:bCs w:val="1"/>
                <w:color w:val="auto"/>
              </w:rPr>
              <w:t>Contract Assets</w:t>
            </w:r>
          </w:p>
        </w:tc>
        <w:tc>
          <w:tcPr>
            <w:tcW w:w="140" w:type="dxa"/>
            <w:vAlign w:val="bottom"/>
          </w:tcPr>
          <w:p>
            <w:pPr>
              <w:spacing w:after="0"/>
              <w:rPr>
                <w:sz w:val="20"/>
                <w:szCs w:val="20"/>
                <w:color w:val="auto"/>
              </w:rPr>
            </w:pPr>
          </w:p>
        </w:tc>
        <w:tc>
          <w:tcPr>
            <w:tcW w:w="1860" w:type="dxa"/>
            <w:vAlign w:val="bottom"/>
            <w:gridSpan w:val="2"/>
          </w:tcPr>
          <w:p>
            <w:pPr>
              <w:ind w:left="40"/>
              <w:spacing w:after="0"/>
              <w:rPr>
                <w:sz w:val="20"/>
                <w:szCs w:val="20"/>
                <w:color w:val="auto"/>
              </w:rPr>
            </w:pPr>
            <w:r>
              <w:rPr>
                <w:rFonts w:ascii="Arial" w:cs="Arial" w:eastAsia="Arial" w:hAnsi="Arial"/>
                <w:sz w:val="18"/>
                <w:szCs w:val="18"/>
                <w:b w:val="1"/>
                <w:bCs w:val="1"/>
                <w:color w:val="auto"/>
              </w:rPr>
              <w:t>Contract Liabilities</w:t>
            </w:r>
          </w:p>
        </w:tc>
      </w:tr>
      <w:tr>
        <w:trPr>
          <w:trHeight w:val="223"/>
        </w:trPr>
        <w:tc>
          <w:tcPr>
            <w:tcW w:w="682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Balance at December 31, 2021</w:t>
            </w:r>
          </w:p>
        </w:tc>
        <w:tc>
          <w:tcPr>
            <w:tcW w:w="2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16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4,066</w:t>
            </w:r>
          </w:p>
        </w:tc>
        <w:tc>
          <w:tcPr>
            <w:tcW w:w="32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7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9,099</w:t>
            </w:r>
          </w:p>
        </w:tc>
        <w:tc>
          <w:tcPr>
            <w:tcW w:w="100" w:type="dxa"/>
            <w:vAlign w:val="bottom"/>
            <w:tcBorders>
              <w:top w:val="single" w:sz="8" w:color="CFF0FC"/>
            </w:tcBorders>
            <w:shd w:val="clear" w:color="auto" w:fill="CFF0FC"/>
          </w:tcPr>
          <w:p>
            <w:pPr>
              <w:spacing w:after="0"/>
              <w:rPr>
                <w:sz w:val="19"/>
                <w:szCs w:val="19"/>
                <w:color w:val="auto"/>
              </w:rPr>
            </w:pPr>
          </w:p>
        </w:tc>
      </w:tr>
      <w:tr>
        <w:trPr>
          <w:trHeight w:val="223"/>
        </w:trPr>
        <w:tc>
          <w:tcPr>
            <w:tcW w:w="6820" w:type="dxa"/>
            <w:vAlign w:val="bottom"/>
          </w:tcPr>
          <w:p>
            <w:pPr>
              <w:spacing w:after="0"/>
              <w:rPr>
                <w:sz w:val="20"/>
                <w:szCs w:val="20"/>
                <w:color w:val="auto"/>
              </w:rPr>
            </w:pPr>
            <w:r>
              <w:rPr>
                <w:rFonts w:ascii="Arial" w:cs="Arial" w:eastAsia="Arial" w:hAnsi="Arial"/>
                <w:sz w:val="18"/>
                <w:szCs w:val="18"/>
                <w:color w:val="auto"/>
              </w:rPr>
              <w:t>Balance at March 31, 2022</w:t>
            </w:r>
          </w:p>
        </w:tc>
        <w:tc>
          <w:tcPr>
            <w:tcW w:w="220" w:type="dxa"/>
            <w:vAlign w:val="bottom"/>
          </w:tcPr>
          <w:p>
            <w:pPr>
              <w:spacing w:after="0"/>
              <w:rPr>
                <w:sz w:val="19"/>
                <w:szCs w:val="19"/>
                <w:color w:val="auto"/>
              </w:rPr>
            </w:pP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159</w:t>
            </w:r>
          </w:p>
        </w:tc>
        <w:tc>
          <w:tcPr>
            <w:tcW w:w="320" w:type="dxa"/>
            <w:vAlign w:val="bottom"/>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9,869</w:t>
            </w:r>
          </w:p>
        </w:tc>
        <w:tc>
          <w:tcPr>
            <w:tcW w:w="100" w:type="dxa"/>
            <w:vAlign w:val="bottom"/>
          </w:tcPr>
          <w:p>
            <w:pPr>
              <w:spacing w:after="0"/>
              <w:rPr>
                <w:sz w:val="19"/>
                <w:szCs w:val="19"/>
                <w:color w:val="auto"/>
              </w:rPr>
            </w:pPr>
          </w:p>
        </w:tc>
      </w:tr>
      <w:tr>
        <w:trPr>
          <w:trHeight w:val="20"/>
        </w:trPr>
        <w:tc>
          <w:tcPr>
            <w:tcW w:w="68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Transaction Price Allocated to Remaining Performance Obligations</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7"/>
          <w:szCs w:val="17"/>
          <w:color w:val="auto"/>
        </w:rPr>
        <w:t>Performance obligations within contracts to stand ready to provide services are typically satisfied over time or as those services are provided. Contract liabilities primarily relate to deferred revenue from upfront customer payments. The deferred revenue is recognized, and the liability reduced, over the contract term as the Company completes the performance obligation. As of March 31, 2022, our future revenues (i.e., transaction price related to remaining performance obligations) under contract accounted for under ASC 606 totaled $441.9 million, of which $336.1 million is related to contracts that are currently being invoiced and have an average remaining contract term of 1.7 years, while $105.8 million represents our backlog for sales bookings which have yet to be installed and have an average remaining contract term of 5.6 years. We do not disclose the value of unsatisfied performance obligations for contracts that have an original expected duration of one year or less.</w:t>
      </w:r>
    </w:p>
    <w:p>
      <w:pPr>
        <w:sectPr>
          <w:pgSz w:w="11900" w:h="16838" w:orient="portrait"/>
          <w:cols w:equalWidth="0" w:num="1">
            <w:col w:w="11240"/>
          </w:cols>
          <w:pgMar w:left="320" w:top="108" w:right="339" w:bottom="1440" w:gutter="0" w:footer="0" w:header="0"/>
        </w:sectPr>
      </w:pP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type w:val="continuous"/>
        </w:sectPr>
      </w:pPr>
    </w:p>
    <w:bookmarkStart w:id="12" w:name="page13"/>
    <w:bookmarkEnd w:id="1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Leases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Lessor Accounting</w:t>
      </w:r>
    </w:p>
    <w:p>
      <w:pPr>
        <w:spacing w:after="0" w:line="225"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We lease communications towers, ground, colocation, and dark fiber to tenants under operating leases. Our leases have initial lease terms ranging from less than one year to 35 years, most of which include options to extend or renew the leases for less than one year to 20 years (based on the satisfaction of certain conditions as defined in the lease agreements), and some of which may include options to terminate the leases within one to six months. Certain lease agreements contain provisions for future rent increases. Payments due under the lease contracts include fixed payments plus, for some of our leases, variable payments.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The components of lease income for the three months ended March 31, 2022 and 2021, respectively, are as follows:</w:t>
      </w:r>
    </w:p>
    <w:p>
      <w:pPr>
        <w:spacing w:after="0" w:line="29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7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00" w:type="dxa"/>
            <w:vAlign w:val="bottom"/>
            <w:tcBorders>
              <w:bottom w:val="single" w:sz="8" w:color="auto"/>
            </w:tcBorders>
          </w:tcPr>
          <w:p>
            <w:pPr>
              <w:spacing w:after="0"/>
              <w:rPr>
                <w:sz w:val="14"/>
                <w:szCs w:val="14"/>
                <w:color w:val="auto"/>
              </w:rPr>
            </w:pPr>
          </w:p>
        </w:tc>
        <w:tc>
          <w:tcPr>
            <w:tcW w:w="20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w w:val="94"/>
              </w:rPr>
              <w:t>Three Months Ended March 31,</w:t>
            </w:r>
          </w:p>
        </w:tc>
        <w:tc>
          <w:tcPr>
            <w:tcW w:w="112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r>
      <w:tr>
        <w:trPr>
          <w:trHeight w:val="223"/>
        </w:trPr>
        <w:tc>
          <w:tcPr>
            <w:tcW w:w="690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1100" w:type="dxa"/>
            <w:vAlign w:val="bottom"/>
          </w:tcPr>
          <w:p>
            <w:pPr>
              <w:jc w:val="right"/>
              <w:spacing w:after="0"/>
              <w:rPr>
                <w:sz w:val="20"/>
                <w:szCs w:val="20"/>
                <w:color w:val="auto"/>
              </w:rPr>
            </w:pPr>
            <w:r>
              <w:rPr>
                <w:rFonts w:ascii="Arial" w:cs="Arial" w:eastAsia="Arial" w:hAnsi="Arial"/>
                <w:sz w:val="14"/>
                <w:szCs w:val="14"/>
                <w:b w:val="1"/>
                <w:bCs w:val="1"/>
                <w:color w:val="auto"/>
              </w:rPr>
              <w:t>2022</w:t>
            </w:r>
          </w:p>
        </w:tc>
        <w:tc>
          <w:tcPr>
            <w:tcW w:w="8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120" w:type="dxa"/>
            <w:vAlign w:val="bottom"/>
          </w:tcPr>
          <w:p>
            <w:pPr>
              <w:jc w:val="right"/>
              <w:ind w:right="739"/>
              <w:spacing w:after="0"/>
              <w:rPr>
                <w:sz w:val="20"/>
                <w:szCs w:val="20"/>
                <w:color w:val="auto"/>
              </w:rPr>
            </w:pPr>
            <w:r>
              <w:rPr>
                <w:rFonts w:ascii="Arial" w:cs="Arial" w:eastAsia="Arial" w:hAnsi="Arial"/>
                <w:sz w:val="14"/>
                <w:szCs w:val="14"/>
                <w:b w:val="1"/>
                <w:bCs w:val="1"/>
                <w:color w:val="auto"/>
                <w:w w:val="89"/>
              </w:rPr>
              <w:t>2021</w:t>
            </w:r>
          </w:p>
        </w:tc>
        <w:tc>
          <w:tcPr>
            <w:tcW w:w="120" w:type="dxa"/>
            <w:vAlign w:val="bottom"/>
          </w:tcPr>
          <w:p>
            <w:pPr>
              <w:spacing w:after="0"/>
              <w:rPr>
                <w:sz w:val="19"/>
                <w:szCs w:val="19"/>
                <w:color w:val="auto"/>
              </w:rPr>
            </w:pPr>
          </w:p>
        </w:tc>
      </w:tr>
      <w:tr>
        <w:trPr>
          <w:trHeight w:val="223"/>
        </w:trPr>
        <w:tc>
          <w:tcPr>
            <w:tcW w:w="672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Lease income - operating leases</w:t>
            </w:r>
          </w:p>
        </w:tc>
        <w:tc>
          <w:tcPr>
            <w:tcW w:w="180" w:type="dxa"/>
            <w:vAlign w:val="bottom"/>
            <w:tcBorders>
              <w:top w:val="single" w:sz="8" w:color="CFF0FC"/>
            </w:tcBorders>
            <w:shd w:val="clear" w:color="auto" w:fill="CFF0FC"/>
          </w:tcPr>
          <w:p>
            <w:pPr>
              <w:spacing w:after="0"/>
              <w:rPr>
                <w:sz w:val="19"/>
                <w:szCs w:val="19"/>
                <w:color w:val="auto"/>
              </w:rPr>
            </w:pPr>
          </w:p>
        </w:tc>
        <w:tc>
          <w:tcPr>
            <w:tcW w:w="1100" w:type="dxa"/>
            <w:vAlign w:val="bottom"/>
            <w:tcBorders>
              <w:top w:val="single" w:sz="8" w:color="auto"/>
            </w:tcBorders>
            <w:shd w:val="clear" w:color="auto" w:fill="CFF0FC"/>
          </w:tcPr>
          <w:p>
            <w:pPr>
              <w:jc w:val="right"/>
              <w:ind w:right="947"/>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221,565</w:t>
            </w:r>
          </w:p>
        </w:tc>
        <w:tc>
          <w:tcPr>
            <w:tcW w:w="380" w:type="dxa"/>
            <w:vAlign w:val="bottom"/>
            <w:tcBorders>
              <w:top w:val="single" w:sz="8" w:color="CFF0FC"/>
            </w:tcBorders>
            <w:shd w:val="clear" w:color="auto" w:fill="CFF0FC"/>
          </w:tcPr>
          <w:p>
            <w:pPr>
              <w:spacing w:after="0"/>
              <w:rPr>
                <w:sz w:val="19"/>
                <w:szCs w:val="19"/>
                <w:color w:val="auto"/>
              </w:rPr>
            </w:pPr>
          </w:p>
        </w:tc>
        <w:tc>
          <w:tcPr>
            <w:tcW w:w="820" w:type="dxa"/>
            <w:vAlign w:val="bottom"/>
            <w:tcBorders>
              <w:top w:val="single" w:sz="8" w:color="auto"/>
            </w:tcBorders>
            <w:shd w:val="clear" w:color="auto" w:fill="CFF0FC"/>
          </w:tcPr>
          <w:p>
            <w:pPr>
              <w:jc w:val="right"/>
              <w:ind w:right="63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205,195</w:t>
            </w:r>
          </w:p>
        </w:tc>
        <w:tc>
          <w:tcPr>
            <w:tcW w:w="120" w:type="dxa"/>
            <w:vAlign w:val="bottom"/>
            <w:tcBorders>
              <w:top w:val="single" w:sz="8" w:color="CFF0FC"/>
            </w:tcBorders>
            <w:shd w:val="clear" w:color="auto" w:fill="CFF0FC"/>
          </w:tcPr>
          <w:p>
            <w:pPr>
              <w:spacing w:after="0"/>
              <w:rPr>
                <w:sz w:val="19"/>
                <w:szCs w:val="19"/>
                <w:color w:val="auto"/>
              </w:rPr>
            </w:pPr>
          </w:p>
        </w:tc>
      </w:tr>
    </w:tbl>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Lease payments to be received under non-cancellable operating leases where we are the lessor for the remainder of the lease terms are as of March 31, 2022 are as follows:</w:t>
      </w:r>
    </w:p>
    <w:p>
      <w:pPr>
        <w:spacing w:after="0" w:line="28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868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360" w:type="dxa"/>
            <w:vAlign w:val="bottom"/>
          </w:tcPr>
          <w:p>
            <w:pPr>
              <w:spacing w:after="0"/>
              <w:rPr>
                <w:sz w:val="14"/>
                <w:szCs w:val="14"/>
                <w:color w:val="auto"/>
              </w:rPr>
            </w:pPr>
          </w:p>
        </w:tc>
        <w:tc>
          <w:tcPr>
            <w:tcW w:w="2200" w:type="dxa"/>
            <w:vAlign w:val="bottom"/>
            <w:gridSpan w:val="2"/>
          </w:tcPr>
          <w:p>
            <w:pPr>
              <w:ind w:left="280"/>
              <w:spacing w:after="0"/>
              <w:rPr>
                <w:sz w:val="20"/>
                <w:szCs w:val="20"/>
                <w:color w:val="auto"/>
              </w:rPr>
            </w:pPr>
            <w:r>
              <w:rPr>
                <w:rFonts w:ascii="Arial" w:cs="Arial" w:eastAsia="Arial" w:hAnsi="Arial"/>
                <w:sz w:val="14"/>
                <w:szCs w:val="14"/>
                <w:b w:val="1"/>
                <w:bCs w:val="1"/>
                <w:color w:val="auto"/>
              </w:rPr>
              <w:t xml:space="preserve">March 31, 2022 </w:t>
            </w:r>
            <w:r>
              <w:rPr>
                <w:rFonts w:ascii="Arial" w:cs="Arial" w:eastAsia="Arial" w:hAnsi="Arial"/>
                <w:sz w:val="12"/>
                <w:szCs w:val="12"/>
                <w:b w:val="1"/>
                <w:bCs w:val="1"/>
                <w:color w:val="auto"/>
              </w:rPr>
              <w:t>(1)</w:t>
            </w:r>
          </w:p>
        </w:tc>
      </w:tr>
      <w:tr>
        <w:trPr>
          <w:trHeight w:val="223"/>
        </w:trPr>
        <w:tc>
          <w:tcPr>
            <w:tcW w:w="844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2022</w:t>
            </w:r>
          </w:p>
        </w:tc>
        <w:tc>
          <w:tcPr>
            <w:tcW w:w="240" w:type="dxa"/>
            <w:vAlign w:val="bottom"/>
            <w:tcBorders>
              <w:top w:val="single" w:sz="8" w:color="CFF0FC"/>
            </w:tcBorders>
            <w:shd w:val="clear" w:color="auto" w:fill="CFF0FC"/>
          </w:tcPr>
          <w:p>
            <w:pPr>
              <w:spacing w:after="0"/>
              <w:rPr>
                <w:sz w:val="19"/>
                <w:szCs w:val="19"/>
                <w:color w:val="auto"/>
              </w:rPr>
            </w:pPr>
          </w:p>
        </w:tc>
        <w:tc>
          <w:tcPr>
            <w:tcW w:w="360" w:type="dxa"/>
            <w:vAlign w:val="bottom"/>
            <w:tcBorders>
              <w:top w:val="single" w:sz="8" w:color="auto"/>
            </w:tcBorders>
            <w:shd w:val="clear" w:color="auto" w:fill="CFF0FC"/>
          </w:tcPr>
          <w:p>
            <w:pPr>
              <w:jc w:val="right"/>
              <w:ind w:right="207"/>
              <w:spacing w:after="0"/>
              <w:rPr>
                <w:sz w:val="20"/>
                <w:szCs w:val="20"/>
                <w:color w:val="auto"/>
              </w:rPr>
            </w:pPr>
            <w:r>
              <w:rPr>
                <w:rFonts w:ascii="Arial" w:cs="Arial" w:eastAsia="Arial" w:hAnsi="Arial"/>
                <w:sz w:val="15"/>
                <w:szCs w:val="15"/>
                <w:color w:val="auto"/>
                <w:w w:val="71"/>
              </w:rPr>
              <w:t>$</w:t>
            </w:r>
          </w:p>
        </w:tc>
        <w:tc>
          <w:tcPr>
            <w:tcW w:w="20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566,495</w:t>
            </w:r>
          </w:p>
        </w:tc>
        <w:tc>
          <w:tcPr>
            <w:tcW w:w="120" w:type="dxa"/>
            <w:vAlign w:val="bottom"/>
            <w:tcBorders>
              <w:top w:val="single" w:sz="8" w:color="CFF0FC"/>
            </w:tcBorders>
            <w:shd w:val="clear" w:color="auto" w:fill="CFF0FC"/>
          </w:tcPr>
          <w:p>
            <w:pPr>
              <w:spacing w:after="0"/>
              <w:rPr>
                <w:sz w:val="19"/>
                <w:szCs w:val="19"/>
                <w:color w:val="auto"/>
              </w:rPr>
            </w:pPr>
          </w:p>
        </w:tc>
      </w:tr>
      <w:tr>
        <w:trPr>
          <w:trHeight w:val="229"/>
        </w:trPr>
        <w:tc>
          <w:tcPr>
            <w:tcW w:w="8440" w:type="dxa"/>
            <w:vAlign w:val="bottom"/>
          </w:tcPr>
          <w:p>
            <w:pPr>
              <w:spacing w:after="0"/>
              <w:rPr>
                <w:sz w:val="20"/>
                <w:szCs w:val="20"/>
                <w:color w:val="auto"/>
              </w:rPr>
            </w:pPr>
            <w:r>
              <w:rPr>
                <w:rFonts w:ascii="Arial" w:cs="Arial" w:eastAsia="Arial" w:hAnsi="Arial"/>
                <w:sz w:val="18"/>
                <w:szCs w:val="18"/>
                <w:color w:val="auto"/>
              </w:rPr>
              <w:t>2023</w:t>
            </w:r>
          </w:p>
        </w:tc>
        <w:tc>
          <w:tcPr>
            <w:tcW w:w="2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80" w:type="dxa"/>
            <w:vAlign w:val="bottom"/>
          </w:tcPr>
          <w:p>
            <w:pPr>
              <w:jc w:val="right"/>
              <w:spacing w:after="0"/>
              <w:rPr>
                <w:sz w:val="20"/>
                <w:szCs w:val="20"/>
                <w:color w:val="auto"/>
              </w:rPr>
            </w:pPr>
            <w:r>
              <w:rPr>
                <w:rFonts w:ascii="Arial" w:cs="Arial" w:eastAsia="Arial" w:hAnsi="Arial"/>
                <w:sz w:val="18"/>
                <w:szCs w:val="18"/>
                <w:color w:val="auto"/>
              </w:rPr>
              <w:t>772,167</w:t>
            </w:r>
          </w:p>
        </w:tc>
        <w:tc>
          <w:tcPr>
            <w:tcW w:w="120" w:type="dxa"/>
            <w:vAlign w:val="bottom"/>
          </w:tcPr>
          <w:p>
            <w:pPr>
              <w:spacing w:after="0"/>
              <w:rPr>
                <w:sz w:val="19"/>
                <w:szCs w:val="19"/>
                <w:color w:val="auto"/>
              </w:rPr>
            </w:pPr>
          </w:p>
        </w:tc>
      </w:tr>
      <w:tr>
        <w:trPr>
          <w:trHeight w:val="230"/>
        </w:trPr>
        <w:tc>
          <w:tcPr>
            <w:tcW w:w="8440" w:type="dxa"/>
            <w:vAlign w:val="bottom"/>
            <w:shd w:val="clear" w:color="auto" w:fill="CFF0FC"/>
          </w:tcPr>
          <w:p>
            <w:pPr>
              <w:spacing w:after="0"/>
              <w:rPr>
                <w:sz w:val="20"/>
                <w:szCs w:val="20"/>
                <w:color w:val="auto"/>
              </w:rPr>
            </w:pPr>
            <w:r>
              <w:rPr>
                <w:rFonts w:ascii="Arial" w:cs="Arial" w:eastAsia="Arial" w:hAnsi="Arial"/>
                <w:sz w:val="18"/>
                <w:szCs w:val="18"/>
                <w:color w:val="auto"/>
              </w:rPr>
              <w:t>2024</w:t>
            </w:r>
          </w:p>
        </w:tc>
        <w:tc>
          <w:tcPr>
            <w:tcW w:w="24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2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774,111</w:t>
            </w:r>
          </w:p>
        </w:tc>
        <w:tc>
          <w:tcPr>
            <w:tcW w:w="120" w:type="dxa"/>
            <w:vAlign w:val="bottom"/>
            <w:shd w:val="clear" w:color="auto" w:fill="CFF0FC"/>
          </w:tcPr>
          <w:p>
            <w:pPr>
              <w:spacing w:after="0"/>
              <w:rPr>
                <w:sz w:val="19"/>
                <w:szCs w:val="19"/>
                <w:color w:val="auto"/>
              </w:rPr>
            </w:pPr>
          </w:p>
        </w:tc>
      </w:tr>
      <w:tr>
        <w:trPr>
          <w:trHeight w:val="229"/>
        </w:trPr>
        <w:tc>
          <w:tcPr>
            <w:tcW w:w="8440" w:type="dxa"/>
            <w:vAlign w:val="bottom"/>
          </w:tcPr>
          <w:p>
            <w:pPr>
              <w:spacing w:after="0"/>
              <w:rPr>
                <w:sz w:val="20"/>
                <w:szCs w:val="20"/>
                <w:color w:val="auto"/>
              </w:rPr>
            </w:pPr>
            <w:r>
              <w:rPr>
                <w:rFonts w:ascii="Arial" w:cs="Arial" w:eastAsia="Arial" w:hAnsi="Arial"/>
                <w:sz w:val="18"/>
                <w:szCs w:val="18"/>
                <w:color w:val="auto"/>
              </w:rPr>
              <w:t>2025</w:t>
            </w:r>
          </w:p>
        </w:tc>
        <w:tc>
          <w:tcPr>
            <w:tcW w:w="2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80" w:type="dxa"/>
            <w:vAlign w:val="bottom"/>
          </w:tcPr>
          <w:p>
            <w:pPr>
              <w:jc w:val="right"/>
              <w:spacing w:after="0"/>
              <w:rPr>
                <w:sz w:val="20"/>
                <w:szCs w:val="20"/>
                <w:color w:val="auto"/>
              </w:rPr>
            </w:pPr>
            <w:r>
              <w:rPr>
                <w:rFonts w:ascii="Arial" w:cs="Arial" w:eastAsia="Arial" w:hAnsi="Arial"/>
                <w:sz w:val="18"/>
                <w:szCs w:val="18"/>
                <w:color w:val="auto"/>
              </w:rPr>
              <w:t>775,326</w:t>
            </w:r>
          </w:p>
        </w:tc>
        <w:tc>
          <w:tcPr>
            <w:tcW w:w="120" w:type="dxa"/>
            <w:vAlign w:val="bottom"/>
          </w:tcPr>
          <w:p>
            <w:pPr>
              <w:spacing w:after="0"/>
              <w:rPr>
                <w:sz w:val="19"/>
                <w:szCs w:val="19"/>
                <w:color w:val="auto"/>
              </w:rPr>
            </w:pPr>
          </w:p>
        </w:tc>
      </w:tr>
      <w:tr>
        <w:trPr>
          <w:trHeight w:val="230"/>
        </w:trPr>
        <w:tc>
          <w:tcPr>
            <w:tcW w:w="8440" w:type="dxa"/>
            <w:vAlign w:val="bottom"/>
            <w:shd w:val="clear" w:color="auto" w:fill="CFF0FC"/>
          </w:tcPr>
          <w:p>
            <w:pPr>
              <w:spacing w:after="0"/>
              <w:rPr>
                <w:sz w:val="20"/>
                <w:szCs w:val="20"/>
                <w:color w:val="auto"/>
              </w:rPr>
            </w:pPr>
            <w:r>
              <w:rPr>
                <w:rFonts w:ascii="Arial" w:cs="Arial" w:eastAsia="Arial" w:hAnsi="Arial"/>
                <w:sz w:val="18"/>
                <w:szCs w:val="18"/>
                <w:color w:val="auto"/>
              </w:rPr>
              <w:t>2026</w:t>
            </w:r>
          </w:p>
        </w:tc>
        <w:tc>
          <w:tcPr>
            <w:tcW w:w="24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2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776,735</w:t>
            </w:r>
          </w:p>
        </w:tc>
        <w:tc>
          <w:tcPr>
            <w:tcW w:w="120" w:type="dxa"/>
            <w:vAlign w:val="bottom"/>
            <w:shd w:val="clear" w:color="auto" w:fill="CFF0FC"/>
          </w:tcPr>
          <w:p>
            <w:pPr>
              <w:spacing w:after="0"/>
              <w:rPr>
                <w:sz w:val="19"/>
                <w:szCs w:val="19"/>
                <w:color w:val="auto"/>
              </w:rPr>
            </w:pPr>
          </w:p>
        </w:tc>
      </w:tr>
      <w:tr>
        <w:trPr>
          <w:trHeight w:val="230"/>
        </w:trPr>
        <w:tc>
          <w:tcPr>
            <w:tcW w:w="8680" w:type="dxa"/>
            <w:vAlign w:val="bottom"/>
            <w:tcBorders>
              <w:bottom w:val="single" w:sz="8" w:color="CFF0FC"/>
            </w:tcBorders>
            <w:gridSpan w:val="2"/>
          </w:tcPr>
          <w:p>
            <w:pPr>
              <w:spacing w:after="0"/>
              <w:rPr>
                <w:sz w:val="20"/>
                <w:szCs w:val="20"/>
                <w:color w:val="auto"/>
              </w:rPr>
            </w:pPr>
            <w:r>
              <w:rPr>
                <w:rFonts w:ascii="Arial" w:cs="Arial" w:eastAsia="Arial" w:hAnsi="Arial"/>
                <w:sz w:val="18"/>
                <w:szCs w:val="18"/>
                <w:color w:val="auto"/>
              </w:rPr>
              <w:t>Thereafter</w:t>
            </w:r>
          </w:p>
        </w:tc>
        <w:tc>
          <w:tcPr>
            <w:tcW w:w="360" w:type="dxa"/>
            <w:vAlign w:val="bottom"/>
            <w:tcBorders>
              <w:bottom w:val="single" w:sz="8" w:color="auto"/>
            </w:tcBorders>
          </w:tcPr>
          <w:p>
            <w:pPr>
              <w:spacing w:after="0"/>
              <w:rPr>
                <w:sz w:val="19"/>
                <w:szCs w:val="19"/>
                <w:color w:val="auto"/>
              </w:rPr>
            </w:pPr>
          </w:p>
        </w:tc>
        <w:tc>
          <w:tcPr>
            <w:tcW w:w="2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3,033,462</w:t>
            </w:r>
          </w:p>
        </w:tc>
        <w:tc>
          <w:tcPr>
            <w:tcW w:w="120" w:type="dxa"/>
            <w:vAlign w:val="bottom"/>
            <w:tcBorders>
              <w:bottom w:val="single" w:sz="8" w:color="CFF0FC"/>
            </w:tcBorders>
          </w:tcPr>
          <w:p>
            <w:pPr>
              <w:spacing w:after="0"/>
              <w:rPr>
                <w:sz w:val="19"/>
                <w:szCs w:val="19"/>
                <w:color w:val="auto"/>
              </w:rPr>
            </w:pPr>
          </w:p>
        </w:tc>
      </w:tr>
      <w:tr>
        <w:trPr>
          <w:trHeight w:val="223"/>
        </w:trPr>
        <w:tc>
          <w:tcPr>
            <w:tcW w:w="8680" w:type="dxa"/>
            <w:vAlign w:val="bottom"/>
            <w:tcBorders>
              <w:bottom w:val="single" w:sz="8" w:color="CFF0FC"/>
            </w:tcBorders>
            <w:gridSpan w:val="2"/>
            <w:shd w:val="clear" w:color="auto" w:fill="CFF0FC"/>
          </w:tcPr>
          <w:p>
            <w:pPr>
              <w:spacing w:after="0"/>
              <w:rPr>
                <w:sz w:val="20"/>
                <w:szCs w:val="20"/>
                <w:color w:val="auto"/>
              </w:rPr>
            </w:pPr>
            <w:r>
              <w:rPr>
                <w:rFonts w:ascii="Arial" w:cs="Arial" w:eastAsia="Arial" w:hAnsi="Arial"/>
                <w:sz w:val="18"/>
                <w:szCs w:val="18"/>
                <w:color w:val="auto"/>
              </w:rPr>
              <w:t>Total lease receivables</w:t>
            </w:r>
          </w:p>
        </w:tc>
        <w:tc>
          <w:tcPr>
            <w:tcW w:w="360" w:type="dxa"/>
            <w:vAlign w:val="bottom"/>
            <w:tcBorders>
              <w:bottom w:val="single" w:sz="8" w:color="auto"/>
            </w:tcBorders>
            <w:shd w:val="clear" w:color="auto" w:fill="CFF0FC"/>
          </w:tcPr>
          <w:p>
            <w:pPr>
              <w:jc w:val="right"/>
              <w:ind w:right="207"/>
              <w:spacing w:after="0"/>
              <w:rPr>
                <w:sz w:val="20"/>
                <w:szCs w:val="20"/>
                <w:color w:val="auto"/>
              </w:rPr>
            </w:pPr>
            <w:r>
              <w:rPr>
                <w:rFonts w:ascii="Arial" w:cs="Arial" w:eastAsia="Arial" w:hAnsi="Arial"/>
                <w:sz w:val="15"/>
                <w:szCs w:val="15"/>
                <w:color w:val="auto"/>
                <w:w w:val="71"/>
              </w:rPr>
              <w:t>$</w:t>
            </w:r>
          </w:p>
        </w:tc>
        <w:tc>
          <w:tcPr>
            <w:tcW w:w="2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6,698,296</w:t>
            </w:r>
          </w:p>
        </w:tc>
        <w:tc>
          <w:tcPr>
            <w:tcW w:w="120" w:type="dxa"/>
            <w:vAlign w:val="bottom"/>
            <w:tcBorders>
              <w:bottom w:val="single" w:sz="8" w:color="CFF0FC"/>
            </w:tcBorders>
            <w:shd w:val="clear" w:color="auto" w:fill="CFF0FC"/>
          </w:tcPr>
          <w:p>
            <w:pPr>
              <w:spacing w:after="0"/>
              <w:rPr>
                <w:sz w:val="19"/>
                <w:szCs w:val="19"/>
                <w:color w:val="auto"/>
              </w:rPr>
            </w:pPr>
          </w:p>
        </w:tc>
      </w:tr>
      <w:tr>
        <w:trPr>
          <w:trHeight w:val="20"/>
        </w:trPr>
        <w:tc>
          <w:tcPr>
            <w:tcW w:w="84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2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13" w:lineRule="exact"/>
        <w:rPr>
          <w:sz w:val="20"/>
          <w:szCs w:val="20"/>
          <w:color w:val="auto"/>
        </w:rPr>
      </w:pPr>
    </w:p>
    <w:p>
      <w:pPr>
        <w:ind w:right="3240" w:firstLine="8"/>
        <w:spacing w:after="0" w:line="602" w:lineRule="auto"/>
        <w:tabs>
          <w:tab w:leader="none" w:pos="223" w:val="left"/>
        </w:tabs>
        <w:numPr>
          <w:ilvl w:val="0"/>
          <w:numId w:val="5"/>
        </w:numPr>
        <w:rPr>
          <w:rFonts w:ascii="Arial" w:cs="Arial" w:eastAsia="Arial" w:hAnsi="Arial"/>
          <w:sz w:val="13"/>
          <w:szCs w:val="13"/>
          <w:color w:val="auto"/>
        </w:rPr>
      </w:pPr>
      <w:r>
        <w:rPr>
          <w:rFonts w:ascii="Arial" w:cs="Arial" w:eastAsia="Arial" w:hAnsi="Arial"/>
          <w:sz w:val="16"/>
          <w:szCs w:val="16"/>
          <w:color w:val="auto"/>
        </w:rPr>
        <w:t>Total future minimum lease payments to be received include $5.7 billion relating to the Windstream Leases. The underlying assets under operating leases where we are the lessor are summarized as follows:</w:t>
      </w:r>
    </w:p>
    <w:tbl>
      <w:tblPr>
        <w:tblLayout w:type="fixed"/>
        <w:tblInd w:w="0" w:type="dxa"/>
        <w:tblCellMar>
          <w:top w:w="0" w:type="dxa"/>
          <w:left w:w="0" w:type="dxa"/>
          <w:bottom w:w="0" w:type="dxa"/>
          <w:right w:w="0" w:type="dxa"/>
        </w:tblCellMar>
      </w:tblPr>
      <w:tr>
        <w:trPr>
          <w:trHeight w:val="171"/>
        </w:trPr>
        <w:tc>
          <w:tcPr>
            <w:tcW w:w="4400" w:type="dxa"/>
            <w:vAlign w:val="bottom"/>
          </w:tcPr>
          <w:p>
            <w:pPr>
              <w:spacing w:after="0"/>
              <w:rPr>
                <w:sz w:val="20"/>
                <w:szCs w:val="20"/>
                <w:color w:val="auto"/>
              </w:rPr>
            </w:pPr>
            <w:r>
              <w:rPr>
                <w:rFonts w:ascii="Arial" w:cs="Arial" w:eastAsia="Arial" w:hAnsi="Arial"/>
                <w:sz w:val="14"/>
                <w:szCs w:val="14"/>
                <w:color w:val="auto"/>
              </w:rPr>
              <w:t>(Thousands)</w:t>
            </w:r>
          </w:p>
        </w:tc>
        <w:tc>
          <w:tcPr>
            <w:tcW w:w="2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860" w:type="dxa"/>
            <w:vAlign w:val="bottom"/>
            <w:gridSpan w:val="2"/>
          </w:tcPr>
          <w:p>
            <w:pPr>
              <w:jc w:val="right"/>
              <w:ind w:right="700"/>
              <w:spacing w:after="0"/>
              <w:rPr>
                <w:sz w:val="20"/>
                <w:szCs w:val="20"/>
                <w:color w:val="auto"/>
              </w:rPr>
            </w:pPr>
            <w:r>
              <w:rPr>
                <w:rFonts w:ascii="Arial" w:cs="Arial" w:eastAsia="Arial" w:hAnsi="Arial"/>
                <w:sz w:val="14"/>
                <w:szCs w:val="14"/>
                <w:b w:val="1"/>
                <w:bCs w:val="1"/>
                <w:color w:val="auto"/>
              </w:rPr>
              <w:t>March 31, 2022</w:t>
            </w:r>
          </w:p>
        </w:tc>
        <w:tc>
          <w:tcPr>
            <w:tcW w:w="1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80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rPr>
              <w:t>December 31, 2021</w:t>
            </w:r>
          </w:p>
        </w:tc>
        <w:tc>
          <w:tcPr>
            <w:tcW w:w="0" w:type="dxa"/>
            <w:vAlign w:val="bottom"/>
          </w:tcPr>
          <w:p>
            <w:pPr>
              <w:spacing w:after="0"/>
              <w:rPr>
                <w:sz w:val="1"/>
                <w:szCs w:val="1"/>
                <w:color w:val="auto"/>
              </w:rPr>
            </w:pPr>
          </w:p>
        </w:tc>
      </w:tr>
      <w:tr>
        <w:trPr>
          <w:trHeight w:val="223"/>
        </w:trPr>
        <w:tc>
          <w:tcPr>
            <w:tcW w:w="44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Land</w:t>
            </w:r>
          </w:p>
        </w:tc>
        <w:tc>
          <w:tcPr>
            <w:tcW w:w="2340" w:type="dxa"/>
            <w:vAlign w:val="bottom"/>
            <w:tcBorders>
              <w:top w:val="single" w:sz="8" w:color="auto"/>
            </w:tcBorders>
            <w:shd w:val="clear" w:color="auto" w:fill="CFF0FC"/>
          </w:tcPr>
          <w:p>
            <w:pPr>
              <w:spacing w:after="0"/>
              <w:rPr>
                <w:sz w:val="19"/>
                <w:szCs w:val="19"/>
                <w:color w:val="auto"/>
              </w:rPr>
            </w:pPr>
          </w:p>
        </w:tc>
        <w:tc>
          <w:tcPr>
            <w:tcW w:w="160" w:type="dxa"/>
            <w:vAlign w:val="bottom"/>
            <w:tcBorders>
              <w:top w:val="single" w:sz="8" w:color="CFF0FC"/>
            </w:tcBorders>
            <w:shd w:val="clear" w:color="auto" w:fill="CFF0FC"/>
          </w:tcPr>
          <w:p>
            <w:pPr>
              <w:spacing w:after="0"/>
              <w:rPr>
                <w:sz w:val="19"/>
                <w:szCs w:val="19"/>
                <w:color w:val="auto"/>
              </w:rPr>
            </w:pPr>
          </w:p>
        </w:tc>
        <w:tc>
          <w:tcPr>
            <w:tcW w:w="280" w:type="dxa"/>
            <w:vAlign w:val="bottom"/>
            <w:tcBorders>
              <w:top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16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26,580</w:t>
            </w:r>
          </w:p>
        </w:tc>
        <w:tc>
          <w:tcPr>
            <w:tcW w:w="22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7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26,593</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400" w:type="dxa"/>
            <w:vAlign w:val="bottom"/>
          </w:tcPr>
          <w:p>
            <w:pPr>
              <w:spacing w:after="0"/>
              <w:rPr>
                <w:sz w:val="20"/>
                <w:szCs w:val="20"/>
                <w:color w:val="auto"/>
              </w:rPr>
            </w:pPr>
            <w:r>
              <w:rPr>
                <w:rFonts w:ascii="Arial" w:cs="Arial" w:eastAsia="Arial" w:hAnsi="Arial"/>
                <w:sz w:val="18"/>
                <w:szCs w:val="18"/>
                <w:color w:val="auto"/>
              </w:rPr>
              <w:t>Building and improvements</w:t>
            </w:r>
          </w:p>
        </w:tc>
        <w:tc>
          <w:tcPr>
            <w:tcW w:w="2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343,934</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343,624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00" w:type="dxa"/>
            <w:vAlign w:val="bottom"/>
            <w:shd w:val="clear" w:color="auto" w:fill="CFF0FC"/>
          </w:tcPr>
          <w:p>
            <w:pPr>
              <w:spacing w:after="0"/>
              <w:rPr>
                <w:sz w:val="20"/>
                <w:szCs w:val="20"/>
                <w:color w:val="auto"/>
              </w:rPr>
            </w:pPr>
            <w:r>
              <w:rPr>
                <w:rFonts w:ascii="Arial" w:cs="Arial" w:eastAsia="Arial" w:hAnsi="Arial"/>
                <w:sz w:val="18"/>
                <w:szCs w:val="18"/>
                <w:color w:val="auto"/>
              </w:rPr>
              <w:t>Poles</w:t>
            </w:r>
          </w:p>
        </w:tc>
        <w:tc>
          <w:tcPr>
            <w:tcW w:w="23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285,474</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281,130</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00" w:type="dxa"/>
            <w:vAlign w:val="bottom"/>
          </w:tcPr>
          <w:p>
            <w:pPr>
              <w:spacing w:after="0"/>
              <w:rPr>
                <w:sz w:val="20"/>
                <w:szCs w:val="20"/>
                <w:color w:val="auto"/>
              </w:rPr>
            </w:pPr>
            <w:r>
              <w:rPr>
                <w:rFonts w:ascii="Arial" w:cs="Arial" w:eastAsia="Arial" w:hAnsi="Arial"/>
                <w:sz w:val="18"/>
                <w:szCs w:val="18"/>
                <w:color w:val="auto"/>
              </w:rPr>
              <w:t>Fiber</w:t>
            </w:r>
          </w:p>
        </w:tc>
        <w:tc>
          <w:tcPr>
            <w:tcW w:w="2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3,317,265</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3,278,276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00" w:type="dxa"/>
            <w:vAlign w:val="bottom"/>
            <w:shd w:val="clear" w:color="auto" w:fill="CFF0FC"/>
          </w:tcPr>
          <w:p>
            <w:pPr>
              <w:spacing w:after="0"/>
              <w:rPr>
                <w:sz w:val="20"/>
                <w:szCs w:val="20"/>
                <w:color w:val="auto"/>
              </w:rPr>
            </w:pPr>
            <w:r>
              <w:rPr>
                <w:rFonts w:ascii="Arial" w:cs="Arial" w:eastAsia="Arial" w:hAnsi="Arial"/>
                <w:sz w:val="18"/>
                <w:szCs w:val="18"/>
                <w:color w:val="auto"/>
              </w:rPr>
              <w:t>Equipment</w:t>
            </w:r>
          </w:p>
        </w:tc>
        <w:tc>
          <w:tcPr>
            <w:tcW w:w="23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428</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428</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400" w:type="dxa"/>
            <w:vAlign w:val="bottom"/>
          </w:tcPr>
          <w:p>
            <w:pPr>
              <w:spacing w:after="0"/>
              <w:rPr>
                <w:sz w:val="20"/>
                <w:szCs w:val="20"/>
                <w:color w:val="auto"/>
              </w:rPr>
            </w:pPr>
            <w:r>
              <w:rPr>
                <w:rFonts w:ascii="Arial" w:cs="Arial" w:eastAsia="Arial" w:hAnsi="Arial"/>
                <w:sz w:val="18"/>
                <w:szCs w:val="18"/>
                <w:color w:val="auto"/>
              </w:rPr>
              <w:t>Copper</w:t>
            </w:r>
          </w:p>
        </w:tc>
        <w:tc>
          <w:tcPr>
            <w:tcW w:w="2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3,933,940</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3,918,281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00" w:type="dxa"/>
            <w:vAlign w:val="bottom"/>
            <w:shd w:val="clear" w:color="auto" w:fill="CFF0FC"/>
          </w:tcPr>
          <w:p>
            <w:pPr>
              <w:spacing w:after="0"/>
              <w:rPr>
                <w:sz w:val="20"/>
                <w:szCs w:val="20"/>
                <w:color w:val="auto"/>
              </w:rPr>
            </w:pPr>
            <w:r>
              <w:rPr>
                <w:rFonts w:ascii="Arial" w:cs="Arial" w:eastAsia="Arial" w:hAnsi="Arial"/>
                <w:sz w:val="18"/>
                <w:szCs w:val="18"/>
                <w:color w:val="auto"/>
              </w:rPr>
              <w:t>Conduit</w:t>
            </w:r>
          </w:p>
        </w:tc>
        <w:tc>
          <w:tcPr>
            <w:tcW w:w="23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89,859</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89,859</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00" w:type="dxa"/>
            <w:vAlign w:val="bottom"/>
          </w:tcPr>
          <w:p>
            <w:pPr>
              <w:spacing w:after="0"/>
              <w:rPr>
                <w:sz w:val="20"/>
                <w:szCs w:val="20"/>
                <w:color w:val="auto"/>
              </w:rPr>
            </w:pPr>
            <w:r>
              <w:rPr>
                <w:rFonts w:ascii="Arial" w:cs="Arial" w:eastAsia="Arial" w:hAnsi="Arial"/>
                <w:sz w:val="18"/>
                <w:szCs w:val="18"/>
                <w:color w:val="auto"/>
              </w:rPr>
              <w:t>Tower assets</w:t>
            </w:r>
          </w:p>
        </w:tc>
        <w:tc>
          <w:tcPr>
            <w:tcW w:w="2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1,397</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1,397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00" w:type="dxa"/>
            <w:vAlign w:val="bottom"/>
            <w:shd w:val="clear" w:color="auto" w:fill="CFF0FC"/>
          </w:tcPr>
          <w:p>
            <w:pPr>
              <w:spacing w:after="0"/>
              <w:rPr>
                <w:sz w:val="20"/>
                <w:szCs w:val="20"/>
                <w:color w:val="auto"/>
              </w:rPr>
            </w:pPr>
            <w:r>
              <w:rPr>
                <w:rFonts w:ascii="Arial" w:cs="Arial" w:eastAsia="Arial" w:hAnsi="Arial"/>
                <w:sz w:val="18"/>
                <w:szCs w:val="18"/>
                <w:color w:val="auto"/>
              </w:rPr>
              <w:t>Finance lease assets</w:t>
            </w:r>
          </w:p>
        </w:tc>
        <w:tc>
          <w:tcPr>
            <w:tcW w:w="23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28,126</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28,126</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4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Other assets</w:t>
            </w:r>
          </w:p>
        </w:tc>
        <w:tc>
          <w:tcPr>
            <w:tcW w:w="2340" w:type="dxa"/>
            <w:vAlign w:val="bottom"/>
            <w:tcBorders>
              <w:bottom w:val="single" w:sz="8" w:color="CFF0FC"/>
            </w:tcBorders>
          </w:tcPr>
          <w:p>
            <w:pPr>
              <w:spacing w:after="0"/>
              <w:rPr>
                <w:sz w:val="19"/>
                <w:szCs w:val="19"/>
                <w:color w:val="auto"/>
              </w:rPr>
            </w:pPr>
          </w:p>
        </w:tc>
        <w:tc>
          <w:tcPr>
            <w:tcW w:w="16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10,577</w:t>
            </w:r>
          </w:p>
        </w:tc>
        <w:tc>
          <w:tcPr>
            <w:tcW w:w="220" w:type="dxa"/>
            <w:vAlign w:val="bottom"/>
            <w:tcBorders>
              <w:bottom w:val="single" w:sz="8" w:color="CFF0FC"/>
            </w:tcBorders>
          </w:tcPr>
          <w:p>
            <w:pPr>
              <w:spacing w:after="0"/>
              <w:rPr>
                <w:sz w:val="19"/>
                <w:szCs w:val="19"/>
                <w:color w:val="auto"/>
              </w:rPr>
            </w:pPr>
          </w:p>
        </w:tc>
        <w:tc>
          <w:tcPr>
            <w:tcW w:w="16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10,649</w:t>
            </w:r>
          </w:p>
        </w:tc>
        <w:tc>
          <w:tcPr>
            <w:tcW w:w="10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400" w:type="dxa"/>
            <w:vAlign w:val="bottom"/>
            <w:shd w:val="clear" w:color="auto" w:fill="CFF0FC"/>
          </w:tcPr>
          <w:p>
            <w:pPr>
              <w:spacing w:after="0"/>
              <w:rPr>
                <w:sz w:val="19"/>
                <w:szCs w:val="19"/>
                <w:color w:val="auto"/>
              </w:rPr>
            </w:pPr>
          </w:p>
        </w:tc>
        <w:tc>
          <w:tcPr>
            <w:tcW w:w="23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8,037,580</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7,978,363</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400" w:type="dxa"/>
            <w:vAlign w:val="bottom"/>
          </w:tcPr>
          <w:p>
            <w:pPr>
              <w:spacing w:after="0"/>
              <w:rPr>
                <w:sz w:val="20"/>
                <w:szCs w:val="20"/>
                <w:color w:val="auto"/>
              </w:rPr>
            </w:pPr>
            <w:r>
              <w:rPr>
                <w:rFonts w:ascii="Arial" w:cs="Arial" w:eastAsia="Arial" w:hAnsi="Arial"/>
                <w:sz w:val="18"/>
                <w:szCs w:val="18"/>
                <w:color w:val="auto"/>
              </w:rPr>
              <w:t>Less: accumulated depreciation</w:t>
            </w:r>
          </w:p>
        </w:tc>
        <w:tc>
          <w:tcPr>
            <w:tcW w:w="2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860" w:type="dxa"/>
            <w:vAlign w:val="bottom"/>
            <w:gridSpan w:val="2"/>
          </w:tcPr>
          <w:p>
            <w:pPr>
              <w:jc w:val="right"/>
              <w:ind w:right="160"/>
              <w:spacing w:after="0"/>
              <w:rPr>
                <w:sz w:val="20"/>
                <w:szCs w:val="20"/>
                <w:color w:val="auto"/>
              </w:rPr>
            </w:pPr>
            <w:r>
              <w:rPr>
                <w:rFonts w:ascii="Arial" w:cs="Arial" w:eastAsia="Arial" w:hAnsi="Arial"/>
                <w:sz w:val="18"/>
                <w:szCs w:val="18"/>
                <w:color w:val="auto"/>
              </w:rPr>
              <w:t>(5,433,927)</w:t>
            </w: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0" w:type="dxa"/>
            <w:vAlign w:val="bottom"/>
            <w:gridSpan w:val="2"/>
          </w:tcPr>
          <w:p>
            <w:pPr>
              <w:jc w:val="right"/>
              <w:ind w:right="40"/>
              <w:spacing w:after="0"/>
              <w:rPr>
                <w:sz w:val="20"/>
                <w:szCs w:val="20"/>
                <w:color w:val="auto"/>
              </w:rPr>
            </w:pPr>
            <w:r>
              <w:rPr>
                <w:rFonts w:ascii="Arial" w:cs="Arial" w:eastAsia="Arial" w:hAnsi="Arial"/>
                <w:sz w:val="18"/>
                <w:szCs w:val="18"/>
                <w:color w:val="auto"/>
              </w:rPr>
              <w:t>(5,391,479)</w:t>
            </w:r>
          </w:p>
        </w:tc>
        <w:tc>
          <w:tcPr>
            <w:tcW w:w="0" w:type="dxa"/>
            <w:vAlign w:val="bottom"/>
          </w:tcPr>
          <w:p>
            <w:pPr>
              <w:spacing w:after="0"/>
              <w:rPr>
                <w:sz w:val="1"/>
                <w:szCs w:val="1"/>
                <w:color w:val="auto"/>
              </w:rPr>
            </w:pPr>
          </w:p>
        </w:tc>
      </w:tr>
      <w:tr>
        <w:trPr>
          <w:trHeight w:val="223"/>
        </w:trPr>
        <w:tc>
          <w:tcPr>
            <w:tcW w:w="440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Underlying assets under operating leases, net</w:t>
            </w:r>
          </w:p>
        </w:tc>
        <w:tc>
          <w:tcPr>
            <w:tcW w:w="2340" w:type="dxa"/>
            <w:vAlign w:val="bottom"/>
            <w:tcBorders>
              <w:top w:val="single" w:sz="8" w:color="CFF0FC"/>
              <w:bottom w:val="single" w:sz="8" w:color="CFF0FC"/>
            </w:tcBorders>
            <w:shd w:val="clear" w:color="auto" w:fill="CFF0FC"/>
          </w:tcPr>
          <w:p>
            <w:pPr>
              <w:spacing w:after="0"/>
              <w:rPr>
                <w:sz w:val="19"/>
                <w:szCs w:val="19"/>
                <w:color w:val="auto"/>
              </w:rPr>
            </w:pPr>
          </w:p>
        </w:tc>
        <w:tc>
          <w:tcPr>
            <w:tcW w:w="160" w:type="dxa"/>
            <w:vAlign w:val="bottom"/>
            <w:tcBorders>
              <w:top w:val="single" w:sz="8" w:color="CFF0FC"/>
              <w:bottom w:val="single" w:sz="8" w:color="CFF0FC"/>
            </w:tcBorders>
            <w:shd w:val="clear" w:color="auto" w:fill="CFF0FC"/>
          </w:tcPr>
          <w:p>
            <w:pPr>
              <w:spacing w:after="0"/>
              <w:rPr>
                <w:sz w:val="19"/>
                <w:szCs w:val="19"/>
                <w:color w:val="auto"/>
              </w:rPr>
            </w:pPr>
          </w:p>
        </w:tc>
        <w:tc>
          <w:tcPr>
            <w:tcW w:w="280" w:type="dxa"/>
            <w:vAlign w:val="bottom"/>
            <w:tcBorders>
              <w:top w:val="single" w:sz="8" w:color="auto"/>
              <w:bottom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16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2,603,653</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160" w:type="dxa"/>
            <w:vAlign w:val="bottom"/>
            <w:tcBorders>
              <w:top w:val="single" w:sz="8" w:color="CFF0FC"/>
              <w:bottom w:val="single" w:sz="8" w:color="CFF0FC"/>
            </w:tcBorders>
            <w:shd w:val="clear" w:color="auto" w:fill="CFF0FC"/>
          </w:tcPr>
          <w:p>
            <w:pPr>
              <w:spacing w:after="0"/>
              <w:rPr>
                <w:sz w:val="19"/>
                <w:szCs w:val="19"/>
                <w:color w:val="auto"/>
              </w:rPr>
            </w:pPr>
          </w:p>
        </w:tc>
        <w:tc>
          <w:tcPr>
            <w:tcW w:w="24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7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2,586,884</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400" w:type="dxa"/>
            <w:vAlign w:val="bottom"/>
          </w:tcPr>
          <w:p>
            <w:pPr>
              <w:spacing w:after="0" w:line="20" w:lineRule="exact"/>
              <w:rPr>
                <w:sz w:val="1"/>
                <w:szCs w:val="1"/>
                <w:color w:val="auto"/>
              </w:rPr>
            </w:pPr>
          </w:p>
        </w:tc>
        <w:tc>
          <w:tcPr>
            <w:tcW w:w="2340" w:type="dxa"/>
            <w:vAlign w:val="bottom"/>
            <w:vMerge w:val="restart"/>
          </w:tcPr>
          <w:p>
            <w:pPr>
              <w:jc w:val="right"/>
              <w:ind w:right="930"/>
              <w:spacing w:after="0"/>
              <w:rPr>
                <w:sz w:val="20"/>
                <w:szCs w:val="20"/>
                <w:color w:val="auto"/>
              </w:rPr>
            </w:pPr>
            <w:r>
              <w:rPr>
                <w:rFonts w:ascii="Arial" w:cs="Arial" w:eastAsia="Arial" w:hAnsi="Arial"/>
                <w:sz w:val="18"/>
                <w:szCs w:val="18"/>
                <w:color w:val="auto"/>
              </w:rPr>
              <w:t>13</w:t>
            </w:r>
          </w:p>
        </w:tc>
        <w:tc>
          <w:tcPr>
            <w:tcW w:w="1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8"/>
        </w:trPr>
        <w:tc>
          <w:tcPr>
            <w:tcW w:w="4400" w:type="dxa"/>
            <w:vAlign w:val="bottom"/>
          </w:tcPr>
          <w:p>
            <w:pPr>
              <w:spacing w:after="0"/>
              <w:rPr>
                <w:sz w:val="24"/>
                <w:szCs w:val="24"/>
                <w:color w:val="auto"/>
              </w:rPr>
            </w:pPr>
          </w:p>
        </w:tc>
        <w:tc>
          <w:tcPr>
            <w:tcW w:w="234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4400" w:type="dxa"/>
            <w:vAlign w:val="bottom"/>
            <w:tcBorders>
              <w:bottom w:val="single" w:sz="8" w:color="9A9A9A"/>
            </w:tcBorders>
          </w:tcPr>
          <w:p>
            <w:pPr>
              <w:spacing w:after="0"/>
              <w:rPr>
                <w:sz w:val="10"/>
                <w:szCs w:val="10"/>
                <w:color w:val="auto"/>
              </w:rPr>
            </w:pPr>
          </w:p>
        </w:tc>
        <w:tc>
          <w:tcPr>
            <w:tcW w:w="234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280" w:type="dxa"/>
            <w:vAlign w:val="bottom"/>
            <w:tcBorders>
              <w:bottom w:val="single" w:sz="8" w:color="9A9A9A"/>
            </w:tcBorders>
          </w:tcPr>
          <w:p>
            <w:pPr>
              <w:spacing w:after="0"/>
              <w:rPr>
                <w:sz w:val="10"/>
                <w:szCs w:val="10"/>
                <w:color w:val="auto"/>
              </w:rPr>
            </w:pPr>
          </w:p>
        </w:tc>
        <w:tc>
          <w:tcPr>
            <w:tcW w:w="164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170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ind w:right="560"/>
        <w:spacing w:after="0" w:line="277" w:lineRule="auto"/>
        <w:rPr>
          <w:sz w:val="20"/>
          <w:szCs w:val="20"/>
          <w:color w:val="auto"/>
        </w:rPr>
      </w:pPr>
      <w:r>
        <w:rPr>
          <w:rFonts w:ascii="Arial" w:cs="Arial" w:eastAsia="Arial" w:hAnsi="Arial"/>
          <w:sz w:val="18"/>
          <w:szCs w:val="18"/>
          <w:color w:val="auto"/>
        </w:rPr>
        <w:t>Depreciation expense for the underlying assets under operating leases where we are the lessor for the three months ended March 31, 2022 and 2021, respectively, is summarized as follows:</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7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20" w:type="dxa"/>
            <w:vAlign w:val="bottom"/>
            <w:tcBorders>
              <w:bottom w:val="single" w:sz="8" w:color="auto"/>
            </w:tcBorders>
          </w:tcPr>
          <w:p>
            <w:pPr>
              <w:spacing w:after="0"/>
              <w:rPr>
                <w:sz w:val="14"/>
                <w:szCs w:val="14"/>
                <w:color w:val="auto"/>
              </w:rPr>
            </w:pPr>
          </w:p>
        </w:tc>
        <w:tc>
          <w:tcPr>
            <w:tcW w:w="19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w w:val="94"/>
              </w:rPr>
              <w:t>Three Months Ended March 31,</w:t>
            </w:r>
          </w:p>
        </w:tc>
        <w:tc>
          <w:tcPr>
            <w:tcW w:w="11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223"/>
        </w:trPr>
        <w:tc>
          <w:tcPr>
            <w:tcW w:w="6740" w:type="dxa"/>
            <w:vAlign w:val="bottom"/>
          </w:tcPr>
          <w:p>
            <w:pPr>
              <w:spacing w:after="0"/>
              <w:rPr>
                <w:sz w:val="20"/>
                <w:szCs w:val="20"/>
                <w:color w:val="auto"/>
              </w:rPr>
            </w:pPr>
            <w:r>
              <w:rPr>
                <w:rFonts w:ascii="Arial" w:cs="Arial" w:eastAsia="Arial" w:hAnsi="Arial"/>
                <w:sz w:val="14"/>
                <w:szCs w:val="14"/>
                <w:color w:val="auto"/>
              </w:rPr>
              <w:t>(Thousands)</w:t>
            </w:r>
          </w:p>
        </w:tc>
        <w:tc>
          <w:tcPr>
            <w:tcW w:w="1280" w:type="dxa"/>
            <w:vAlign w:val="bottom"/>
            <w:gridSpan w:val="2"/>
          </w:tcPr>
          <w:p>
            <w:pPr>
              <w:jc w:val="right"/>
              <w:spacing w:after="0"/>
              <w:rPr>
                <w:sz w:val="20"/>
                <w:szCs w:val="20"/>
                <w:color w:val="auto"/>
              </w:rPr>
            </w:pPr>
            <w:r>
              <w:rPr>
                <w:rFonts w:ascii="Arial" w:cs="Arial" w:eastAsia="Arial" w:hAnsi="Arial"/>
                <w:sz w:val="14"/>
                <w:szCs w:val="14"/>
                <w:b w:val="1"/>
                <w:bCs w:val="1"/>
                <w:color w:val="auto"/>
              </w:rPr>
              <w:t>2022</w:t>
            </w:r>
          </w:p>
        </w:tc>
        <w:tc>
          <w:tcPr>
            <w:tcW w:w="8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40" w:type="dxa"/>
            <w:vAlign w:val="bottom"/>
          </w:tcPr>
          <w:p>
            <w:pPr>
              <w:jc w:val="right"/>
              <w:ind w:right="759"/>
              <w:spacing w:after="0"/>
              <w:rPr>
                <w:sz w:val="20"/>
                <w:szCs w:val="20"/>
                <w:color w:val="auto"/>
              </w:rPr>
            </w:pPr>
            <w:r>
              <w:rPr>
                <w:rFonts w:ascii="Arial" w:cs="Arial" w:eastAsia="Arial" w:hAnsi="Arial"/>
                <w:sz w:val="14"/>
                <w:szCs w:val="14"/>
                <w:b w:val="1"/>
                <w:bCs w:val="1"/>
                <w:color w:val="auto"/>
                <w:w w:val="89"/>
              </w:rPr>
              <w:t>2021</w:t>
            </w:r>
          </w:p>
        </w:tc>
        <w:tc>
          <w:tcPr>
            <w:tcW w:w="100" w:type="dxa"/>
            <w:vAlign w:val="bottom"/>
          </w:tcPr>
          <w:p>
            <w:pPr>
              <w:spacing w:after="0"/>
              <w:rPr>
                <w:sz w:val="19"/>
                <w:szCs w:val="19"/>
                <w:color w:val="auto"/>
              </w:rPr>
            </w:pPr>
          </w:p>
        </w:tc>
      </w:tr>
      <w:tr>
        <w:trPr>
          <w:trHeight w:val="223"/>
        </w:trPr>
        <w:tc>
          <w:tcPr>
            <w:tcW w:w="674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Depreciation expense for underlying assets under operating leases</w:t>
            </w:r>
          </w:p>
        </w:tc>
        <w:tc>
          <w:tcPr>
            <w:tcW w:w="160" w:type="dxa"/>
            <w:vAlign w:val="bottom"/>
            <w:tcBorders>
              <w:top w:val="single" w:sz="8" w:color="CFF0FC"/>
            </w:tcBorders>
            <w:shd w:val="clear" w:color="auto" w:fill="CFF0FC"/>
          </w:tcPr>
          <w:p>
            <w:pPr>
              <w:spacing w:after="0"/>
              <w:rPr>
                <w:sz w:val="19"/>
                <w:szCs w:val="19"/>
                <w:color w:val="auto"/>
              </w:rPr>
            </w:pPr>
          </w:p>
        </w:tc>
        <w:tc>
          <w:tcPr>
            <w:tcW w:w="1120" w:type="dxa"/>
            <w:vAlign w:val="bottom"/>
            <w:tcBorders>
              <w:top w:val="single" w:sz="8" w:color="auto"/>
            </w:tcBorders>
            <w:shd w:val="clear" w:color="auto" w:fill="CFF0FC"/>
          </w:tcPr>
          <w:p>
            <w:pPr>
              <w:jc w:val="right"/>
              <w:ind w:right="930"/>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43,187</w:t>
            </w:r>
          </w:p>
        </w:tc>
        <w:tc>
          <w:tcPr>
            <w:tcW w:w="380" w:type="dxa"/>
            <w:vAlign w:val="bottom"/>
            <w:tcBorders>
              <w:top w:val="single" w:sz="8" w:color="CFF0FC"/>
            </w:tcBorders>
            <w:shd w:val="clear" w:color="auto" w:fill="CFF0FC"/>
          </w:tcPr>
          <w:p>
            <w:pPr>
              <w:spacing w:after="0"/>
              <w:rPr>
                <w:sz w:val="19"/>
                <w:szCs w:val="19"/>
                <w:color w:val="auto"/>
              </w:rPr>
            </w:pPr>
          </w:p>
        </w:tc>
        <w:tc>
          <w:tcPr>
            <w:tcW w:w="800" w:type="dxa"/>
            <w:vAlign w:val="bottom"/>
            <w:tcBorders>
              <w:top w:val="single" w:sz="8" w:color="auto"/>
            </w:tcBorders>
            <w:shd w:val="clear" w:color="auto" w:fill="CFF0FC"/>
          </w:tcPr>
          <w:p>
            <w:pPr>
              <w:jc w:val="right"/>
              <w:ind w:right="61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45,913</w:t>
            </w:r>
          </w:p>
        </w:tc>
        <w:tc>
          <w:tcPr>
            <w:tcW w:w="100" w:type="dxa"/>
            <w:vAlign w:val="bottom"/>
            <w:tcBorders>
              <w:top w:val="single" w:sz="8" w:color="CFF0FC"/>
            </w:tcBorders>
            <w:shd w:val="clear" w:color="auto" w:fill="CFF0FC"/>
          </w:tcPr>
          <w:p>
            <w:pPr>
              <w:spacing w:after="0"/>
              <w:rPr>
                <w:sz w:val="19"/>
                <w:szCs w:val="19"/>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Lessee Accounting</w:t>
      </w:r>
    </w:p>
    <w:p>
      <w:pPr>
        <w:spacing w:after="0" w:line="225"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We have commitments under operating leases for communications towers, ground, colocation, dark fiber lease arrangements, and buildings. We also have finance leases for dark fiber lease arrangements and other communications equipment. Our leases have initial lease terms ranging from less than one year to 30 years, most of which include options to extend or renew the leases for less than one year to 20 years, and some of which may include options to terminate the leases within one to six months. Certain lease agreements contain provisions for future rent increases. Payments due under the lease contracts include fixed payments plus, for some of our leases, variable payments.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As of March 31, 2022, we have short term lease commitments amounting to approximately $2.5 million.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Future lease payments under non-cancellable leases as of March 31, 2022 are as follows:</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740" w:type="dxa"/>
            <w:vAlign w:val="bottom"/>
          </w:tcPr>
          <w:p>
            <w:pPr>
              <w:spacing w:after="0"/>
              <w:rPr>
                <w:sz w:val="20"/>
                <w:szCs w:val="20"/>
                <w:color w:val="auto"/>
              </w:rPr>
            </w:pPr>
            <w:r>
              <w:rPr>
                <w:rFonts w:ascii="Arial" w:cs="Arial" w:eastAsia="Arial" w:hAnsi="Arial"/>
                <w:sz w:val="14"/>
                <w:szCs w:val="14"/>
                <w:color w:val="auto"/>
              </w:rPr>
              <w:t>(Thousands)</w:t>
            </w:r>
          </w:p>
        </w:tc>
        <w:tc>
          <w:tcPr>
            <w:tcW w:w="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80" w:type="dxa"/>
            <w:vAlign w:val="bottom"/>
            <w:gridSpan w:val="2"/>
          </w:tcPr>
          <w:p>
            <w:pPr>
              <w:jc w:val="right"/>
              <w:ind w:right="640"/>
              <w:spacing w:after="0"/>
              <w:rPr>
                <w:sz w:val="20"/>
                <w:szCs w:val="20"/>
                <w:color w:val="auto"/>
              </w:rPr>
            </w:pPr>
            <w:r>
              <w:rPr>
                <w:rFonts w:ascii="Arial" w:cs="Arial" w:eastAsia="Arial" w:hAnsi="Arial"/>
                <w:sz w:val="14"/>
                <w:szCs w:val="14"/>
                <w:b w:val="1"/>
                <w:bCs w:val="1"/>
                <w:color w:val="auto"/>
              </w:rPr>
              <w:t>Operating Leases</w:t>
            </w:r>
          </w:p>
        </w:tc>
        <w:tc>
          <w:tcPr>
            <w:tcW w:w="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740" w:type="dxa"/>
            <w:vAlign w:val="bottom"/>
            <w:gridSpan w:val="2"/>
          </w:tcPr>
          <w:p>
            <w:pPr>
              <w:jc w:val="right"/>
              <w:ind w:right="620"/>
              <w:spacing w:after="0"/>
              <w:rPr>
                <w:sz w:val="20"/>
                <w:szCs w:val="20"/>
                <w:color w:val="auto"/>
              </w:rPr>
            </w:pPr>
            <w:r>
              <w:rPr>
                <w:rFonts w:ascii="Arial" w:cs="Arial" w:eastAsia="Arial" w:hAnsi="Arial"/>
                <w:sz w:val="14"/>
                <w:szCs w:val="14"/>
                <w:b w:val="1"/>
                <w:bCs w:val="1"/>
                <w:color w:val="auto"/>
              </w:rPr>
              <w:t>Finance Leases</w:t>
            </w:r>
          </w:p>
        </w:tc>
      </w:tr>
      <w:tr>
        <w:trPr>
          <w:trHeight w:val="223"/>
        </w:trPr>
        <w:tc>
          <w:tcPr>
            <w:tcW w:w="674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2022</w:t>
            </w:r>
          </w:p>
        </w:tc>
        <w:tc>
          <w:tcPr>
            <w:tcW w:w="16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11,387</w:t>
            </w:r>
          </w:p>
        </w:tc>
        <w:tc>
          <w:tcPr>
            <w:tcW w:w="22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CFF0FC"/>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16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1,724</w:t>
            </w:r>
          </w:p>
        </w:tc>
        <w:tc>
          <w:tcPr>
            <w:tcW w:w="100" w:type="dxa"/>
            <w:vAlign w:val="bottom"/>
            <w:tcBorders>
              <w:top w:val="single" w:sz="8" w:color="CFF0FC"/>
            </w:tcBorders>
            <w:shd w:val="clear" w:color="auto" w:fill="CFF0FC"/>
          </w:tcPr>
          <w:p>
            <w:pPr>
              <w:spacing w:after="0"/>
              <w:rPr>
                <w:sz w:val="19"/>
                <w:szCs w:val="19"/>
                <w:color w:val="auto"/>
              </w:rPr>
            </w:pPr>
          </w:p>
        </w:tc>
      </w:tr>
      <w:tr>
        <w:trPr>
          <w:trHeight w:val="229"/>
        </w:trPr>
        <w:tc>
          <w:tcPr>
            <w:tcW w:w="6740" w:type="dxa"/>
            <w:vAlign w:val="bottom"/>
          </w:tcPr>
          <w:p>
            <w:pPr>
              <w:spacing w:after="0"/>
              <w:rPr>
                <w:sz w:val="20"/>
                <w:szCs w:val="20"/>
                <w:color w:val="auto"/>
              </w:rPr>
            </w:pPr>
            <w:r>
              <w:rPr>
                <w:rFonts w:ascii="Arial" w:cs="Arial" w:eastAsia="Arial" w:hAnsi="Arial"/>
                <w:sz w:val="18"/>
                <w:szCs w:val="18"/>
                <w:color w:val="auto"/>
              </w:rPr>
              <w:t>2023</w:t>
            </w:r>
          </w:p>
        </w:tc>
        <w:tc>
          <w:tcPr>
            <w:tcW w:w="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13,515</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2,281</w:t>
            </w:r>
          </w:p>
        </w:tc>
        <w:tc>
          <w:tcPr>
            <w:tcW w:w="100" w:type="dxa"/>
            <w:vAlign w:val="bottom"/>
          </w:tcPr>
          <w:p>
            <w:pPr>
              <w:spacing w:after="0"/>
              <w:rPr>
                <w:sz w:val="19"/>
                <w:szCs w:val="19"/>
                <w:color w:val="auto"/>
              </w:rPr>
            </w:pPr>
          </w:p>
        </w:tc>
      </w:tr>
      <w:tr>
        <w:trPr>
          <w:trHeight w:val="230"/>
        </w:trPr>
        <w:tc>
          <w:tcPr>
            <w:tcW w:w="6740" w:type="dxa"/>
            <w:vAlign w:val="bottom"/>
            <w:shd w:val="clear" w:color="auto" w:fill="CFF0FC"/>
          </w:tcPr>
          <w:p>
            <w:pPr>
              <w:spacing w:after="0"/>
              <w:rPr>
                <w:sz w:val="20"/>
                <w:szCs w:val="20"/>
                <w:color w:val="auto"/>
              </w:rPr>
            </w:pPr>
            <w:r>
              <w:rPr>
                <w:rFonts w:ascii="Arial" w:cs="Arial" w:eastAsia="Arial" w:hAnsi="Arial"/>
                <w:sz w:val="18"/>
                <w:szCs w:val="18"/>
                <w:color w:val="auto"/>
              </w:rPr>
              <w:t>2024</w:t>
            </w:r>
          </w:p>
        </w:tc>
        <w:tc>
          <w:tcPr>
            <w:tcW w:w="1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11,204</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2,082</w:t>
            </w:r>
          </w:p>
        </w:tc>
        <w:tc>
          <w:tcPr>
            <w:tcW w:w="100" w:type="dxa"/>
            <w:vAlign w:val="bottom"/>
            <w:shd w:val="clear" w:color="auto" w:fill="CFF0FC"/>
          </w:tcPr>
          <w:p>
            <w:pPr>
              <w:spacing w:after="0"/>
              <w:rPr>
                <w:sz w:val="19"/>
                <w:szCs w:val="19"/>
                <w:color w:val="auto"/>
              </w:rPr>
            </w:pPr>
          </w:p>
        </w:tc>
      </w:tr>
      <w:tr>
        <w:trPr>
          <w:trHeight w:val="229"/>
        </w:trPr>
        <w:tc>
          <w:tcPr>
            <w:tcW w:w="6740" w:type="dxa"/>
            <w:vAlign w:val="bottom"/>
          </w:tcPr>
          <w:p>
            <w:pPr>
              <w:spacing w:after="0"/>
              <w:rPr>
                <w:sz w:val="20"/>
                <w:szCs w:val="20"/>
                <w:color w:val="auto"/>
              </w:rPr>
            </w:pPr>
            <w:r>
              <w:rPr>
                <w:rFonts w:ascii="Arial" w:cs="Arial" w:eastAsia="Arial" w:hAnsi="Arial"/>
                <w:sz w:val="18"/>
                <w:szCs w:val="18"/>
                <w:color w:val="auto"/>
              </w:rPr>
              <w:t>2025</w:t>
            </w:r>
          </w:p>
        </w:tc>
        <w:tc>
          <w:tcPr>
            <w:tcW w:w="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8,590</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2,021</w:t>
            </w:r>
          </w:p>
        </w:tc>
        <w:tc>
          <w:tcPr>
            <w:tcW w:w="100" w:type="dxa"/>
            <w:vAlign w:val="bottom"/>
          </w:tcPr>
          <w:p>
            <w:pPr>
              <w:spacing w:after="0"/>
              <w:rPr>
                <w:sz w:val="19"/>
                <w:szCs w:val="19"/>
                <w:color w:val="auto"/>
              </w:rPr>
            </w:pPr>
          </w:p>
        </w:tc>
      </w:tr>
      <w:tr>
        <w:trPr>
          <w:trHeight w:val="229"/>
        </w:trPr>
        <w:tc>
          <w:tcPr>
            <w:tcW w:w="6740" w:type="dxa"/>
            <w:vAlign w:val="bottom"/>
            <w:shd w:val="clear" w:color="auto" w:fill="CFF0FC"/>
          </w:tcPr>
          <w:p>
            <w:pPr>
              <w:spacing w:after="0"/>
              <w:rPr>
                <w:sz w:val="20"/>
                <w:szCs w:val="20"/>
                <w:color w:val="auto"/>
              </w:rPr>
            </w:pPr>
            <w:r>
              <w:rPr>
                <w:rFonts w:ascii="Arial" w:cs="Arial" w:eastAsia="Arial" w:hAnsi="Arial"/>
                <w:sz w:val="18"/>
                <w:szCs w:val="18"/>
                <w:color w:val="auto"/>
              </w:rPr>
              <w:t>2026</w:t>
            </w:r>
          </w:p>
        </w:tc>
        <w:tc>
          <w:tcPr>
            <w:tcW w:w="1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5,964</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2,021</w:t>
            </w:r>
          </w:p>
        </w:tc>
        <w:tc>
          <w:tcPr>
            <w:tcW w:w="100" w:type="dxa"/>
            <w:vAlign w:val="bottom"/>
            <w:shd w:val="clear" w:color="auto" w:fill="CFF0FC"/>
          </w:tcPr>
          <w:p>
            <w:pPr>
              <w:spacing w:after="0"/>
              <w:rPr>
                <w:sz w:val="19"/>
                <w:szCs w:val="19"/>
                <w:color w:val="auto"/>
              </w:rPr>
            </w:pPr>
          </w:p>
        </w:tc>
      </w:tr>
      <w:tr>
        <w:trPr>
          <w:trHeight w:val="230"/>
        </w:trPr>
        <w:tc>
          <w:tcPr>
            <w:tcW w:w="67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Thereafter</w:t>
            </w:r>
          </w:p>
        </w:tc>
        <w:tc>
          <w:tcPr>
            <w:tcW w:w="16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37,309</w:t>
            </w:r>
          </w:p>
        </w:tc>
        <w:tc>
          <w:tcPr>
            <w:tcW w:w="220" w:type="dxa"/>
            <w:vAlign w:val="bottom"/>
            <w:tcBorders>
              <w:bottom w:val="single" w:sz="8" w:color="CFF0FC"/>
            </w:tcBorders>
          </w:tcPr>
          <w:p>
            <w:pPr>
              <w:spacing w:after="0"/>
              <w:rPr>
                <w:sz w:val="19"/>
                <w:szCs w:val="19"/>
                <w:color w:val="auto"/>
              </w:rPr>
            </w:pPr>
          </w:p>
        </w:tc>
        <w:tc>
          <w:tcPr>
            <w:tcW w:w="16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14,749</w:t>
            </w:r>
          </w:p>
        </w:tc>
        <w:tc>
          <w:tcPr>
            <w:tcW w:w="100" w:type="dxa"/>
            <w:vAlign w:val="bottom"/>
            <w:tcBorders>
              <w:bottom w:val="single" w:sz="8" w:color="CFF0FC"/>
            </w:tcBorders>
          </w:tcPr>
          <w:p>
            <w:pPr>
              <w:spacing w:after="0"/>
              <w:rPr>
                <w:sz w:val="19"/>
                <w:szCs w:val="19"/>
                <w:color w:val="auto"/>
              </w:rPr>
            </w:pPr>
          </w:p>
        </w:tc>
      </w:tr>
      <w:tr>
        <w:trPr>
          <w:trHeight w:val="223"/>
        </w:trPr>
        <w:tc>
          <w:tcPr>
            <w:tcW w:w="6740" w:type="dxa"/>
            <w:vAlign w:val="bottom"/>
            <w:shd w:val="clear" w:color="auto" w:fill="CFF0FC"/>
          </w:tcPr>
          <w:p>
            <w:pPr>
              <w:spacing w:after="0"/>
              <w:rPr>
                <w:sz w:val="20"/>
                <w:szCs w:val="20"/>
                <w:color w:val="auto"/>
              </w:rPr>
            </w:pPr>
            <w:r>
              <w:rPr>
                <w:rFonts w:ascii="Arial" w:cs="Arial" w:eastAsia="Arial" w:hAnsi="Arial"/>
                <w:sz w:val="18"/>
                <w:szCs w:val="18"/>
                <w:color w:val="auto"/>
              </w:rPr>
              <w:t>Total undiscounted lease payments</w:t>
            </w:r>
          </w:p>
        </w:tc>
        <w:tc>
          <w:tcPr>
            <w:tcW w:w="160" w:type="dxa"/>
            <w:vAlign w:val="bottom"/>
            <w:shd w:val="clear" w:color="auto" w:fill="CFF0FC"/>
          </w:tcPr>
          <w:p>
            <w:pPr>
              <w:spacing w:after="0"/>
              <w:rPr>
                <w:sz w:val="19"/>
                <w:szCs w:val="19"/>
                <w:color w:val="auto"/>
              </w:rPr>
            </w:pPr>
          </w:p>
        </w:tc>
        <w:tc>
          <w:tcPr>
            <w:tcW w:w="26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87,969</w:t>
            </w:r>
          </w:p>
        </w:tc>
        <w:tc>
          <w:tcPr>
            <w:tcW w:w="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300" w:type="dxa"/>
            <w:vAlign w:val="bottom"/>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1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24,878</w:t>
            </w:r>
          </w:p>
        </w:tc>
        <w:tc>
          <w:tcPr>
            <w:tcW w:w="100" w:type="dxa"/>
            <w:vAlign w:val="bottom"/>
            <w:shd w:val="clear" w:color="auto" w:fill="CFF0FC"/>
          </w:tcPr>
          <w:p>
            <w:pPr>
              <w:spacing w:after="0"/>
              <w:rPr>
                <w:sz w:val="19"/>
                <w:szCs w:val="19"/>
                <w:color w:val="auto"/>
              </w:rPr>
            </w:pPr>
          </w:p>
        </w:tc>
      </w:tr>
      <w:tr>
        <w:trPr>
          <w:trHeight w:val="230"/>
        </w:trPr>
        <w:tc>
          <w:tcPr>
            <w:tcW w:w="6740" w:type="dxa"/>
            <w:vAlign w:val="bottom"/>
          </w:tcPr>
          <w:p>
            <w:pPr>
              <w:spacing w:after="0"/>
              <w:rPr>
                <w:sz w:val="20"/>
                <w:szCs w:val="20"/>
                <w:color w:val="auto"/>
              </w:rPr>
            </w:pPr>
            <w:r>
              <w:rPr>
                <w:rFonts w:ascii="Arial" w:cs="Arial" w:eastAsia="Arial" w:hAnsi="Arial"/>
                <w:sz w:val="18"/>
                <w:szCs w:val="18"/>
                <w:color w:val="auto"/>
              </w:rPr>
              <w:t>Less: imputed interest</w:t>
            </w:r>
          </w:p>
        </w:tc>
        <w:tc>
          <w:tcPr>
            <w:tcW w:w="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80" w:type="dxa"/>
            <w:vAlign w:val="bottom"/>
            <w:gridSpan w:val="2"/>
          </w:tcPr>
          <w:p>
            <w:pPr>
              <w:jc w:val="right"/>
              <w:ind w:right="160"/>
              <w:spacing w:after="0"/>
              <w:rPr>
                <w:sz w:val="20"/>
                <w:szCs w:val="20"/>
                <w:color w:val="auto"/>
              </w:rPr>
            </w:pPr>
            <w:r>
              <w:rPr>
                <w:rFonts w:ascii="Arial" w:cs="Arial" w:eastAsia="Arial" w:hAnsi="Arial"/>
                <w:sz w:val="18"/>
                <w:szCs w:val="18"/>
                <w:color w:val="auto"/>
              </w:rPr>
              <w:t>(28,290)</w:t>
            </w:r>
          </w:p>
        </w:tc>
        <w:tc>
          <w:tcPr>
            <w:tcW w:w="1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740" w:type="dxa"/>
            <w:vAlign w:val="bottom"/>
            <w:gridSpan w:val="2"/>
          </w:tcPr>
          <w:p>
            <w:pPr>
              <w:jc w:val="right"/>
              <w:ind w:right="40"/>
              <w:spacing w:after="0"/>
              <w:rPr>
                <w:sz w:val="20"/>
                <w:szCs w:val="20"/>
                <w:color w:val="auto"/>
              </w:rPr>
            </w:pPr>
            <w:r>
              <w:rPr>
                <w:rFonts w:ascii="Arial" w:cs="Arial" w:eastAsia="Arial" w:hAnsi="Arial"/>
                <w:sz w:val="18"/>
                <w:szCs w:val="18"/>
                <w:color w:val="auto"/>
              </w:rPr>
              <w:t>(9,734)</w:t>
            </w:r>
          </w:p>
        </w:tc>
      </w:tr>
      <w:tr>
        <w:trPr>
          <w:trHeight w:val="223"/>
        </w:trPr>
        <w:tc>
          <w:tcPr>
            <w:tcW w:w="674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lease liabilities</w:t>
            </w:r>
          </w:p>
        </w:tc>
        <w:tc>
          <w:tcPr>
            <w:tcW w:w="160" w:type="dxa"/>
            <w:vAlign w:val="bottom"/>
            <w:tcBorders>
              <w:top w:val="single" w:sz="8" w:color="CFF0FC"/>
              <w:bottom w:val="single" w:sz="8" w:color="CFF0FC"/>
            </w:tcBorders>
            <w:shd w:val="clear" w:color="auto" w:fill="CFF0FC"/>
          </w:tcPr>
          <w:p>
            <w:pPr>
              <w:spacing w:after="0"/>
              <w:rPr>
                <w:sz w:val="19"/>
                <w:szCs w:val="19"/>
                <w:color w:val="auto"/>
              </w:rPr>
            </w:pP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59,679</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160" w:type="dxa"/>
            <w:vAlign w:val="bottom"/>
            <w:tcBorders>
              <w:top w:val="single" w:sz="8" w:color="CFF0FC"/>
              <w:bottom w:val="single" w:sz="8" w:color="CFF0FC"/>
            </w:tcBorders>
            <w:shd w:val="clear" w:color="auto" w:fill="CFF0FC"/>
          </w:tcPr>
          <w:p>
            <w:pPr>
              <w:spacing w:after="0"/>
              <w:rPr>
                <w:sz w:val="19"/>
                <w:szCs w:val="19"/>
                <w:color w:val="auto"/>
              </w:rPr>
            </w:pPr>
          </w:p>
        </w:tc>
        <w:tc>
          <w:tcPr>
            <w:tcW w:w="300" w:type="dxa"/>
            <w:vAlign w:val="bottom"/>
            <w:tcBorders>
              <w:top w:val="single" w:sz="8" w:color="auto"/>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16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15,144</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r>
      <w:tr>
        <w:trPr>
          <w:trHeight w:val="20"/>
        </w:trPr>
        <w:tc>
          <w:tcPr>
            <w:tcW w:w="67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Investments in Unconsolidated Entities</w:t>
      </w:r>
    </w:p>
    <w:p>
      <w:pPr>
        <w:spacing w:after="0" w:line="229"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color w:val="212529"/>
        </w:rPr>
        <w:t>As of March 31, 2022, the Company had an aggregate investment of $64.3 million in its equity method unconsolidated entities, which included a 42% interest in BB Fiber Holdings LLC (“Fiber Holdings”) and a 7% interest in Harmoni Towers LP (“Harmoni”).</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212529"/>
        </w:rPr>
        <w:t>Fiber Holdings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212529"/>
        </w:rPr>
        <w:t xml:space="preserve">Fiber Holdings </w:t>
      </w:r>
      <w:r>
        <w:rPr>
          <w:rFonts w:ascii="Arial" w:cs="Arial" w:eastAsia="Arial" w:hAnsi="Arial"/>
          <w:sz w:val="18"/>
          <w:szCs w:val="18"/>
          <w:color w:val="000000"/>
        </w:rPr>
        <w:t>was primarily established to develop fiber networks as real estate property for long-term investment. On July 1, 2020, the</w:t>
      </w:r>
    </w:p>
    <w:p>
      <w:pPr>
        <w:spacing w:after="0" w:line="23" w:lineRule="exact"/>
        <w:rPr>
          <w:sz w:val="20"/>
          <w:szCs w:val="20"/>
          <w:color w:val="auto"/>
        </w:rPr>
      </w:pPr>
    </w:p>
    <w:p>
      <w:pPr>
        <w:ind w:right="80"/>
        <w:spacing w:after="0" w:line="253" w:lineRule="auto"/>
        <w:rPr>
          <w:sz w:val="20"/>
          <w:szCs w:val="20"/>
          <w:color w:val="auto"/>
        </w:rPr>
      </w:pPr>
      <w:r>
        <w:rPr>
          <w:rFonts w:ascii="Arial" w:cs="Arial" w:eastAsia="Arial" w:hAnsi="Arial"/>
          <w:sz w:val="18"/>
          <w:szCs w:val="18"/>
          <w:color w:val="auto"/>
        </w:rPr>
        <w:t xml:space="preserve">Company completed the sale of an ownership stake in the entity that controls the Company’s Midwest fiber network assets (the “Propco”). Fiber Holdings has a 47.5% ownership in the Propco that is under a long-term, triple net lease with our joint venture partner. Our ownership interest in Fiber Holdings represents approximately a 20% economic interest in the Propco. The Company’s current investment and maximum exposure to loss as a result of its involvement with </w:t>
      </w:r>
      <w:r>
        <w:rPr>
          <w:rFonts w:ascii="Arial" w:cs="Arial" w:eastAsia="Arial" w:hAnsi="Arial"/>
          <w:sz w:val="18"/>
          <w:szCs w:val="18"/>
          <w:color w:val="212529"/>
        </w:rPr>
        <w:t>Fiber Holdings</w:t>
      </w:r>
      <w:r>
        <w:rPr>
          <w:rFonts w:ascii="Arial" w:cs="Arial" w:eastAsia="Arial" w:hAnsi="Arial"/>
          <w:sz w:val="18"/>
          <w:szCs w:val="18"/>
          <w:color w:val="auto"/>
        </w:rPr>
        <w:t xml:space="preserve"> was approximately $39.6 million as of March 31, 2022. The Company has not provided financial support to </w:t>
      </w:r>
      <w:r>
        <w:rPr>
          <w:rFonts w:ascii="Arial" w:cs="Arial" w:eastAsia="Arial" w:hAnsi="Arial"/>
          <w:sz w:val="18"/>
          <w:szCs w:val="18"/>
          <w:color w:val="212529"/>
        </w:rPr>
        <w:t>Fiber</w:t>
      </w:r>
      <w:r>
        <w:rPr>
          <w:rFonts w:ascii="Arial" w:cs="Arial" w:eastAsia="Arial" w:hAnsi="Arial"/>
          <w:sz w:val="18"/>
          <w:szCs w:val="18"/>
          <w:color w:val="auto"/>
        </w:rPr>
        <w:t xml:space="preserve"> </w:t>
      </w:r>
      <w:r>
        <w:rPr>
          <w:rFonts w:ascii="Arial" w:cs="Arial" w:eastAsia="Arial" w:hAnsi="Arial"/>
          <w:sz w:val="18"/>
          <w:szCs w:val="18"/>
          <w:color w:val="212529"/>
        </w:rPr>
        <w:t>Holdings.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i w:val="1"/>
          <w:iCs w:val="1"/>
          <w:color w:val="212529"/>
        </w:rPr>
        <w:t>Harmoni</w:t>
      </w:r>
    </w:p>
    <w:p>
      <w:pPr>
        <w:spacing w:after="0" w:line="225" w:lineRule="exact"/>
        <w:rPr>
          <w:sz w:val="20"/>
          <w:szCs w:val="20"/>
          <w:color w:val="auto"/>
        </w:rPr>
      </w:pPr>
    </w:p>
    <w:p>
      <w:pPr>
        <w:ind w:right="140"/>
        <w:spacing w:after="0" w:line="301" w:lineRule="auto"/>
        <w:rPr>
          <w:sz w:val="20"/>
          <w:szCs w:val="20"/>
          <w:color w:val="auto"/>
        </w:rPr>
      </w:pPr>
      <w:r>
        <w:rPr>
          <w:rFonts w:ascii="Arial" w:cs="Arial" w:eastAsia="Arial" w:hAnsi="Arial"/>
          <w:sz w:val="16"/>
          <w:szCs w:val="16"/>
          <w:color w:val="auto"/>
        </w:rPr>
        <w:t>Harmoni was primarily established to develop wireless communication towers as real estate property for long-term investment. We concluded that Harmoni is a VIE; however, the Company determined that it was not the primary beneficiary of Harmoni because the Company lacks the power to direct the activities that most significantly impact its economic performance. The Company’s current investment and maximum exposure to loss as a result of its involvement with Harmoni was approximately $24.7 million as of March 31, 2022. The Company has not provided financial support to Harmoni.</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4" w:name="page15"/>
    <w:bookmarkEnd w:id="1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ind w:right="440"/>
        <w:spacing w:after="0" w:line="263" w:lineRule="auto"/>
        <w:rPr>
          <w:sz w:val="20"/>
          <w:szCs w:val="20"/>
          <w:color w:val="auto"/>
        </w:rPr>
      </w:pPr>
      <w:r>
        <w:rPr>
          <w:rFonts w:ascii="Arial" w:cs="Arial" w:eastAsia="Arial" w:hAnsi="Arial"/>
          <w:sz w:val="18"/>
          <w:szCs w:val="18"/>
          <w:color w:val="auto"/>
        </w:rPr>
        <w:t>We provided transition services to Harmoni through January 31, 2022 in exchange for fees and reimbursements. Total transition service fees earned in connection with Harmoni were less than $0.1 million and $0.1 million for the three months ended March 31, 2022 and 2021, respectively, which is included in operating expense on a net basis in our Condensed Consolidated Statements of Income (Loss).</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Fair Value of Financial Instruments</w:t>
      </w:r>
    </w:p>
    <w:p>
      <w:pPr>
        <w:spacing w:after="0" w:line="229" w:lineRule="exact"/>
        <w:rPr>
          <w:sz w:val="20"/>
          <w:szCs w:val="20"/>
          <w:color w:val="auto"/>
        </w:rPr>
      </w:pPr>
    </w:p>
    <w:p>
      <w:pPr>
        <w:ind w:right="60"/>
        <w:spacing w:after="0" w:line="286" w:lineRule="auto"/>
        <w:rPr>
          <w:sz w:val="20"/>
          <w:szCs w:val="20"/>
          <w:color w:val="auto"/>
        </w:rPr>
      </w:pPr>
      <w:r>
        <w:rPr>
          <w:rFonts w:ascii="Arial" w:cs="Arial" w:eastAsia="Arial" w:hAnsi="Arial"/>
          <w:sz w:val="17"/>
          <w:szCs w:val="17"/>
          <w:color w:val="auto"/>
        </w:rPr>
        <w:t xml:space="preserve">FASB ASC 820, </w:t>
      </w:r>
      <w:r>
        <w:rPr>
          <w:rFonts w:ascii="Arial" w:cs="Arial" w:eastAsia="Arial" w:hAnsi="Arial"/>
          <w:sz w:val="17"/>
          <w:szCs w:val="17"/>
          <w:i w:val="1"/>
          <w:iCs w:val="1"/>
          <w:color w:val="auto"/>
        </w:rPr>
        <w:t>Fair Value Measurements</w:t>
      </w:r>
      <w:r>
        <w:rPr>
          <w:rFonts w:ascii="Arial" w:cs="Arial" w:eastAsia="Arial" w:hAnsi="Arial"/>
          <w:sz w:val="17"/>
          <w:szCs w:val="17"/>
          <w:color w:val="auto"/>
        </w:rPr>
        <w:t>, establishes a hierarchy of valuation techniques based on the observability of inputs utilized in measuring assets and liabilities at fair values. This hierarchy establishes market-based or observable inputs as the preferred source of values, followed by valuation models using management assumptions in the absence of market inputs. The three levels of the hierarchy are as follows:</w:t>
      </w:r>
    </w:p>
    <w:p>
      <w:pPr>
        <w:spacing w:after="0" w:line="57" w:lineRule="exact"/>
        <w:rPr>
          <w:sz w:val="20"/>
          <w:szCs w:val="20"/>
          <w:color w:val="auto"/>
        </w:rPr>
      </w:pPr>
    </w:p>
    <w:p>
      <w:pPr>
        <w:ind w:right="780"/>
        <w:spacing w:after="0" w:line="389" w:lineRule="auto"/>
        <w:rPr>
          <w:sz w:val="20"/>
          <w:szCs w:val="20"/>
          <w:color w:val="auto"/>
        </w:rPr>
      </w:pPr>
      <w:r>
        <w:rPr>
          <w:rFonts w:ascii="Arial" w:cs="Arial" w:eastAsia="Arial" w:hAnsi="Arial"/>
          <w:sz w:val="18"/>
          <w:szCs w:val="18"/>
          <w:b w:val="1"/>
          <w:bCs w:val="1"/>
          <w:i w:val="1"/>
          <w:iCs w:val="1"/>
          <w:color w:val="auto"/>
        </w:rPr>
        <w:t xml:space="preserve">Level 1 </w:t>
      </w:r>
      <w:r>
        <w:rPr>
          <w:rFonts w:ascii="Arial" w:cs="Arial" w:eastAsia="Arial" w:hAnsi="Arial"/>
          <w:sz w:val="18"/>
          <w:szCs w:val="18"/>
          <w:color w:val="auto"/>
        </w:rPr>
        <w:t>– Quoted prices (unadjusted) in active markets for identical assets or liabilities that the reporting entity can access at the assessment date;</w:t>
      </w:r>
      <w:r>
        <w:rPr>
          <w:rFonts w:ascii="Arial" w:cs="Arial" w:eastAsia="Arial" w:hAnsi="Arial"/>
          <w:sz w:val="18"/>
          <w:szCs w:val="18"/>
          <w:b w:val="1"/>
          <w:bCs w:val="1"/>
          <w:i w:val="1"/>
          <w:iCs w:val="1"/>
          <w:color w:val="auto"/>
        </w:rPr>
        <w:t xml:space="preserve"> Level 2 </w:t>
      </w:r>
      <w:r>
        <w:rPr>
          <w:rFonts w:ascii="Arial" w:cs="Arial" w:eastAsia="Arial" w:hAnsi="Arial"/>
          <w:sz w:val="18"/>
          <w:szCs w:val="18"/>
          <w:color w:val="auto"/>
        </w:rPr>
        <w:t>– Inputs other than quoted prices included within Level 1 that are observable for the asset or liability, either directly or indirectly; and</w:t>
      </w:r>
      <w:r>
        <w:rPr>
          <w:rFonts w:ascii="Arial" w:cs="Arial" w:eastAsia="Arial" w:hAnsi="Arial"/>
          <w:sz w:val="18"/>
          <w:szCs w:val="18"/>
          <w:b w:val="1"/>
          <w:bCs w:val="1"/>
          <w:i w:val="1"/>
          <w:iCs w:val="1"/>
          <w:color w:val="auto"/>
        </w:rPr>
        <w:t xml:space="preserve"> Level 3 </w:t>
      </w:r>
      <w:r>
        <w:rPr>
          <w:rFonts w:ascii="Arial" w:cs="Arial" w:eastAsia="Arial" w:hAnsi="Arial"/>
          <w:sz w:val="18"/>
          <w:szCs w:val="18"/>
          <w:color w:val="auto"/>
        </w:rPr>
        <w:t>– Unobservable inputs for the asset or liability.</w:t>
      </w:r>
    </w:p>
    <w:p>
      <w:pPr>
        <w:spacing w:after="0" w:line="74"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Our financial instruments consist of cash and cash equivalents, accounts and other receivables, derivative assets and liabilities, our outstanding notes and other debt, settlement payable, contingent consideration and accounts, interest and dividends payable.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the fair value of our financial instruments at March 31, 2022 and December 31, 2021:</w:t>
      </w: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20" w:type="dxa"/>
            <w:vAlign w:val="bottom"/>
          </w:tcPr>
          <w:p>
            <w:pPr>
              <w:jc w:val="center"/>
              <w:ind w:right="76"/>
              <w:spacing w:after="0"/>
              <w:rPr>
                <w:sz w:val="20"/>
                <w:szCs w:val="20"/>
                <w:color w:val="auto"/>
              </w:rPr>
            </w:pPr>
            <w:r>
              <w:rPr>
                <w:rFonts w:ascii="Arial" w:cs="Arial" w:eastAsia="Arial" w:hAnsi="Arial"/>
                <w:sz w:val="14"/>
                <w:szCs w:val="14"/>
                <w:b w:val="1"/>
                <w:bCs w:val="1"/>
                <w:color w:val="auto"/>
                <w:w w:val="91"/>
              </w:rPr>
              <w:t>Prices with</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5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w w:val="89"/>
              </w:rPr>
              <w:t>Quoted Prices in</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20" w:type="dxa"/>
            <w:vAlign w:val="bottom"/>
          </w:tcPr>
          <w:p>
            <w:pPr>
              <w:jc w:val="center"/>
              <w:ind w:right="76"/>
              <w:spacing w:after="0" w:line="149" w:lineRule="exact"/>
              <w:rPr>
                <w:sz w:val="20"/>
                <w:szCs w:val="20"/>
                <w:color w:val="auto"/>
              </w:rPr>
            </w:pPr>
            <w:r>
              <w:rPr>
                <w:rFonts w:ascii="Arial" w:cs="Arial" w:eastAsia="Arial" w:hAnsi="Arial"/>
                <w:sz w:val="14"/>
                <w:szCs w:val="14"/>
                <w:b w:val="1"/>
                <w:bCs w:val="1"/>
                <w:color w:val="auto"/>
                <w:w w:val="96"/>
              </w:rPr>
              <w:t>Other</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1"/>
              </w:rPr>
              <w:t>Prices with</w:t>
            </w:r>
          </w:p>
        </w:tc>
        <w:tc>
          <w:tcPr>
            <w:tcW w:w="0" w:type="dxa"/>
            <w:vAlign w:val="bottom"/>
          </w:tcPr>
          <w:p>
            <w:pPr>
              <w:spacing w:after="0"/>
              <w:rPr>
                <w:sz w:val="1"/>
                <w:szCs w:val="1"/>
                <w:color w:val="auto"/>
              </w:rPr>
            </w:pPr>
          </w:p>
        </w:tc>
      </w:tr>
      <w:tr>
        <w:trPr>
          <w:trHeight w:val="149"/>
        </w:trPr>
        <w:tc>
          <w:tcPr>
            <w:tcW w:w="5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20" w:type="dxa"/>
            <w:vAlign w:val="bottom"/>
          </w:tcPr>
          <w:p>
            <w:pPr>
              <w:jc w:val="center"/>
              <w:ind w:right="56"/>
              <w:spacing w:after="0" w:line="149" w:lineRule="exact"/>
              <w:rPr>
                <w:sz w:val="20"/>
                <w:szCs w:val="20"/>
                <w:color w:val="auto"/>
              </w:rPr>
            </w:pPr>
            <w:r>
              <w:rPr>
                <w:rFonts w:ascii="Arial" w:cs="Arial" w:eastAsia="Arial" w:hAnsi="Arial"/>
                <w:sz w:val="14"/>
                <w:szCs w:val="14"/>
                <w:b w:val="1"/>
                <w:bCs w:val="1"/>
                <w:color w:val="auto"/>
                <w:w w:val="91"/>
              </w:rPr>
              <w:t>Observable</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420" w:type="dxa"/>
            <w:vAlign w:val="bottom"/>
            <w:gridSpan w:val="2"/>
            <w:vMerge w:val="restart"/>
          </w:tcPr>
          <w:p>
            <w:pPr>
              <w:ind w:left="300"/>
              <w:spacing w:after="0"/>
              <w:rPr>
                <w:sz w:val="20"/>
                <w:szCs w:val="20"/>
                <w:color w:val="auto"/>
              </w:rPr>
            </w:pPr>
            <w:r>
              <w:rPr>
                <w:rFonts w:ascii="Arial" w:cs="Arial" w:eastAsia="Arial" w:hAnsi="Arial"/>
                <w:sz w:val="14"/>
                <w:szCs w:val="14"/>
                <w:b w:val="1"/>
                <w:bCs w:val="1"/>
                <w:color w:val="auto"/>
              </w:rPr>
              <w:t>Total</w:t>
            </w:r>
          </w:p>
        </w:tc>
        <w:tc>
          <w:tcPr>
            <w:tcW w:w="10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97"/>
              </w:rPr>
              <w:t>Active Markets</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20" w:type="dxa"/>
            <w:vAlign w:val="bottom"/>
          </w:tcPr>
          <w:p>
            <w:pPr>
              <w:jc w:val="center"/>
              <w:ind w:right="76"/>
              <w:spacing w:after="0" w:line="149" w:lineRule="exact"/>
              <w:rPr>
                <w:sz w:val="20"/>
                <w:szCs w:val="20"/>
                <w:color w:val="auto"/>
              </w:rPr>
            </w:pPr>
            <w:r>
              <w:rPr>
                <w:rFonts w:ascii="Arial" w:cs="Arial" w:eastAsia="Arial" w:hAnsi="Arial"/>
                <w:sz w:val="14"/>
                <w:szCs w:val="14"/>
                <w:b w:val="1"/>
                <w:bCs w:val="1"/>
                <w:color w:val="auto"/>
                <w:w w:val="95"/>
              </w:rPr>
              <w:t>Inputs</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0"/>
              </w:rPr>
              <w:t>Unobservable</w:t>
            </w:r>
          </w:p>
        </w:tc>
        <w:tc>
          <w:tcPr>
            <w:tcW w:w="0" w:type="dxa"/>
            <w:vAlign w:val="bottom"/>
          </w:tcPr>
          <w:p>
            <w:pPr>
              <w:spacing w:after="0"/>
              <w:rPr>
                <w:sz w:val="1"/>
                <w:szCs w:val="1"/>
                <w:color w:val="auto"/>
              </w:rPr>
            </w:pPr>
          </w:p>
        </w:tc>
      </w:tr>
      <w:tr>
        <w:trPr>
          <w:trHeight w:val="171"/>
        </w:trPr>
        <w:tc>
          <w:tcPr>
            <w:tcW w:w="594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400" w:type="dxa"/>
            <w:vAlign w:val="bottom"/>
          </w:tcPr>
          <w:p>
            <w:pPr>
              <w:spacing w:after="0"/>
              <w:rPr>
                <w:sz w:val="14"/>
                <w:szCs w:val="14"/>
                <w:color w:val="auto"/>
              </w:rPr>
            </w:pPr>
          </w:p>
        </w:tc>
        <w:tc>
          <w:tcPr>
            <w:tcW w:w="142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Pr>
          <w:p>
            <w:pPr>
              <w:jc w:val="right"/>
              <w:ind w:right="172"/>
              <w:spacing w:after="0"/>
              <w:rPr>
                <w:sz w:val="20"/>
                <w:szCs w:val="20"/>
                <w:color w:val="auto"/>
              </w:rPr>
            </w:pPr>
            <w:r>
              <w:rPr>
                <w:rFonts w:ascii="Arial" w:cs="Arial" w:eastAsia="Arial" w:hAnsi="Arial"/>
                <w:sz w:val="14"/>
                <w:szCs w:val="14"/>
                <w:b w:val="1"/>
                <w:bCs w:val="1"/>
                <w:color w:val="auto"/>
              </w:rPr>
              <w:t>(Level 1)</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20" w:type="dxa"/>
            <w:vAlign w:val="bottom"/>
          </w:tcPr>
          <w:p>
            <w:pPr>
              <w:jc w:val="center"/>
              <w:ind w:right="56"/>
              <w:spacing w:after="0"/>
              <w:rPr>
                <w:sz w:val="20"/>
                <w:szCs w:val="20"/>
                <w:color w:val="auto"/>
              </w:rPr>
            </w:pPr>
            <w:r>
              <w:rPr>
                <w:rFonts w:ascii="Arial" w:cs="Arial" w:eastAsia="Arial" w:hAnsi="Arial"/>
                <w:sz w:val="14"/>
                <w:szCs w:val="14"/>
                <w:b w:val="1"/>
                <w:bCs w:val="1"/>
                <w:color w:val="auto"/>
                <w:w w:val="94"/>
              </w:rPr>
              <w:t>(Level 2)</w:t>
            </w:r>
          </w:p>
        </w:tc>
        <w:tc>
          <w:tcPr>
            <w:tcW w:w="100" w:type="dxa"/>
            <w:vAlign w:val="bottom"/>
          </w:tcPr>
          <w:p>
            <w:pPr>
              <w:spacing w:after="0"/>
              <w:rPr>
                <w:sz w:val="14"/>
                <w:szCs w:val="14"/>
                <w:color w:val="auto"/>
              </w:rPr>
            </w:pPr>
          </w:p>
        </w:tc>
        <w:tc>
          <w:tcPr>
            <w:tcW w:w="118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5"/>
              </w:rPr>
              <w:t>Inputs (Level 3)</w:t>
            </w:r>
          </w:p>
        </w:tc>
        <w:tc>
          <w:tcPr>
            <w:tcW w:w="0" w:type="dxa"/>
            <w:vAlign w:val="bottom"/>
          </w:tcPr>
          <w:p>
            <w:pPr>
              <w:spacing w:after="0"/>
              <w:rPr>
                <w:sz w:val="1"/>
                <w:szCs w:val="1"/>
                <w:color w:val="auto"/>
              </w:rPr>
            </w:pPr>
          </w:p>
        </w:tc>
      </w:tr>
      <w:tr>
        <w:trPr>
          <w:trHeight w:val="223"/>
        </w:trPr>
        <w:tc>
          <w:tcPr>
            <w:tcW w:w="57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At March 31, 2022</w:t>
            </w:r>
          </w:p>
        </w:tc>
        <w:tc>
          <w:tcPr>
            <w:tcW w:w="160" w:type="dxa"/>
            <w:vAlign w:val="bottom"/>
            <w:tcBorders>
              <w:top w:val="single" w:sz="8" w:color="CFF0FC"/>
            </w:tcBorders>
            <w:shd w:val="clear" w:color="auto" w:fill="CFF0FC"/>
          </w:tcPr>
          <w:p>
            <w:pPr>
              <w:spacing w:after="0"/>
              <w:rPr>
                <w:sz w:val="19"/>
                <w:szCs w:val="19"/>
                <w:color w:val="auto"/>
              </w:rPr>
            </w:pPr>
          </w:p>
        </w:tc>
        <w:tc>
          <w:tcPr>
            <w:tcW w:w="400" w:type="dxa"/>
            <w:vAlign w:val="bottom"/>
            <w:tcBorders>
              <w:top w:val="single" w:sz="8" w:color="auto"/>
            </w:tcBorders>
            <w:shd w:val="clear" w:color="auto" w:fill="CFF0FC"/>
          </w:tcPr>
          <w:p>
            <w:pPr>
              <w:spacing w:after="0"/>
              <w:rPr>
                <w:sz w:val="19"/>
                <w:szCs w:val="19"/>
                <w:color w:val="auto"/>
              </w:rPr>
            </w:pPr>
          </w:p>
        </w:tc>
        <w:tc>
          <w:tcPr>
            <w:tcW w:w="130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19"/>
                <w:szCs w:val="19"/>
                <w:color w:val="auto"/>
              </w:rPr>
            </w:pPr>
          </w:p>
        </w:tc>
        <w:tc>
          <w:tcPr>
            <w:tcW w:w="88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9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96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940" w:type="dxa"/>
            <w:vAlign w:val="bottom"/>
            <w:gridSpan w:val="2"/>
          </w:tcPr>
          <w:p>
            <w:pPr>
              <w:spacing w:after="0"/>
              <w:rPr>
                <w:sz w:val="20"/>
                <w:szCs w:val="20"/>
                <w:color w:val="auto"/>
              </w:rPr>
            </w:pPr>
            <w:r>
              <w:rPr>
                <w:rFonts w:ascii="Arial" w:cs="Arial" w:eastAsia="Arial" w:hAnsi="Arial"/>
                <w:sz w:val="18"/>
                <w:szCs w:val="18"/>
                <w:color w:val="auto"/>
              </w:rPr>
              <w:t>Liabilities</w:t>
            </w:r>
          </w:p>
        </w:tc>
        <w:tc>
          <w:tcPr>
            <w:tcW w:w="4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94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rPr>
              <w:t>Senior secured notes - 7.875%, due February 15, 2025</w:t>
            </w:r>
          </w:p>
        </w:tc>
        <w:tc>
          <w:tcPr>
            <w:tcW w:w="400" w:type="dxa"/>
            <w:vAlign w:val="bottom"/>
            <w:shd w:val="clear" w:color="auto" w:fill="CFF0FC"/>
          </w:tcPr>
          <w:p>
            <w:pPr>
              <w:jc w:val="right"/>
              <w:ind w:right="210"/>
              <w:spacing w:after="0"/>
              <w:rPr>
                <w:sz w:val="20"/>
                <w:szCs w:val="20"/>
                <w:color w:val="auto"/>
              </w:rPr>
            </w:pPr>
            <w:r>
              <w:rPr>
                <w:rFonts w:ascii="Arial" w:cs="Arial" w:eastAsia="Arial" w:hAnsi="Arial"/>
                <w:sz w:val="18"/>
                <w:szCs w:val="18"/>
                <w:color w:val="auto"/>
                <w:w w:val="79"/>
              </w:rPr>
              <w:t>$</w:t>
            </w: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2,318,873</w:t>
            </w:r>
          </w:p>
        </w:tc>
        <w:tc>
          <w:tcPr>
            <w:tcW w:w="120" w:type="dxa"/>
            <w:vAlign w:val="bottom"/>
            <w:shd w:val="clear" w:color="auto" w:fill="CFF0FC"/>
          </w:tcPr>
          <w:p>
            <w:pPr>
              <w:spacing w:after="0"/>
              <w:rPr>
                <w:sz w:val="19"/>
                <w:szCs w:val="19"/>
                <w:color w:val="auto"/>
              </w:rPr>
            </w:pPr>
          </w:p>
        </w:tc>
        <w:tc>
          <w:tcPr>
            <w:tcW w:w="160" w:type="dxa"/>
            <w:vAlign w:val="bottom"/>
            <w:shd w:val="clear" w:color="auto" w:fill="CFF0FC"/>
          </w:tcPr>
          <w:p>
            <w:pPr>
              <w:jc w:val="right"/>
              <w:ind w:right="7"/>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2,318,873</w:t>
            </w:r>
          </w:p>
        </w:tc>
        <w:tc>
          <w:tcPr>
            <w:tcW w:w="2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940" w:type="dxa"/>
            <w:vAlign w:val="bottom"/>
            <w:gridSpan w:val="2"/>
          </w:tcPr>
          <w:p>
            <w:pPr>
              <w:ind w:left="140"/>
              <w:spacing w:after="0"/>
              <w:rPr>
                <w:sz w:val="20"/>
                <w:szCs w:val="20"/>
                <w:color w:val="auto"/>
              </w:rPr>
            </w:pPr>
            <w:r>
              <w:rPr>
                <w:rFonts w:ascii="Arial" w:cs="Arial" w:eastAsia="Arial" w:hAnsi="Arial"/>
                <w:sz w:val="18"/>
                <w:szCs w:val="18"/>
                <w:color w:val="auto"/>
              </w:rPr>
              <w:t>Senior secured notes - 4.75%, due April 15, 2028</w:t>
            </w:r>
          </w:p>
        </w:tc>
        <w:tc>
          <w:tcPr>
            <w:tcW w:w="40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522,419</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522,419</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94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rPr>
              <w:t>Senior unsecured notes - 6.50% , due February 15, 2029</w:t>
            </w:r>
          </w:p>
        </w:tc>
        <w:tc>
          <w:tcPr>
            <w:tcW w:w="40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995,226</w:t>
            </w:r>
          </w:p>
        </w:tc>
        <w:tc>
          <w:tcPr>
            <w:tcW w:w="1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995,226</w:t>
            </w: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940" w:type="dxa"/>
            <w:vAlign w:val="bottom"/>
            <w:gridSpan w:val="2"/>
          </w:tcPr>
          <w:p>
            <w:pPr>
              <w:ind w:left="140"/>
              <w:spacing w:after="0"/>
              <w:rPr>
                <w:sz w:val="20"/>
                <w:szCs w:val="20"/>
                <w:color w:val="auto"/>
              </w:rPr>
            </w:pPr>
            <w:r>
              <w:rPr>
                <w:rFonts w:ascii="Arial" w:cs="Arial" w:eastAsia="Arial" w:hAnsi="Arial"/>
                <w:sz w:val="18"/>
                <w:szCs w:val="18"/>
                <w:color w:val="auto"/>
              </w:rPr>
              <w:t>Senior unsecured notes - 6.00%, due January 15, 2030</w:t>
            </w:r>
          </w:p>
        </w:tc>
        <w:tc>
          <w:tcPr>
            <w:tcW w:w="40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605,822</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605,822</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94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rPr>
              <w:t>Exchangeable senior notes - 4.00%, due June 15, 2024</w:t>
            </w:r>
          </w:p>
        </w:tc>
        <w:tc>
          <w:tcPr>
            <w:tcW w:w="40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460,354</w:t>
            </w:r>
          </w:p>
        </w:tc>
        <w:tc>
          <w:tcPr>
            <w:tcW w:w="1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460,354</w:t>
            </w: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940" w:type="dxa"/>
            <w:vAlign w:val="bottom"/>
            <w:gridSpan w:val="2"/>
          </w:tcPr>
          <w:p>
            <w:pPr>
              <w:ind w:left="140"/>
              <w:spacing w:after="0"/>
              <w:rPr>
                <w:sz w:val="20"/>
                <w:szCs w:val="20"/>
                <w:color w:val="auto"/>
              </w:rPr>
            </w:pPr>
            <w:r>
              <w:rPr>
                <w:rFonts w:ascii="Arial" w:cs="Arial" w:eastAsia="Arial" w:hAnsi="Arial"/>
                <w:sz w:val="18"/>
                <w:szCs w:val="18"/>
                <w:color w:val="auto"/>
                <w:w w:val="94"/>
              </w:rPr>
              <w:t>Senior secured revolving credit facility, variable rate, due December 10, 2024</w:t>
            </w:r>
          </w:p>
        </w:tc>
        <w:tc>
          <w:tcPr>
            <w:tcW w:w="40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224,978</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224,978</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94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rPr>
              <w:t>Settlement payable</w:t>
            </w:r>
          </w:p>
        </w:tc>
        <w:tc>
          <w:tcPr>
            <w:tcW w:w="40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245,750</w:t>
            </w:r>
          </w:p>
        </w:tc>
        <w:tc>
          <w:tcPr>
            <w:tcW w:w="1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245,750</w:t>
            </w: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940" w:type="dxa"/>
            <w:vAlign w:val="bottom"/>
            <w:tcBorders>
              <w:bottom w:val="single" w:sz="8" w:color="CFF0FC"/>
            </w:tcBorders>
            <w:gridSpan w:val="2"/>
          </w:tcPr>
          <w:p>
            <w:pPr>
              <w:ind w:left="140"/>
              <w:spacing w:after="0"/>
              <w:rPr>
                <w:sz w:val="20"/>
                <w:szCs w:val="20"/>
                <w:color w:val="auto"/>
              </w:rPr>
            </w:pPr>
            <w:r>
              <w:rPr>
                <w:rFonts w:ascii="Arial" w:cs="Arial" w:eastAsia="Arial" w:hAnsi="Arial"/>
                <w:sz w:val="18"/>
                <w:szCs w:val="18"/>
                <w:color w:val="auto"/>
              </w:rPr>
              <w:t>Derivative liability, net</w:t>
            </w:r>
          </w:p>
        </w:tc>
        <w:tc>
          <w:tcPr>
            <w:tcW w:w="40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7,269</w:t>
            </w:r>
          </w:p>
        </w:tc>
        <w:tc>
          <w:tcPr>
            <w:tcW w:w="12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7,269</w:t>
            </w:r>
          </w:p>
        </w:tc>
        <w:tc>
          <w:tcPr>
            <w:tcW w:w="10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940" w:type="dxa"/>
            <w:vAlign w:val="bottom"/>
            <w:tcBorders>
              <w:bottom w:val="single" w:sz="8" w:color="CFF0FC"/>
            </w:tcBorders>
            <w:gridSpan w:val="2"/>
            <w:shd w:val="clear" w:color="auto" w:fill="CFF0FC"/>
          </w:tcPr>
          <w:p>
            <w:pPr>
              <w:ind w:left="140"/>
              <w:spacing w:after="0"/>
              <w:rPr>
                <w:sz w:val="20"/>
                <w:szCs w:val="20"/>
                <w:color w:val="auto"/>
              </w:rPr>
            </w:pPr>
            <w:r>
              <w:rPr>
                <w:rFonts w:ascii="Arial" w:cs="Arial" w:eastAsia="Arial" w:hAnsi="Arial"/>
                <w:sz w:val="18"/>
                <w:szCs w:val="18"/>
                <w:color w:val="auto"/>
              </w:rPr>
              <w:t>Total</w:t>
            </w:r>
          </w:p>
        </w:tc>
        <w:tc>
          <w:tcPr>
            <w:tcW w:w="400" w:type="dxa"/>
            <w:vAlign w:val="bottom"/>
            <w:tcBorders>
              <w:bottom w:val="single" w:sz="8" w:color="auto"/>
            </w:tcBorders>
            <w:shd w:val="clear" w:color="auto" w:fill="CFF0FC"/>
          </w:tcPr>
          <w:p>
            <w:pPr>
              <w:jc w:val="right"/>
              <w:ind w:right="210"/>
              <w:spacing w:after="0"/>
              <w:rPr>
                <w:sz w:val="20"/>
                <w:szCs w:val="20"/>
                <w:color w:val="auto"/>
              </w:rPr>
            </w:pPr>
            <w:r>
              <w:rPr>
                <w:rFonts w:ascii="Arial" w:cs="Arial" w:eastAsia="Arial" w:hAnsi="Arial"/>
                <w:sz w:val="18"/>
                <w:szCs w:val="18"/>
                <w:color w:val="auto"/>
                <w:w w:val="79"/>
              </w:rPr>
              <w:t>$</w:t>
            </w: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5,380,691</w:t>
            </w:r>
          </w:p>
        </w:tc>
        <w:tc>
          <w:tcPr>
            <w:tcW w:w="120" w:type="dxa"/>
            <w:vAlign w:val="bottom"/>
            <w:tcBorders>
              <w:bottom w:val="single" w:sz="8" w:color="CFF0FC"/>
            </w:tcBorders>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jc w:val="right"/>
              <w:ind w:right="7"/>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FF0FC"/>
            </w:tcBorders>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5,380,691</w:t>
            </w:r>
          </w:p>
        </w:tc>
        <w:tc>
          <w:tcPr>
            <w:tcW w:w="100" w:type="dxa"/>
            <w:vAlign w:val="bottom"/>
            <w:tcBorders>
              <w:bottom w:val="single" w:sz="8" w:color="CFF0FC"/>
            </w:tcBorders>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780" w:type="dxa"/>
            <w:vAlign w:val="bottom"/>
            <w:vMerge w:val="restart"/>
          </w:tcPr>
          <w:p>
            <w:pPr>
              <w:ind w:left="5540"/>
              <w:spacing w:after="0"/>
              <w:rPr>
                <w:sz w:val="20"/>
                <w:szCs w:val="20"/>
                <w:color w:val="auto"/>
              </w:rPr>
            </w:pPr>
            <w:r>
              <w:rPr>
                <w:rFonts w:ascii="Arial" w:cs="Arial" w:eastAsia="Arial" w:hAnsi="Arial"/>
                <w:sz w:val="18"/>
                <w:szCs w:val="18"/>
                <w:color w:val="auto"/>
              </w:rPr>
              <w:t>15</w:t>
            </w:r>
          </w:p>
        </w:tc>
        <w:tc>
          <w:tcPr>
            <w:tcW w:w="1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9"/>
        </w:trPr>
        <w:tc>
          <w:tcPr>
            <w:tcW w:w="578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578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400" w:type="dxa"/>
            <w:vAlign w:val="bottom"/>
            <w:tcBorders>
              <w:bottom w:val="single" w:sz="8" w:color="9A9A9A"/>
            </w:tcBorders>
          </w:tcPr>
          <w:p>
            <w:pPr>
              <w:spacing w:after="0"/>
              <w:rPr>
                <w:sz w:val="10"/>
                <w:szCs w:val="10"/>
                <w:color w:val="auto"/>
              </w:rPr>
            </w:pPr>
          </w:p>
        </w:tc>
        <w:tc>
          <w:tcPr>
            <w:tcW w:w="130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88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9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96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5" w:name="page16"/>
    <w:bookmarkEnd w:id="1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92"/>
              </w:rPr>
              <w:t>Quoted Prices</w:t>
            </w:r>
          </w:p>
        </w:tc>
        <w:tc>
          <w:tcPr>
            <w:tcW w:w="120" w:type="dxa"/>
            <w:vAlign w:val="bottom"/>
          </w:tcPr>
          <w:p>
            <w:pPr>
              <w:spacing w:after="0"/>
              <w:rPr>
                <w:sz w:val="14"/>
                <w:szCs w:val="14"/>
                <w:color w:val="auto"/>
              </w:rPr>
            </w:pP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Prices with</w:t>
            </w:r>
          </w:p>
        </w:tc>
        <w:tc>
          <w:tcPr>
            <w:tcW w:w="9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60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gridSpan w:val="3"/>
            <w:vMerge w:val="continue"/>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6"/>
              </w:rPr>
              <w:t>Other</w:t>
            </w:r>
          </w:p>
        </w:tc>
        <w:tc>
          <w:tcPr>
            <w:tcW w:w="920" w:type="dxa"/>
            <w:vAlign w:val="bottom"/>
            <w:vMerge w:val="restart"/>
          </w:tcPr>
          <w:p>
            <w:pPr>
              <w:jc w:val="right"/>
              <w:ind w:right="28"/>
              <w:spacing w:after="0"/>
              <w:rPr>
                <w:sz w:val="20"/>
                <w:szCs w:val="20"/>
                <w:color w:val="auto"/>
              </w:rPr>
            </w:pPr>
            <w:r>
              <w:rPr>
                <w:rFonts w:ascii="Arial" w:cs="Arial" w:eastAsia="Arial" w:hAnsi="Arial"/>
                <w:sz w:val="14"/>
                <w:szCs w:val="14"/>
                <w:b w:val="1"/>
                <w:bCs w:val="1"/>
                <w:color w:val="auto"/>
              </w:rPr>
              <w:t>Prices with</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0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5"/>
              </w:rPr>
              <w:t>in Active</w:t>
            </w:r>
          </w:p>
        </w:tc>
        <w:tc>
          <w:tcPr>
            <w:tcW w:w="120" w:type="dxa"/>
            <w:vAlign w:val="bottom"/>
          </w:tcPr>
          <w:p>
            <w:pPr>
              <w:spacing w:after="0"/>
              <w:rPr>
                <w:sz w:val="12"/>
                <w:szCs w:val="12"/>
                <w:color w:val="auto"/>
              </w:rPr>
            </w:pPr>
          </w:p>
        </w:tc>
        <w:tc>
          <w:tcPr>
            <w:tcW w:w="10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4"/>
              </w:rPr>
              <w:t>Observable</w:t>
            </w:r>
          </w:p>
        </w:tc>
        <w:tc>
          <w:tcPr>
            <w:tcW w:w="92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60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240" w:type="dxa"/>
            <w:vAlign w:val="bottom"/>
            <w:vMerge w:val="restart"/>
          </w:tcPr>
          <w:p>
            <w:pPr>
              <w:jc w:val="right"/>
              <w:ind w:right="552"/>
              <w:spacing w:after="0"/>
              <w:rPr>
                <w:sz w:val="20"/>
                <w:szCs w:val="20"/>
                <w:color w:val="auto"/>
              </w:rPr>
            </w:pPr>
            <w:r>
              <w:rPr>
                <w:rFonts w:ascii="Arial" w:cs="Arial" w:eastAsia="Arial" w:hAnsi="Arial"/>
                <w:sz w:val="14"/>
                <w:szCs w:val="14"/>
                <w:b w:val="1"/>
                <w:bCs w:val="1"/>
                <w:color w:val="auto"/>
              </w:rPr>
              <w:t>Total</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8"/>
              </w:rPr>
              <w:t>Markets</w:t>
            </w:r>
          </w:p>
        </w:tc>
        <w:tc>
          <w:tcPr>
            <w:tcW w:w="120" w:type="dxa"/>
            <w:vAlign w:val="bottom"/>
          </w:tcPr>
          <w:p>
            <w:pPr>
              <w:spacing w:after="0"/>
              <w:rPr>
                <w:sz w:val="12"/>
                <w:szCs w:val="12"/>
                <w:color w:val="auto"/>
              </w:rPr>
            </w:pPr>
          </w:p>
        </w:tc>
        <w:tc>
          <w:tcPr>
            <w:tcW w:w="10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5"/>
              </w:rPr>
              <w:t>Inputs</w:t>
            </w:r>
          </w:p>
        </w:tc>
        <w:tc>
          <w:tcPr>
            <w:tcW w:w="92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94"/>
              </w:rPr>
              <w:t>Unobservable</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622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360" w:type="dxa"/>
            <w:vAlign w:val="bottom"/>
          </w:tcPr>
          <w:p>
            <w:pPr>
              <w:spacing w:after="0"/>
              <w:rPr>
                <w:sz w:val="14"/>
                <w:szCs w:val="14"/>
                <w:color w:val="auto"/>
              </w:rPr>
            </w:pPr>
          </w:p>
        </w:tc>
        <w:tc>
          <w:tcPr>
            <w:tcW w:w="124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4"/>
              </w:rPr>
              <w:t>(Level 1)</w:t>
            </w:r>
          </w:p>
        </w:tc>
        <w:tc>
          <w:tcPr>
            <w:tcW w:w="120" w:type="dxa"/>
            <w:vAlign w:val="bottom"/>
          </w:tcPr>
          <w:p>
            <w:pPr>
              <w:spacing w:after="0"/>
              <w:rPr>
                <w:sz w:val="14"/>
                <w:szCs w:val="14"/>
                <w:color w:val="auto"/>
              </w:rPr>
            </w:pPr>
          </w:p>
        </w:tc>
        <w:tc>
          <w:tcPr>
            <w:tcW w:w="10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(Level 2)</w:t>
            </w:r>
          </w:p>
        </w:tc>
        <w:tc>
          <w:tcPr>
            <w:tcW w:w="1100" w:type="dxa"/>
            <w:vAlign w:val="bottom"/>
            <w:gridSpan w:val="3"/>
          </w:tcPr>
          <w:p>
            <w:pPr>
              <w:jc w:val="right"/>
              <w:ind w:right="120"/>
              <w:spacing w:after="0"/>
              <w:rPr>
                <w:sz w:val="20"/>
                <w:szCs w:val="20"/>
                <w:color w:val="auto"/>
              </w:rPr>
            </w:pPr>
            <w:r>
              <w:rPr>
                <w:rFonts w:ascii="Arial" w:cs="Arial" w:eastAsia="Arial" w:hAnsi="Arial"/>
                <w:sz w:val="14"/>
                <w:szCs w:val="14"/>
                <w:b w:val="1"/>
                <w:bCs w:val="1"/>
                <w:color w:val="auto"/>
                <w:w w:val="93"/>
              </w:rPr>
              <w:t>Inputs (Level 3)</w:t>
            </w:r>
          </w:p>
        </w:tc>
        <w:tc>
          <w:tcPr>
            <w:tcW w:w="0" w:type="dxa"/>
            <w:vAlign w:val="bottom"/>
          </w:tcPr>
          <w:p>
            <w:pPr>
              <w:spacing w:after="0"/>
              <w:rPr>
                <w:sz w:val="1"/>
                <w:szCs w:val="1"/>
                <w:color w:val="auto"/>
              </w:rPr>
            </w:pPr>
          </w:p>
        </w:tc>
      </w:tr>
      <w:tr>
        <w:trPr>
          <w:trHeight w:val="223"/>
        </w:trPr>
        <w:tc>
          <w:tcPr>
            <w:tcW w:w="606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At December 31, 2021</w:t>
            </w:r>
          </w:p>
        </w:tc>
        <w:tc>
          <w:tcPr>
            <w:tcW w:w="160" w:type="dxa"/>
            <w:vAlign w:val="bottom"/>
            <w:tcBorders>
              <w:top w:val="single" w:sz="8" w:color="CFF0FC"/>
            </w:tcBorders>
            <w:shd w:val="clear" w:color="auto" w:fill="CFF0FC"/>
          </w:tcPr>
          <w:p>
            <w:pPr>
              <w:spacing w:after="0"/>
              <w:rPr>
                <w:sz w:val="19"/>
                <w:szCs w:val="19"/>
                <w:color w:val="auto"/>
              </w:rPr>
            </w:pPr>
          </w:p>
        </w:tc>
        <w:tc>
          <w:tcPr>
            <w:tcW w:w="360" w:type="dxa"/>
            <w:vAlign w:val="bottom"/>
            <w:tcBorders>
              <w:top w:val="single" w:sz="8" w:color="auto"/>
            </w:tcBorders>
            <w:shd w:val="clear" w:color="auto" w:fill="CFF0FC"/>
          </w:tcPr>
          <w:p>
            <w:pPr>
              <w:spacing w:after="0"/>
              <w:rPr>
                <w:sz w:val="19"/>
                <w:szCs w:val="19"/>
                <w:color w:val="auto"/>
              </w:rPr>
            </w:pPr>
          </w:p>
        </w:tc>
        <w:tc>
          <w:tcPr>
            <w:tcW w:w="124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84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88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920" w:type="dxa"/>
            <w:vAlign w:val="bottom"/>
            <w:tcBorders>
              <w:top w:val="single" w:sz="8" w:color="auto"/>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220" w:type="dxa"/>
            <w:vAlign w:val="bottom"/>
            <w:gridSpan w:val="2"/>
          </w:tcPr>
          <w:p>
            <w:pPr>
              <w:spacing w:after="0"/>
              <w:rPr>
                <w:sz w:val="20"/>
                <w:szCs w:val="20"/>
                <w:color w:val="auto"/>
              </w:rPr>
            </w:pPr>
            <w:r>
              <w:rPr>
                <w:rFonts w:ascii="Arial" w:cs="Arial" w:eastAsia="Arial" w:hAnsi="Arial"/>
                <w:sz w:val="18"/>
                <w:szCs w:val="18"/>
                <w:color w:val="auto"/>
              </w:rPr>
              <w:t>Liabilities</w:t>
            </w:r>
          </w:p>
        </w:tc>
        <w:tc>
          <w:tcPr>
            <w:tcW w:w="36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2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rPr>
              <w:t>Senior secured notes - 7.875%, due February 15, 2025</w:t>
            </w:r>
          </w:p>
        </w:tc>
        <w:tc>
          <w:tcPr>
            <w:tcW w:w="360" w:type="dxa"/>
            <w:vAlign w:val="bottom"/>
            <w:shd w:val="clear" w:color="auto" w:fill="CFF0FC"/>
          </w:tcPr>
          <w:p>
            <w:pPr>
              <w:jc w:val="right"/>
              <w:ind w:right="207"/>
              <w:spacing w:after="0"/>
              <w:rPr>
                <w:sz w:val="20"/>
                <w:szCs w:val="20"/>
                <w:color w:val="auto"/>
              </w:rPr>
            </w:pPr>
            <w:r>
              <w:rPr>
                <w:rFonts w:ascii="Arial" w:cs="Arial" w:eastAsia="Arial" w:hAnsi="Arial"/>
                <w:sz w:val="15"/>
                <w:szCs w:val="15"/>
                <w:color w:val="auto"/>
                <w:w w:val="71"/>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2,351,576</w:t>
            </w:r>
          </w:p>
        </w:tc>
        <w:tc>
          <w:tcPr>
            <w:tcW w:w="2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2,351,576</w:t>
            </w:r>
          </w:p>
        </w:tc>
        <w:tc>
          <w:tcPr>
            <w:tcW w:w="120" w:type="dxa"/>
            <w:vAlign w:val="bottom"/>
            <w:shd w:val="clear" w:color="auto" w:fill="CFF0FC"/>
          </w:tcPr>
          <w:p>
            <w:pPr>
              <w:spacing w:after="0"/>
              <w:rPr>
                <w:sz w:val="19"/>
                <w:szCs w:val="19"/>
                <w:color w:val="auto"/>
              </w:rPr>
            </w:pPr>
          </w:p>
        </w:tc>
        <w:tc>
          <w:tcPr>
            <w:tcW w:w="920" w:type="dxa"/>
            <w:vAlign w:val="bottom"/>
            <w:shd w:val="clear" w:color="auto" w:fill="CFF0FC"/>
          </w:tcPr>
          <w:p>
            <w:pPr>
              <w:jc w:val="right"/>
              <w:ind w:right="768"/>
              <w:spacing w:after="0"/>
              <w:rPr>
                <w:sz w:val="20"/>
                <w:szCs w:val="20"/>
                <w:color w:val="auto"/>
              </w:rPr>
            </w:pPr>
            <w:r>
              <w:rPr>
                <w:rFonts w:ascii="Arial" w:cs="Arial" w:eastAsia="Arial" w:hAnsi="Arial"/>
                <w:sz w:val="15"/>
                <w:szCs w:val="15"/>
                <w:color w:val="auto"/>
                <w:w w:val="71"/>
              </w:rPr>
              <w:t>$</w:t>
            </w:r>
          </w:p>
        </w:tc>
        <w:tc>
          <w:tcPr>
            <w:tcW w:w="80" w:type="dxa"/>
            <w:vAlign w:val="bottom"/>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220" w:type="dxa"/>
            <w:vAlign w:val="bottom"/>
            <w:gridSpan w:val="2"/>
          </w:tcPr>
          <w:p>
            <w:pPr>
              <w:ind w:left="140"/>
              <w:spacing w:after="0"/>
              <w:rPr>
                <w:sz w:val="20"/>
                <w:szCs w:val="20"/>
                <w:color w:val="auto"/>
              </w:rPr>
            </w:pPr>
            <w:r>
              <w:rPr>
                <w:rFonts w:ascii="Arial" w:cs="Arial" w:eastAsia="Arial" w:hAnsi="Arial"/>
                <w:sz w:val="18"/>
                <w:szCs w:val="18"/>
                <w:color w:val="auto"/>
              </w:rPr>
              <w:t>Senior secured notes - 4.75%, due April 15, 2028</w:t>
            </w:r>
          </w:p>
        </w:tc>
        <w:tc>
          <w:tcPr>
            <w:tcW w:w="36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560,857</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560,857</w:t>
            </w:r>
          </w:p>
        </w:tc>
        <w:tc>
          <w:tcPr>
            <w:tcW w:w="1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22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rPr>
              <w:t>Senior unsecured notes - 6.50% , due February 15, 2029</w:t>
            </w:r>
          </w:p>
        </w:tc>
        <w:tc>
          <w:tcPr>
            <w:tcW w:w="36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1,087,844</w:t>
            </w:r>
          </w:p>
        </w:tc>
        <w:tc>
          <w:tcPr>
            <w:tcW w:w="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1,087,844</w:t>
            </w:r>
          </w:p>
        </w:tc>
        <w:tc>
          <w:tcPr>
            <w:tcW w:w="12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20" w:type="dxa"/>
            <w:vAlign w:val="bottom"/>
            <w:gridSpan w:val="2"/>
          </w:tcPr>
          <w:p>
            <w:pPr>
              <w:ind w:left="140"/>
              <w:spacing w:after="0"/>
              <w:rPr>
                <w:sz w:val="20"/>
                <w:szCs w:val="20"/>
                <w:color w:val="auto"/>
              </w:rPr>
            </w:pPr>
            <w:r>
              <w:rPr>
                <w:rFonts w:ascii="Arial" w:cs="Arial" w:eastAsia="Arial" w:hAnsi="Arial"/>
                <w:sz w:val="18"/>
                <w:szCs w:val="18"/>
                <w:color w:val="auto"/>
              </w:rPr>
              <w:t>Senior unsecured notes - 6.00%, due January 15, 2030</w:t>
            </w:r>
          </w:p>
        </w:tc>
        <w:tc>
          <w:tcPr>
            <w:tcW w:w="36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659,992</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659,992</w:t>
            </w:r>
          </w:p>
        </w:tc>
        <w:tc>
          <w:tcPr>
            <w:tcW w:w="1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22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rPr>
              <w:t>Exchangeable senior notes - 4.00%, due June 15, 2024</w:t>
            </w:r>
          </w:p>
        </w:tc>
        <w:tc>
          <w:tcPr>
            <w:tcW w:w="36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453,104</w:t>
            </w:r>
          </w:p>
        </w:tc>
        <w:tc>
          <w:tcPr>
            <w:tcW w:w="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453,104</w:t>
            </w:r>
          </w:p>
        </w:tc>
        <w:tc>
          <w:tcPr>
            <w:tcW w:w="12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220" w:type="dxa"/>
            <w:vAlign w:val="bottom"/>
            <w:gridSpan w:val="2"/>
          </w:tcPr>
          <w:p>
            <w:pPr>
              <w:ind w:left="140"/>
              <w:spacing w:after="0"/>
              <w:rPr>
                <w:sz w:val="20"/>
                <w:szCs w:val="20"/>
                <w:color w:val="auto"/>
              </w:rPr>
            </w:pPr>
            <w:r>
              <w:rPr>
                <w:rFonts w:ascii="Arial" w:cs="Arial" w:eastAsia="Arial" w:hAnsi="Arial"/>
                <w:sz w:val="18"/>
                <w:szCs w:val="18"/>
                <w:color w:val="auto"/>
                <w:w w:val="97"/>
              </w:rPr>
              <w:t>Senior secured revolving credit facility, variable rate, due   December 10, 2024</w:t>
            </w:r>
          </w:p>
        </w:tc>
        <w:tc>
          <w:tcPr>
            <w:tcW w:w="36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199,980</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199,980</w:t>
            </w:r>
          </w:p>
        </w:tc>
        <w:tc>
          <w:tcPr>
            <w:tcW w:w="1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2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rPr>
              <w:t>Settlement payable</w:t>
            </w:r>
          </w:p>
        </w:tc>
        <w:tc>
          <w:tcPr>
            <w:tcW w:w="36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254,725</w:t>
            </w:r>
          </w:p>
        </w:tc>
        <w:tc>
          <w:tcPr>
            <w:tcW w:w="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254,725</w:t>
            </w:r>
          </w:p>
        </w:tc>
        <w:tc>
          <w:tcPr>
            <w:tcW w:w="12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220" w:type="dxa"/>
            <w:vAlign w:val="bottom"/>
            <w:tcBorders>
              <w:bottom w:val="single" w:sz="8" w:color="CFF0FC"/>
            </w:tcBorders>
            <w:gridSpan w:val="2"/>
          </w:tcPr>
          <w:p>
            <w:pPr>
              <w:ind w:left="140"/>
              <w:spacing w:after="0"/>
              <w:rPr>
                <w:sz w:val="20"/>
                <w:szCs w:val="20"/>
                <w:color w:val="auto"/>
              </w:rPr>
            </w:pPr>
            <w:r>
              <w:rPr>
                <w:rFonts w:ascii="Arial" w:cs="Arial" w:eastAsia="Arial" w:hAnsi="Arial"/>
                <w:sz w:val="18"/>
                <w:szCs w:val="18"/>
                <w:color w:val="auto"/>
              </w:rPr>
              <w:t>Derivative liability, net</w:t>
            </w:r>
          </w:p>
        </w:tc>
        <w:tc>
          <w:tcPr>
            <w:tcW w:w="36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10,413</w:t>
            </w:r>
          </w:p>
        </w:tc>
        <w:tc>
          <w:tcPr>
            <w:tcW w:w="12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10,413</w:t>
            </w:r>
          </w:p>
        </w:tc>
        <w:tc>
          <w:tcPr>
            <w:tcW w:w="120" w:type="dxa"/>
            <w:vAlign w:val="bottom"/>
            <w:tcBorders>
              <w:bottom w:val="single" w:sz="8" w:color="CFF0FC"/>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622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Total</w:t>
            </w:r>
          </w:p>
        </w:tc>
        <w:tc>
          <w:tcPr>
            <w:tcW w:w="360" w:type="dxa"/>
            <w:vAlign w:val="bottom"/>
            <w:shd w:val="clear" w:color="auto" w:fill="CFF0FC"/>
          </w:tcPr>
          <w:p>
            <w:pPr>
              <w:jc w:val="right"/>
              <w:ind w:right="207"/>
              <w:spacing w:after="0"/>
              <w:rPr>
                <w:sz w:val="20"/>
                <w:szCs w:val="20"/>
                <w:color w:val="auto"/>
              </w:rPr>
            </w:pPr>
            <w:r>
              <w:rPr>
                <w:rFonts w:ascii="Arial" w:cs="Arial" w:eastAsia="Arial" w:hAnsi="Arial"/>
                <w:sz w:val="15"/>
                <w:szCs w:val="15"/>
                <w:color w:val="auto"/>
                <w:w w:val="71"/>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5,578,491</w:t>
            </w:r>
          </w:p>
        </w:tc>
        <w:tc>
          <w:tcPr>
            <w:tcW w:w="2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20"/>
                <w:szCs w:val="20"/>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5,578,491</w:t>
            </w:r>
          </w:p>
        </w:tc>
        <w:tc>
          <w:tcPr>
            <w:tcW w:w="120" w:type="dxa"/>
            <w:vAlign w:val="bottom"/>
            <w:shd w:val="clear" w:color="auto" w:fill="CFF0FC"/>
          </w:tcPr>
          <w:p>
            <w:pPr>
              <w:spacing w:after="0"/>
              <w:rPr>
                <w:sz w:val="20"/>
                <w:szCs w:val="20"/>
                <w:color w:val="auto"/>
              </w:rPr>
            </w:pPr>
          </w:p>
        </w:tc>
        <w:tc>
          <w:tcPr>
            <w:tcW w:w="920" w:type="dxa"/>
            <w:vAlign w:val="bottom"/>
            <w:shd w:val="clear" w:color="auto" w:fill="CFF0FC"/>
          </w:tcPr>
          <w:p>
            <w:pPr>
              <w:jc w:val="right"/>
              <w:ind w:right="768"/>
              <w:spacing w:after="0"/>
              <w:rPr>
                <w:sz w:val="20"/>
                <w:szCs w:val="20"/>
                <w:color w:val="auto"/>
              </w:rPr>
            </w:pPr>
            <w:r>
              <w:rPr>
                <w:rFonts w:ascii="Arial" w:cs="Arial" w:eastAsia="Arial" w:hAnsi="Arial"/>
                <w:sz w:val="15"/>
                <w:szCs w:val="15"/>
                <w:color w:val="auto"/>
                <w:w w:val="71"/>
              </w:rPr>
              <w:t>$</w:t>
            </w:r>
          </w:p>
        </w:tc>
        <w:tc>
          <w:tcPr>
            <w:tcW w:w="80" w:type="dxa"/>
            <w:vAlign w:val="bottom"/>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06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CFF0FC"/>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both"/>
        <w:ind w:right="140"/>
        <w:spacing w:after="0" w:line="277" w:lineRule="auto"/>
        <w:rPr>
          <w:sz w:val="20"/>
          <w:szCs w:val="20"/>
          <w:color w:val="auto"/>
        </w:rPr>
      </w:pPr>
      <w:r>
        <w:rPr>
          <w:rFonts w:ascii="Arial" w:cs="Arial" w:eastAsia="Arial" w:hAnsi="Arial"/>
          <w:sz w:val="18"/>
          <w:szCs w:val="18"/>
          <w:color w:val="auto"/>
        </w:rPr>
        <w:t>The carrying value of cash and cash equivalents, accounts and other receivables, and accounts, interest and dividends payable approximate fair values due to the short-term nature of these financial instruments.</w:t>
      </w:r>
    </w:p>
    <w:p>
      <w:pPr>
        <w:spacing w:after="0" w:line="170" w:lineRule="exact"/>
        <w:rPr>
          <w:sz w:val="20"/>
          <w:szCs w:val="20"/>
          <w:color w:val="auto"/>
        </w:rPr>
      </w:pPr>
    </w:p>
    <w:p>
      <w:pPr>
        <w:ind w:right="20"/>
        <w:spacing w:after="0" w:line="269" w:lineRule="auto"/>
        <w:rPr>
          <w:rFonts w:ascii="Arial" w:cs="Arial" w:eastAsia="Arial" w:hAnsi="Arial"/>
          <w:sz w:val="17"/>
          <w:szCs w:val="17"/>
          <w:color w:val="0000EE"/>
        </w:rPr>
      </w:pPr>
      <w:r>
        <w:rPr>
          <w:rFonts w:ascii="Arial" w:cs="Arial" w:eastAsia="Arial" w:hAnsi="Arial"/>
          <w:sz w:val="17"/>
          <w:szCs w:val="17"/>
          <w:color w:val="auto"/>
        </w:rPr>
        <w:t xml:space="preserve">The total principal balance of our outstanding notes and other debt was $5.20 billion at March 31, 2022, with a fair value of $5.13 billion. The estimated fair value of our outstanding notes and other debt was based on available external pricing data and current market rates for similar debt instruments, among </w:t>
      </w:r>
      <w:hyperlink w:anchor="page17">
        <w:r>
          <w:rPr>
            <w:rFonts w:ascii="Arial" w:cs="Arial" w:eastAsia="Arial" w:hAnsi="Arial"/>
            <w:sz w:val="17"/>
            <w:szCs w:val="17"/>
            <w:color w:val="auto"/>
          </w:rPr>
          <w:t xml:space="preserve">other factors, which are classified as Level 2 inputs within the fair value hierarchy. Derivative assets and liabilities are carried at fair value. </w:t>
        </w:r>
        <w:r>
          <w:rPr>
            <w:rFonts w:ascii="Arial" w:cs="Arial" w:eastAsia="Arial" w:hAnsi="Arial"/>
            <w:sz w:val="17"/>
            <w:szCs w:val="17"/>
            <w:u w:val="single" w:color="auto"/>
            <w:color w:val="0000EE"/>
          </w:rPr>
          <w:t>See Note 8. The</w:t>
        </w:r>
      </w:hyperlink>
      <w:r>
        <w:rPr>
          <w:rFonts w:ascii="Arial" w:cs="Arial" w:eastAsia="Arial" w:hAnsi="Arial"/>
          <w:sz w:val="17"/>
          <w:szCs w:val="17"/>
          <w:color w:val="auto"/>
        </w:rPr>
        <w:t xml:space="preserve"> </w:t>
      </w:r>
      <w:hyperlink w:anchor="page17">
        <w:r>
          <w:rPr>
            <w:rFonts w:ascii="Arial" w:cs="Arial" w:eastAsia="Arial" w:hAnsi="Arial"/>
            <w:sz w:val="17"/>
            <w:szCs w:val="17"/>
            <w:u w:val="single" w:color="auto"/>
            <w:color w:val="0000EE"/>
          </w:rPr>
          <w:t>fair value of an interest rate swap is determined based on the present value of expected future cash flows using observable, quoted LIBOR swap rates for</w:t>
        </w:r>
      </w:hyperlink>
      <w:r>
        <w:rPr>
          <w:rFonts w:ascii="Arial" w:cs="Arial" w:eastAsia="Arial" w:hAnsi="Arial"/>
          <w:sz w:val="17"/>
          <w:szCs w:val="17"/>
          <w:u w:val="single" w:color="auto"/>
          <w:color w:val="0000EE"/>
        </w:rPr>
        <w:t xml:space="preserve"> </w:t>
      </w:r>
      <w:hyperlink w:anchor="page17">
        <w:r>
          <w:rPr>
            <w:rFonts w:ascii="Arial" w:cs="Arial" w:eastAsia="Arial" w:hAnsi="Arial"/>
            <w:sz w:val="17"/>
            <w:szCs w:val="17"/>
            <w:u w:val="single" w:color="auto"/>
            <w:color w:val="0000EE"/>
          </w:rPr>
          <w:t>the full term of the swap and also incorporate credit valuation adjustments to appropriately reflect both Uniti’s own non-performance risk and non-</w:t>
        </w:r>
      </w:hyperlink>
      <w:hyperlink w:anchor="page17">
        <w:r>
          <w:rPr>
            <w:rFonts w:ascii="Arial" w:cs="Arial" w:eastAsia="Arial" w:hAnsi="Arial"/>
            <w:sz w:val="17"/>
            <w:szCs w:val="17"/>
            <w:u w:val="single" w:color="auto"/>
            <w:color w:val="0000EE"/>
          </w:rPr>
          <w:t>performance risk of the respective counterparties. The Company has determined that the majority of the inputs used to value its derivative assets and</w:t>
        </w:r>
      </w:hyperlink>
      <w:r>
        <w:rPr>
          <w:rFonts w:ascii="Arial" w:cs="Arial" w:eastAsia="Arial" w:hAnsi="Arial"/>
          <w:sz w:val="17"/>
          <w:szCs w:val="17"/>
          <w:u w:val="single" w:color="auto"/>
          <w:color w:val="0000EE"/>
        </w:rPr>
        <w:t xml:space="preserve"> </w:t>
      </w:r>
      <w:hyperlink w:anchor="page17">
        <w:r>
          <w:rPr>
            <w:rFonts w:ascii="Arial" w:cs="Arial" w:eastAsia="Arial" w:hAnsi="Arial"/>
            <w:sz w:val="17"/>
            <w:szCs w:val="17"/>
            <w:u w:val="single" w:color="auto"/>
            <w:color w:val="0000EE"/>
          </w:rPr>
          <w:t>liabilities fall within Level 2 of the fair value hierarchy; however, the associated credit valuation adjustments utilized Level 3 inputs, such as estimates of</w:t>
        </w:r>
      </w:hyperlink>
      <w:r>
        <w:rPr>
          <w:rFonts w:ascii="Arial" w:cs="Arial" w:eastAsia="Arial" w:hAnsi="Arial"/>
          <w:sz w:val="17"/>
          <w:szCs w:val="17"/>
          <w:u w:val="single" w:color="auto"/>
          <w:color w:val="0000EE"/>
        </w:rPr>
        <w:t xml:space="preserve"> </w:t>
      </w:r>
      <w:hyperlink w:anchor="page17">
        <w:r>
          <w:rPr>
            <w:rFonts w:ascii="Arial" w:cs="Arial" w:eastAsia="Arial" w:hAnsi="Arial"/>
            <w:sz w:val="17"/>
            <w:szCs w:val="17"/>
            <w:u w:val="single" w:color="auto"/>
            <w:color w:val="0000EE"/>
          </w:rPr>
          <w:t>credit spreads, to evaluate the likelihood of default by the Company and its counterparties. As of March 31, 2022, the Company has assessed the</w:t>
        </w:r>
      </w:hyperlink>
      <w:r>
        <w:rPr>
          <w:rFonts w:ascii="Arial" w:cs="Arial" w:eastAsia="Arial" w:hAnsi="Arial"/>
          <w:sz w:val="17"/>
          <w:szCs w:val="17"/>
          <w:u w:val="single" w:color="auto"/>
          <w:color w:val="0000EE"/>
        </w:rPr>
        <w:t xml:space="preserve"> </w:t>
      </w:r>
      <w:hyperlink w:anchor="page17">
        <w:r>
          <w:rPr>
            <w:rFonts w:ascii="Arial" w:cs="Arial" w:eastAsia="Arial" w:hAnsi="Arial"/>
            <w:sz w:val="17"/>
            <w:szCs w:val="17"/>
            <w:u w:val="single" w:color="auto"/>
            <w:color w:val="0000EE"/>
          </w:rPr>
          <w:t>significance of the impact of the credit valuation adjustments on the overall valuation of its derivative positions and has determined that the credit valuation</w:t>
        </w:r>
      </w:hyperlink>
      <w:r>
        <w:rPr>
          <w:rFonts w:ascii="Arial" w:cs="Arial" w:eastAsia="Arial" w:hAnsi="Arial"/>
          <w:sz w:val="17"/>
          <w:szCs w:val="17"/>
          <w:u w:val="single" w:color="auto"/>
          <w:color w:val="0000EE"/>
        </w:rPr>
        <w:t xml:space="preserve"> </w:t>
      </w:r>
      <w:hyperlink w:anchor="page17">
        <w:r>
          <w:rPr>
            <w:rFonts w:ascii="Arial" w:cs="Arial" w:eastAsia="Arial" w:hAnsi="Arial"/>
            <w:sz w:val="17"/>
            <w:szCs w:val="17"/>
            <w:u w:val="single" w:color="auto"/>
            <w:color w:val="0000EE"/>
          </w:rPr>
          <w:t>adjustment is not significant to the overall value of the derivatives. As such, the Company classifies its derivative assets and liabilities valuation in Level 2</w:t>
        </w:r>
      </w:hyperlink>
      <w:r>
        <w:rPr>
          <w:rFonts w:ascii="Arial" w:cs="Arial" w:eastAsia="Arial" w:hAnsi="Arial"/>
          <w:sz w:val="17"/>
          <w:szCs w:val="17"/>
          <w:u w:val="single" w:color="auto"/>
          <w:color w:val="0000EE"/>
        </w:rPr>
        <w:t xml:space="preserve"> </w:t>
      </w:r>
      <w:hyperlink w:anchor="page17">
        <w:r>
          <w:rPr>
            <w:rFonts w:ascii="Arial" w:cs="Arial" w:eastAsia="Arial" w:hAnsi="Arial"/>
            <w:sz w:val="17"/>
            <w:szCs w:val="17"/>
            <w:u w:val="single" w:color="auto"/>
            <w:color w:val="0000EE"/>
          </w:rPr>
          <w:t>of the fair value hierarchy</w:t>
        </w:r>
        <w:r>
          <w:rPr>
            <w:rFonts w:ascii="Arial" w:cs="Arial" w:eastAsia="Arial" w:hAnsi="Arial"/>
            <w:sz w:val="17"/>
            <w:szCs w:val="17"/>
            <w:color w:val="000000"/>
          </w:rPr>
          <w:t>.</w:t>
        </w:r>
      </w:hyperlink>
    </w:p>
    <w:p>
      <w:pPr>
        <w:spacing w:after="0" w:line="182" w:lineRule="exact"/>
        <w:rPr>
          <w:rFonts w:ascii="Arial" w:cs="Arial" w:eastAsia="Arial" w:hAnsi="Arial"/>
          <w:sz w:val="17"/>
          <w:szCs w:val="17"/>
          <w:u w:val="single" w:color="auto"/>
          <w:color w:val="0000EE"/>
        </w:rPr>
      </w:pPr>
    </w:p>
    <w:p>
      <w:pPr>
        <w:ind w:right="40"/>
        <w:spacing w:after="0" w:line="311" w:lineRule="auto"/>
        <w:rPr>
          <w:rFonts w:ascii="Arial" w:cs="Arial" w:eastAsia="Arial" w:hAnsi="Arial"/>
          <w:sz w:val="16"/>
          <w:szCs w:val="16"/>
          <w:color w:val="auto"/>
        </w:rPr>
      </w:pPr>
      <w:r>
        <w:rPr>
          <w:rFonts w:ascii="Arial" w:cs="Arial" w:eastAsia="Arial" w:hAnsi="Arial"/>
          <w:sz w:val="16"/>
          <w:szCs w:val="16"/>
          <w:color w:val="auto"/>
        </w:rPr>
        <w:t>Given the limited trade activity of the Exchangeable Notes, the fair value of the Exchangeable Notes (</w:t>
      </w:r>
      <w:hyperlink w:anchor="page20">
        <w:r>
          <w:rPr>
            <w:rFonts w:ascii="Arial" w:cs="Arial" w:eastAsia="Arial" w:hAnsi="Arial"/>
            <w:sz w:val="16"/>
            <w:szCs w:val="16"/>
            <w:u w:val="single" w:color="auto"/>
            <w:color w:val="0000EE"/>
          </w:rPr>
          <w:t>see Note 10</w:t>
        </w:r>
      </w:hyperlink>
      <w:r>
        <w:rPr>
          <w:rFonts w:ascii="Arial" w:cs="Arial" w:eastAsia="Arial" w:hAnsi="Arial"/>
          <w:sz w:val="16"/>
          <w:szCs w:val="16"/>
          <w:color w:val="auto"/>
        </w:rPr>
        <w:t>) is determined based on inputs that are observable in the market and have been classified as Level 2 in the fair value hierarchy. Specifically, we estimated the fair value of the Exchangeable Notes based on readily available external pricing information, quoted market prices, and current market rates for similar convertible debt instruments.</w:t>
      </w:r>
    </w:p>
    <w:p>
      <w:pPr>
        <w:spacing w:after="0" w:line="149" w:lineRule="exact"/>
        <w:rPr>
          <w:rFonts w:ascii="Arial" w:cs="Arial" w:eastAsia="Arial" w:hAnsi="Arial"/>
          <w:sz w:val="17"/>
          <w:szCs w:val="17"/>
          <w:u w:val="single" w:color="auto"/>
          <w:color w:val="0000EE"/>
        </w:rPr>
      </w:pPr>
    </w:p>
    <w:p>
      <w:pPr>
        <w:ind w:right="40"/>
        <w:spacing w:after="0" w:line="275" w:lineRule="auto"/>
        <w:rPr>
          <w:rFonts w:ascii="Arial" w:cs="Arial" w:eastAsia="Arial" w:hAnsi="Arial"/>
          <w:sz w:val="17"/>
          <w:szCs w:val="17"/>
          <w:color w:val="auto"/>
        </w:rPr>
      </w:pPr>
      <w:r>
        <w:rPr>
          <w:rFonts w:ascii="Arial" w:cs="Arial" w:eastAsia="Arial" w:hAnsi="Arial"/>
          <w:sz w:val="17"/>
          <w:szCs w:val="17"/>
          <w:color w:val="auto"/>
        </w:rPr>
        <w:t xml:space="preserve">Uniti is required to make $490.1 million of cash payments to Windstream in equal installments over 20 consecutive quarters beginning the first month after Windstream’s emergence (the “Settlement Payable”). </w:t>
      </w:r>
      <w:hyperlink w:anchor="page24">
        <w:r>
          <w:rPr>
            <w:rFonts w:ascii="Arial" w:cs="Arial" w:eastAsia="Arial" w:hAnsi="Arial"/>
            <w:sz w:val="17"/>
            <w:szCs w:val="17"/>
            <w:u w:val="single" w:color="auto"/>
            <w:color w:val="0000EE"/>
          </w:rPr>
          <w:t>See Note 13</w:t>
        </w:r>
      </w:hyperlink>
      <w:r>
        <w:rPr>
          <w:rFonts w:ascii="Arial" w:cs="Arial" w:eastAsia="Arial" w:hAnsi="Arial"/>
          <w:sz w:val="17"/>
          <w:szCs w:val="17"/>
          <w:color w:val="auto"/>
          <w:highlight w:val="white"/>
        </w:rPr>
        <w:t>.</w:t>
      </w:r>
      <w:r>
        <w:rPr>
          <w:rFonts w:ascii="Arial" w:cs="Arial" w:eastAsia="Arial" w:hAnsi="Arial"/>
          <w:sz w:val="17"/>
          <w:szCs w:val="17"/>
          <w:color w:val="auto"/>
        </w:rPr>
        <w:t xml:space="preserve"> </w:t>
      </w:r>
      <w:r>
        <w:rPr>
          <w:rFonts w:ascii="Arial" w:cs="Arial" w:eastAsia="Arial" w:hAnsi="Arial"/>
          <w:sz w:val="17"/>
          <w:szCs w:val="17"/>
          <w:color w:val="auto"/>
          <w:highlight w:val="white"/>
        </w:rPr>
        <w:t>The Settlement Payable was recorded at fair value, using the present value of future</w:t>
      </w:r>
      <w:r>
        <w:rPr>
          <w:rFonts w:ascii="Arial" w:cs="Arial" w:eastAsia="Arial" w:hAnsi="Arial"/>
          <w:sz w:val="17"/>
          <w:szCs w:val="17"/>
          <w:color w:val="auto"/>
        </w:rPr>
        <w:t xml:space="preserve"> cash flows. The future cash flows are discounted using discount rate input based on observable market data. Accordingly, we classify inputs used as Level 2 in the fair value hierarchy. The remaining Settlement Payable is $242.3 million and is reported on our Condensed Consolidated Balance Sheet at March 31, 2022. There have been no changes in the valuation methodologies used since the initial recording.</w:t>
      </w:r>
    </w:p>
    <w:p>
      <w:pPr>
        <w:spacing w:after="0" w:line="200" w:lineRule="exact"/>
        <w:rPr>
          <w:rFonts w:ascii="Arial" w:cs="Arial" w:eastAsia="Arial" w:hAnsi="Arial"/>
          <w:sz w:val="17"/>
          <w:szCs w:val="17"/>
          <w:u w:val="single" w:color="auto"/>
          <w:color w:val="0000EE"/>
        </w:rPr>
      </w:pPr>
    </w:p>
    <w:p>
      <w:pPr>
        <w:spacing w:after="0" w:line="219" w:lineRule="exact"/>
        <w:rPr>
          <w:rFonts w:ascii="Arial" w:cs="Arial" w:eastAsia="Arial" w:hAnsi="Arial"/>
          <w:sz w:val="17"/>
          <w:szCs w:val="17"/>
          <w:u w:val="single" w:color="auto"/>
          <w:color w:val="0000EE"/>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rFonts w:ascii="Arial" w:cs="Arial" w:eastAsia="Arial" w:hAnsi="Arial"/>
          <w:sz w:val="17"/>
          <w:szCs w:val="17"/>
          <w:u w:val="single" w:color="auto"/>
          <w:color w:val="0000EE"/>
        </w:rPr>
      </w:pPr>
      <w:r>
        <w:rPr>
          <w:rFonts w:ascii="Arial" w:cs="Arial" w:eastAsia="Arial" w:hAnsi="Arial"/>
          <w:sz w:val="17"/>
          <w:szCs w:val="17"/>
          <w:u w:val="single" w:color="auto"/>
          <w:color w:val="0000EE"/>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Property, Plant and Equipment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carrying value of property, plant and equipment is as follows:</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12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174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rPr>
              <w:t>Depreciable Lives</w:t>
            </w:r>
          </w:p>
        </w:tc>
        <w:tc>
          <w:tcPr>
            <w:tcW w:w="300" w:type="dxa"/>
            <w:vAlign w:val="bottom"/>
          </w:tcPr>
          <w:p>
            <w:pPr>
              <w:spacing w:after="0"/>
              <w:rPr>
                <w:sz w:val="14"/>
                <w:szCs w:val="14"/>
                <w:color w:val="auto"/>
              </w:rPr>
            </w:pPr>
          </w:p>
        </w:tc>
        <w:tc>
          <w:tcPr>
            <w:tcW w:w="1860" w:type="dxa"/>
            <w:vAlign w:val="bottom"/>
            <w:gridSpan w:val="2"/>
          </w:tcPr>
          <w:p>
            <w:pPr>
              <w:jc w:val="right"/>
              <w:ind w:right="700"/>
              <w:spacing w:after="0"/>
              <w:rPr>
                <w:sz w:val="20"/>
                <w:szCs w:val="20"/>
                <w:color w:val="auto"/>
              </w:rPr>
            </w:pPr>
            <w:r>
              <w:rPr>
                <w:rFonts w:ascii="Arial" w:cs="Arial" w:eastAsia="Arial" w:hAnsi="Arial"/>
                <w:sz w:val="14"/>
                <w:szCs w:val="14"/>
                <w:b w:val="1"/>
                <w:bCs w:val="1"/>
                <w:color w:val="auto"/>
              </w:rPr>
              <w:t>March 31, 2022</w:t>
            </w: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40" w:type="dxa"/>
            <w:vAlign w:val="bottom"/>
            <w:gridSpan w:val="2"/>
          </w:tcPr>
          <w:p>
            <w:pPr>
              <w:jc w:val="right"/>
              <w:ind w:right="540"/>
              <w:spacing w:after="0"/>
              <w:rPr>
                <w:sz w:val="20"/>
                <w:szCs w:val="20"/>
                <w:color w:val="auto"/>
              </w:rPr>
            </w:pPr>
            <w:r>
              <w:rPr>
                <w:rFonts w:ascii="Arial" w:cs="Arial" w:eastAsia="Arial" w:hAnsi="Arial"/>
                <w:sz w:val="14"/>
                <w:szCs w:val="14"/>
                <w:b w:val="1"/>
                <w:bCs w:val="1"/>
                <w:color w:val="auto"/>
              </w:rPr>
              <w:t>December 31, 2021</w:t>
            </w:r>
          </w:p>
        </w:tc>
      </w:tr>
      <w:tr>
        <w:trPr>
          <w:trHeight w:val="223"/>
        </w:trPr>
        <w:tc>
          <w:tcPr>
            <w:tcW w:w="49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Land</w:t>
            </w:r>
          </w:p>
        </w:tc>
        <w:tc>
          <w:tcPr>
            <w:tcW w:w="220" w:type="dxa"/>
            <w:vAlign w:val="bottom"/>
            <w:tcBorders>
              <w:top w:val="single" w:sz="8" w:color="CFF0FC"/>
            </w:tcBorders>
            <w:shd w:val="clear" w:color="auto" w:fill="CFF0FC"/>
          </w:tcPr>
          <w:p>
            <w:pPr>
              <w:spacing w:after="0"/>
              <w:rPr>
                <w:sz w:val="19"/>
                <w:szCs w:val="19"/>
                <w:color w:val="auto"/>
              </w:rPr>
            </w:pPr>
          </w:p>
        </w:tc>
        <w:tc>
          <w:tcPr>
            <w:tcW w:w="14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Indefinite</w:t>
            </w:r>
          </w:p>
        </w:tc>
        <w:tc>
          <w:tcPr>
            <w:tcW w:w="320" w:type="dxa"/>
            <w:vAlign w:val="bottom"/>
            <w:tcBorders>
              <w:top w:val="single" w:sz="8" w:color="CFF0FC"/>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28,683</w:t>
            </w:r>
          </w:p>
        </w:tc>
        <w:tc>
          <w:tcPr>
            <w:tcW w:w="20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7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28,449</w:t>
            </w:r>
          </w:p>
        </w:tc>
        <w:tc>
          <w:tcPr>
            <w:tcW w:w="120" w:type="dxa"/>
            <w:vAlign w:val="bottom"/>
            <w:tcBorders>
              <w:top w:val="single" w:sz="8" w:color="CFF0FC"/>
            </w:tcBorders>
            <w:shd w:val="clear" w:color="auto" w:fill="CFF0FC"/>
          </w:tcPr>
          <w:p>
            <w:pPr>
              <w:spacing w:after="0"/>
              <w:rPr>
                <w:sz w:val="19"/>
                <w:szCs w:val="19"/>
                <w:color w:val="auto"/>
              </w:rPr>
            </w:pPr>
          </w:p>
        </w:tc>
      </w:tr>
      <w:tr>
        <w:trPr>
          <w:trHeight w:val="230"/>
        </w:trPr>
        <w:tc>
          <w:tcPr>
            <w:tcW w:w="5120" w:type="dxa"/>
            <w:vAlign w:val="bottom"/>
            <w:gridSpan w:val="2"/>
          </w:tcPr>
          <w:p>
            <w:pPr>
              <w:spacing w:after="0"/>
              <w:rPr>
                <w:sz w:val="20"/>
                <w:szCs w:val="20"/>
                <w:color w:val="auto"/>
              </w:rPr>
            </w:pPr>
            <w:r>
              <w:rPr>
                <w:rFonts w:ascii="Arial" w:cs="Arial" w:eastAsia="Arial" w:hAnsi="Arial"/>
                <w:sz w:val="18"/>
                <w:szCs w:val="18"/>
                <w:color w:val="auto"/>
              </w:rPr>
              <w:t>Building and improvements</w:t>
            </w:r>
          </w:p>
        </w:tc>
        <w:tc>
          <w:tcPr>
            <w:tcW w:w="1740" w:type="dxa"/>
            <w:vAlign w:val="bottom"/>
            <w:gridSpan w:val="2"/>
          </w:tcPr>
          <w:p>
            <w:pPr>
              <w:jc w:val="right"/>
              <w:ind w:right="340"/>
              <w:spacing w:after="0"/>
              <w:rPr>
                <w:sz w:val="20"/>
                <w:szCs w:val="20"/>
                <w:color w:val="auto"/>
              </w:rPr>
            </w:pPr>
            <w:r>
              <w:rPr>
                <w:rFonts w:ascii="Arial" w:cs="Arial" w:eastAsia="Arial" w:hAnsi="Arial"/>
                <w:sz w:val="18"/>
                <w:szCs w:val="18"/>
                <w:color w:val="auto"/>
              </w:rPr>
              <w:t>3 - 40 years</w:t>
            </w:r>
          </w:p>
        </w:tc>
        <w:tc>
          <w:tcPr>
            <w:tcW w:w="30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360,572</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8"/>
                <w:szCs w:val="18"/>
                <w:color w:val="auto"/>
              </w:rPr>
              <w:t>359,980</w:t>
            </w:r>
          </w:p>
        </w:tc>
        <w:tc>
          <w:tcPr>
            <w:tcW w:w="120" w:type="dxa"/>
            <w:vAlign w:val="bottom"/>
          </w:tcPr>
          <w:p>
            <w:pPr>
              <w:spacing w:after="0"/>
              <w:rPr>
                <w:sz w:val="19"/>
                <w:szCs w:val="19"/>
                <w:color w:val="auto"/>
              </w:rPr>
            </w:pPr>
          </w:p>
        </w:tc>
      </w:tr>
      <w:tr>
        <w:trPr>
          <w:trHeight w:val="229"/>
        </w:trPr>
        <w:tc>
          <w:tcPr>
            <w:tcW w:w="512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Poles</w:t>
            </w:r>
          </w:p>
        </w:tc>
        <w:tc>
          <w:tcPr>
            <w:tcW w:w="1740" w:type="dxa"/>
            <w:vAlign w:val="bottom"/>
            <w:gridSpan w:val="2"/>
            <w:shd w:val="clear" w:color="auto" w:fill="CFF0FC"/>
          </w:tcPr>
          <w:p>
            <w:pPr>
              <w:jc w:val="right"/>
              <w:ind w:right="340"/>
              <w:spacing w:after="0"/>
              <w:rPr>
                <w:sz w:val="20"/>
                <w:szCs w:val="20"/>
                <w:color w:val="auto"/>
              </w:rPr>
            </w:pPr>
            <w:r>
              <w:rPr>
                <w:rFonts w:ascii="Arial" w:cs="Arial" w:eastAsia="Arial" w:hAnsi="Arial"/>
                <w:sz w:val="18"/>
                <w:szCs w:val="18"/>
                <w:color w:val="auto"/>
              </w:rPr>
              <w:t>30 years</w:t>
            </w:r>
          </w:p>
        </w:tc>
        <w:tc>
          <w:tcPr>
            <w:tcW w:w="300" w:type="dxa"/>
            <w:vAlign w:val="bottom"/>
            <w:shd w:val="clear" w:color="auto" w:fill="CFF0FC"/>
          </w:tcPr>
          <w:p>
            <w:pPr>
              <w:spacing w:after="0"/>
              <w:rPr>
                <w:sz w:val="19"/>
                <w:szCs w:val="19"/>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285,474</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281,130</w:t>
            </w:r>
          </w:p>
        </w:tc>
        <w:tc>
          <w:tcPr>
            <w:tcW w:w="120" w:type="dxa"/>
            <w:vAlign w:val="bottom"/>
            <w:shd w:val="clear" w:color="auto" w:fill="CFF0FC"/>
          </w:tcPr>
          <w:p>
            <w:pPr>
              <w:spacing w:after="0"/>
              <w:rPr>
                <w:sz w:val="19"/>
                <w:szCs w:val="19"/>
                <w:color w:val="auto"/>
              </w:rPr>
            </w:pPr>
          </w:p>
        </w:tc>
      </w:tr>
      <w:tr>
        <w:trPr>
          <w:trHeight w:val="229"/>
        </w:trPr>
        <w:tc>
          <w:tcPr>
            <w:tcW w:w="5120" w:type="dxa"/>
            <w:vAlign w:val="bottom"/>
            <w:gridSpan w:val="2"/>
          </w:tcPr>
          <w:p>
            <w:pPr>
              <w:spacing w:after="0"/>
              <w:rPr>
                <w:sz w:val="20"/>
                <w:szCs w:val="20"/>
                <w:color w:val="auto"/>
              </w:rPr>
            </w:pPr>
            <w:r>
              <w:rPr>
                <w:rFonts w:ascii="Arial" w:cs="Arial" w:eastAsia="Arial" w:hAnsi="Arial"/>
                <w:sz w:val="18"/>
                <w:szCs w:val="18"/>
                <w:color w:val="auto"/>
              </w:rPr>
              <w:t>Fiber</w:t>
            </w:r>
          </w:p>
        </w:tc>
        <w:tc>
          <w:tcPr>
            <w:tcW w:w="1740" w:type="dxa"/>
            <w:vAlign w:val="bottom"/>
            <w:gridSpan w:val="2"/>
          </w:tcPr>
          <w:p>
            <w:pPr>
              <w:jc w:val="right"/>
              <w:ind w:right="340"/>
              <w:spacing w:after="0"/>
              <w:rPr>
                <w:sz w:val="20"/>
                <w:szCs w:val="20"/>
                <w:color w:val="auto"/>
              </w:rPr>
            </w:pPr>
            <w:r>
              <w:rPr>
                <w:rFonts w:ascii="Arial" w:cs="Arial" w:eastAsia="Arial" w:hAnsi="Arial"/>
                <w:sz w:val="18"/>
                <w:szCs w:val="18"/>
                <w:color w:val="auto"/>
              </w:rPr>
              <w:t>30 years</w:t>
            </w:r>
          </w:p>
        </w:tc>
        <w:tc>
          <w:tcPr>
            <w:tcW w:w="30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4,164,962</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8"/>
                <w:szCs w:val="18"/>
                <w:color w:val="auto"/>
              </w:rPr>
              <w:t>4,107,519</w:t>
            </w:r>
          </w:p>
        </w:tc>
        <w:tc>
          <w:tcPr>
            <w:tcW w:w="120" w:type="dxa"/>
            <w:vAlign w:val="bottom"/>
          </w:tcPr>
          <w:p>
            <w:pPr>
              <w:spacing w:after="0"/>
              <w:rPr>
                <w:sz w:val="19"/>
                <w:szCs w:val="19"/>
                <w:color w:val="auto"/>
              </w:rPr>
            </w:pPr>
          </w:p>
        </w:tc>
      </w:tr>
      <w:tr>
        <w:trPr>
          <w:trHeight w:val="230"/>
        </w:trPr>
        <w:tc>
          <w:tcPr>
            <w:tcW w:w="512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Equipment</w:t>
            </w:r>
          </w:p>
        </w:tc>
        <w:tc>
          <w:tcPr>
            <w:tcW w:w="1740" w:type="dxa"/>
            <w:vAlign w:val="bottom"/>
            <w:gridSpan w:val="2"/>
            <w:shd w:val="clear" w:color="auto" w:fill="CFF0FC"/>
          </w:tcPr>
          <w:p>
            <w:pPr>
              <w:jc w:val="right"/>
              <w:ind w:right="340"/>
              <w:spacing w:after="0"/>
              <w:rPr>
                <w:sz w:val="20"/>
                <w:szCs w:val="20"/>
                <w:color w:val="auto"/>
              </w:rPr>
            </w:pPr>
            <w:r>
              <w:rPr>
                <w:rFonts w:ascii="Arial" w:cs="Arial" w:eastAsia="Arial" w:hAnsi="Arial"/>
                <w:sz w:val="18"/>
                <w:szCs w:val="18"/>
                <w:color w:val="auto"/>
              </w:rPr>
              <w:t>5 - 7 years</w:t>
            </w:r>
          </w:p>
        </w:tc>
        <w:tc>
          <w:tcPr>
            <w:tcW w:w="300" w:type="dxa"/>
            <w:vAlign w:val="bottom"/>
            <w:shd w:val="clear" w:color="auto" w:fill="CFF0FC"/>
          </w:tcPr>
          <w:p>
            <w:pPr>
              <w:spacing w:after="0"/>
              <w:rPr>
                <w:sz w:val="19"/>
                <w:szCs w:val="19"/>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348,114</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331,761</w:t>
            </w:r>
          </w:p>
        </w:tc>
        <w:tc>
          <w:tcPr>
            <w:tcW w:w="120" w:type="dxa"/>
            <w:vAlign w:val="bottom"/>
            <w:shd w:val="clear" w:color="auto" w:fill="CFF0FC"/>
          </w:tcPr>
          <w:p>
            <w:pPr>
              <w:spacing w:after="0"/>
              <w:rPr>
                <w:sz w:val="19"/>
                <w:szCs w:val="19"/>
                <w:color w:val="auto"/>
              </w:rPr>
            </w:pPr>
          </w:p>
        </w:tc>
      </w:tr>
      <w:tr>
        <w:trPr>
          <w:trHeight w:val="229"/>
        </w:trPr>
        <w:tc>
          <w:tcPr>
            <w:tcW w:w="5120" w:type="dxa"/>
            <w:vAlign w:val="bottom"/>
            <w:gridSpan w:val="2"/>
          </w:tcPr>
          <w:p>
            <w:pPr>
              <w:spacing w:after="0"/>
              <w:rPr>
                <w:sz w:val="20"/>
                <w:szCs w:val="20"/>
                <w:color w:val="auto"/>
              </w:rPr>
            </w:pPr>
            <w:r>
              <w:rPr>
                <w:rFonts w:ascii="Arial" w:cs="Arial" w:eastAsia="Arial" w:hAnsi="Arial"/>
                <w:sz w:val="18"/>
                <w:szCs w:val="18"/>
                <w:color w:val="auto"/>
              </w:rPr>
              <w:t>Copper</w:t>
            </w:r>
          </w:p>
        </w:tc>
        <w:tc>
          <w:tcPr>
            <w:tcW w:w="1740" w:type="dxa"/>
            <w:vAlign w:val="bottom"/>
            <w:gridSpan w:val="2"/>
          </w:tcPr>
          <w:p>
            <w:pPr>
              <w:jc w:val="right"/>
              <w:ind w:right="340"/>
              <w:spacing w:after="0"/>
              <w:rPr>
                <w:sz w:val="20"/>
                <w:szCs w:val="20"/>
                <w:color w:val="auto"/>
              </w:rPr>
            </w:pPr>
            <w:r>
              <w:rPr>
                <w:rFonts w:ascii="Arial" w:cs="Arial" w:eastAsia="Arial" w:hAnsi="Arial"/>
                <w:sz w:val="18"/>
                <w:szCs w:val="18"/>
                <w:color w:val="auto"/>
              </w:rPr>
              <w:t>20 years</w:t>
            </w:r>
          </w:p>
        </w:tc>
        <w:tc>
          <w:tcPr>
            <w:tcW w:w="30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3,933,940</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8"/>
                <w:szCs w:val="18"/>
                <w:color w:val="auto"/>
              </w:rPr>
              <w:t>3,918,281</w:t>
            </w:r>
          </w:p>
        </w:tc>
        <w:tc>
          <w:tcPr>
            <w:tcW w:w="120" w:type="dxa"/>
            <w:vAlign w:val="bottom"/>
          </w:tcPr>
          <w:p>
            <w:pPr>
              <w:spacing w:after="0"/>
              <w:rPr>
                <w:sz w:val="19"/>
                <w:szCs w:val="19"/>
                <w:color w:val="auto"/>
              </w:rPr>
            </w:pPr>
          </w:p>
        </w:tc>
      </w:tr>
      <w:tr>
        <w:trPr>
          <w:trHeight w:val="229"/>
        </w:trPr>
        <w:tc>
          <w:tcPr>
            <w:tcW w:w="512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Conduit</w:t>
            </w:r>
          </w:p>
        </w:tc>
        <w:tc>
          <w:tcPr>
            <w:tcW w:w="1740" w:type="dxa"/>
            <w:vAlign w:val="bottom"/>
            <w:gridSpan w:val="2"/>
            <w:shd w:val="clear" w:color="auto" w:fill="CFF0FC"/>
          </w:tcPr>
          <w:p>
            <w:pPr>
              <w:jc w:val="right"/>
              <w:ind w:right="340"/>
              <w:spacing w:after="0"/>
              <w:rPr>
                <w:sz w:val="20"/>
                <w:szCs w:val="20"/>
                <w:color w:val="auto"/>
              </w:rPr>
            </w:pPr>
            <w:r>
              <w:rPr>
                <w:rFonts w:ascii="Arial" w:cs="Arial" w:eastAsia="Arial" w:hAnsi="Arial"/>
                <w:sz w:val="18"/>
                <w:szCs w:val="18"/>
                <w:color w:val="auto"/>
              </w:rPr>
              <w:t>30 years</w:t>
            </w:r>
          </w:p>
        </w:tc>
        <w:tc>
          <w:tcPr>
            <w:tcW w:w="300" w:type="dxa"/>
            <w:vAlign w:val="bottom"/>
            <w:shd w:val="clear" w:color="auto" w:fill="CFF0FC"/>
          </w:tcPr>
          <w:p>
            <w:pPr>
              <w:spacing w:after="0"/>
              <w:rPr>
                <w:sz w:val="19"/>
                <w:szCs w:val="19"/>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89,859</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89,859</w:t>
            </w:r>
          </w:p>
        </w:tc>
        <w:tc>
          <w:tcPr>
            <w:tcW w:w="120" w:type="dxa"/>
            <w:vAlign w:val="bottom"/>
            <w:shd w:val="clear" w:color="auto" w:fill="CFF0FC"/>
          </w:tcPr>
          <w:p>
            <w:pPr>
              <w:spacing w:after="0"/>
              <w:rPr>
                <w:sz w:val="19"/>
                <w:szCs w:val="19"/>
                <w:color w:val="auto"/>
              </w:rPr>
            </w:pPr>
          </w:p>
        </w:tc>
      </w:tr>
      <w:tr>
        <w:trPr>
          <w:trHeight w:val="230"/>
        </w:trPr>
        <w:tc>
          <w:tcPr>
            <w:tcW w:w="5120" w:type="dxa"/>
            <w:vAlign w:val="bottom"/>
            <w:gridSpan w:val="2"/>
          </w:tcPr>
          <w:p>
            <w:pPr>
              <w:spacing w:after="0"/>
              <w:rPr>
                <w:sz w:val="20"/>
                <w:szCs w:val="20"/>
                <w:color w:val="auto"/>
              </w:rPr>
            </w:pPr>
            <w:r>
              <w:rPr>
                <w:rFonts w:ascii="Arial" w:cs="Arial" w:eastAsia="Arial" w:hAnsi="Arial"/>
                <w:sz w:val="18"/>
                <w:szCs w:val="18"/>
                <w:color w:val="auto"/>
              </w:rPr>
              <w:t>Tower assets</w:t>
            </w:r>
          </w:p>
        </w:tc>
        <w:tc>
          <w:tcPr>
            <w:tcW w:w="1740" w:type="dxa"/>
            <w:vAlign w:val="bottom"/>
            <w:gridSpan w:val="2"/>
          </w:tcPr>
          <w:p>
            <w:pPr>
              <w:jc w:val="right"/>
              <w:ind w:right="340"/>
              <w:spacing w:after="0"/>
              <w:rPr>
                <w:sz w:val="20"/>
                <w:szCs w:val="20"/>
                <w:color w:val="auto"/>
              </w:rPr>
            </w:pPr>
            <w:r>
              <w:rPr>
                <w:rFonts w:ascii="Arial" w:cs="Arial" w:eastAsia="Arial" w:hAnsi="Arial"/>
                <w:sz w:val="18"/>
                <w:szCs w:val="18"/>
                <w:color w:val="auto"/>
              </w:rPr>
              <w:t>20 years</w:t>
            </w:r>
          </w:p>
        </w:tc>
        <w:tc>
          <w:tcPr>
            <w:tcW w:w="30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8,544</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8"/>
                <w:szCs w:val="18"/>
                <w:color w:val="auto"/>
              </w:rPr>
              <w:t>8,544</w:t>
            </w:r>
          </w:p>
        </w:tc>
        <w:tc>
          <w:tcPr>
            <w:tcW w:w="120" w:type="dxa"/>
            <w:vAlign w:val="bottom"/>
          </w:tcPr>
          <w:p>
            <w:pPr>
              <w:spacing w:after="0"/>
              <w:rPr>
                <w:sz w:val="19"/>
                <w:szCs w:val="19"/>
                <w:color w:val="auto"/>
              </w:rPr>
            </w:pPr>
          </w:p>
        </w:tc>
      </w:tr>
      <w:tr>
        <w:trPr>
          <w:trHeight w:val="229"/>
        </w:trPr>
        <w:tc>
          <w:tcPr>
            <w:tcW w:w="512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Finance lease assets</w:t>
            </w:r>
          </w:p>
        </w:tc>
        <w:tc>
          <w:tcPr>
            <w:tcW w:w="174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(1)</w:t>
            </w:r>
          </w:p>
        </w:tc>
        <w:tc>
          <w:tcPr>
            <w:tcW w:w="300" w:type="dxa"/>
            <w:vAlign w:val="bottom"/>
            <w:shd w:val="clear" w:color="auto" w:fill="CFF0FC"/>
          </w:tcPr>
          <w:p>
            <w:pPr>
              <w:spacing w:after="0"/>
              <w:rPr>
                <w:sz w:val="19"/>
                <w:szCs w:val="19"/>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72,284</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72,284</w:t>
            </w:r>
          </w:p>
        </w:tc>
        <w:tc>
          <w:tcPr>
            <w:tcW w:w="120" w:type="dxa"/>
            <w:vAlign w:val="bottom"/>
            <w:shd w:val="clear" w:color="auto" w:fill="CFF0FC"/>
          </w:tcPr>
          <w:p>
            <w:pPr>
              <w:spacing w:after="0"/>
              <w:rPr>
                <w:sz w:val="19"/>
                <w:szCs w:val="19"/>
                <w:color w:val="auto"/>
              </w:rPr>
            </w:pPr>
          </w:p>
        </w:tc>
      </w:tr>
      <w:tr>
        <w:trPr>
          <w:trHeight w:val="230"/>
        </w:trPr>
        <w:tc>
          <w:tcPr>
            <w:tcW w:w="5120" w:type="dxa"/>
            <w:vAlign w:val="bottom"/>
            <w:gridSpan w:val="2"/>
          </w:tcPr>
          <w:p>
            <w:pPr>
              <w:spacing w:after="0"/>
              <w:rPr>
                <w:sz w:val="20"/>
                <w:szCs w:val="20"/>
                <w:color w:val="auto"/>
              </w:rPr>
            </w:pPr>
            <w:r>
              <w:rPr>
                <w:rFonts w:ascii="Arial" w:cs="Arial" w:eastAsia="Arial" w:hAnsi="Arial"/>
                <w:sz w:val="18"/>
                <w:szCs w:val="18"/>
                <w:color w:val="auto"/>
              </w:rPr>
              <w:t>Other assets</w:t>
            </w:r>
          </w:p>
        </w:tc>
        <w:tc>
          <w:tcPr>
            <w:tcW w:w="1740" w:type="dxa"/>
            <w:vAlign w:val="bottom"/>
            <w:gridSpan w:val="2"/>
          </w:tcPr>
          <w:p>
            <w:pPr>
              <w:jc w:val="right"/>
              <w:ind w:right="340"/>
              <w:spacing w:after="0"/>
              <w:rPr>
                <w:sz w:val="20"/>
                <w:szCs w:val="20"/>
                <w:color w:val="auto"/>
              </w:rPr>
            </w:pPr>
            <w:r>
              <w:rPr>
                <w:rFonts w:ascii="Arial" w:cs="Arial" w:eastAsia="Arial" w:hAnsi="Arial"/>
                <w:sz w:val="18"/>
                <w:szCs w:val="18"/>
                <w:color w:val="auto"/>
              </w:rPr>
              <w:t>15 - 20 years</w:t>
            </w:r>
          </w:p>
        </w:tc>
        <w:tc>
          <w:tcPr>
            <w:tcW w:w="30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10,578</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8"/>
                <w:szCs w:val="18"/>
                <w:color w:val="auto"/>
              </w:rPr>
              <w:t>10,652</w:t>
            </w:r>
          </w:p>
        </w:tc>
        <w:tc>
          <w:tcPr>
            <w:tcW w:w="120" w:type="dxa"/>
            <w:vAlign w:val="bottom"/>
          </w:tcPr>
          <w:p>
            <w:pPr>
              <w:spacing w:after="0"/>
              <w:rPr>
                <w:sz w:val="19"/>
                <w:szCs w:val="19"/>
                <w:color w:val="auto"/>
              </w:rPr>
            </w:pPr>
          </w:p>
        </w:tc>
      </w:tr>
      <w:tr>
        <w:trPr>
          <w:trHeight w:val="229"/>
        </w:trPr>
        <w:tc>
          <w:tcPr>
            <w:tcW w:w="512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Corporate assets</w:t>
            </w:r>
          </w:p>
        </w:tc>
        <w:tc>
          <w:tcPr>
            <w:tcW w:w="1740" w:type="dxa"/>
            <w:vAlign w:val="bottom"/>
            <w:gridSpan w:val="2"/>
            <w:shd w:val="clear" w:color="auto" w:fill="CFF0FC"/>
          </w:tcPr>
          <w:p>
            <w:pPr>
              <w:jc w:val="right"/>
              <w:ind w:right="340"/>
              <w:spacing w:after="0"/>
              <w:rPr>
                <w:sz w:val="20"/>
                <w:szCs w:val="20"/>
                <w:color w:val="auto"/>
              </w:rPr>
            </w:pPr>
            <w:r>
              <w:rPr>
                <w:rFonts w:ascii="Arial" w:cs="Arial" w:eastAsia="Arial" w:hAnsi="Arial"/>
                <w:sz w:val="18"/>
                <w:szCs w:val="18"/>
                <w:color w:val="auto"/>
              </w:rPr>
              <w:t>3 - 7 years</w:t>
            </w:r>
          </w:p>
        </w:tc>
        <w:tc>
          <w:tcPr>
            <w:tcW w:w="300" w:type="dxa"/>
            <w:vAlign w:val="bottom"/>
            <w:shd w:val="clear" w:color="auto" w:fill="CFF0FC"/>
          </w:tcPr>
          <w:p>
            <w:pPr>
              <w:spacing w:after="0"/>
              <w:rPr>
                <w:sz w:val="19"/>
                <w:szCs w:val="19"/>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14,581</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14,326</w:t>
            </w:r>
          </w:p>
        </w:tc>
        <w:tc>
          <w:tcPr>
            <w:tcW w:w="120" w:type="dxa"/>
            <w:vAlign w:val="bottom"/>
            <w:shd w:val="clear" w:color="auto" w:fill="CFF0FC"/>
          </w:tcPr>
          <w:p>
            <w:pPr>
              <w:spacing w:after="0"/>
              <w:rPr>
                <w:sz w:val="19"/>
                <w:szCs w:val="19"/>
                <w:color w:val="auto"/>
              </w:rPr>
            </w:pPr>
          </w:p>
        </w:tc>
      </w:tr>
      <w:tr>
        <w:trPr>
          <w:trHeight w:val="229"/>
        </w:trPr>
        <w:tc>
          <w:tcPr>
            <w:tcW w:w="5120" w:type="dxa"/>
            <w:vAlign w:val="bottom"/>
            <w:tcBorders>
              <w:bottom w:val="single" w:sz="8" w:color="CFF0FC"/>
            </w:tcBorders>
            <w:gridSpan w:val="2"/>
          </w:tcPr>
          <w:p>
            <w:pPr>
              <w:spacing w:after="0"/>
              <w:rPr>
                <w:sz w:val="20"/>
                <w:szCs w:val="20"/>
                <w:color w:val="auto"/>
              </w:rPr>
            </w:pPr>
            <w:r>
              <w:rPr>
                <w:rFonts w:ascii="Arial" w:cs="Arial" w:eastAsia="Arial" w:hAnsi="Arial"/>
                <w:sz w:val="18"/>
                <w:szCs w:val="18"/>
                <w:color w:val="auto"/>
              </w:rPr>
              <w:t>Construction in progress</w:t>
            </w:r>
          </w:p>
        </w:tc>
        <w:tc>
          <w:tcPr>
            <w:tcW w:w="1740" w:type="dxa"/>
            <w:vAlign w:val="bottom"/>
            <w:tcBorders>
              <w:bottom w:val="single" w:sz="8" w:color="CFF0FC"/>
            </w:tcBorders>
            <w:gridSpan w:val="2"/>
          </w:tcPr>
          <w:p>
            <w:pPr>
              <w:jc w:val="right"/>
              <w:ind w:right="260"/>
              <w:spacing w:after="0"/>
              <w:rPr>
                <w:sz w:val="20"/>
                <w:szCs w:val="20"/>
                <w:color w:val="auto"/>
              </w:rPr>
            </w:pPr>
            <w:r>
              <w:rPr>
                <w:rFonts w:ascii="Arial" w:cs="Arial" w:eastAsia="Arial" w:hAnsi="Arial"/>
                <w:sz w:val="18"/>
                <w:szCs w:val="18"/>
                <w:color w:val="auto"/>
              </w:rPr>
              <w:t>(1)</w:t>
            </w:r>
          </w:p>
        </w:tc>
        <w:tc>
          <w:tcPr>
            <w:tcW w:w="30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32,873</w:t>
            </w:r>
          </w:p>
        </w:tc>
        <w:tc>
          <w:tcPr>
            <w:tcW w:w="20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27,366</w:t>
            </w:r>
          </w:p>
        </w:tc>
        <w:tc>
          <w:tcPr>
            <w:tcW w:w="120" w:type="dxa"/>
            <w:vAlign w:val="bottom"/>
            <w:tcBorders>
              <w:bottom w:val="single" w:sz="8" w:color="CFF0FC"/>
            </w:tcBorders>
          </w:tcPr>
          <w:p>
            <w:pPr>
              <w:spacing w:after="0"/>
              <w:rPr>
                <w:sz w:val="19"/>
                <w:szCs w:val="19"/>
                <w:color w:val="auto"/>
              </w:rPr>
            </w:pPr>
          </w:p>
        </w:tc>
      </w:tr>
      <w:tr>
        <w:trPr>
          <w:trHeight w:val="223"/>
        </w:trPr>
        <w:tc>
          <w:tcPr>
            <w:tcW w:w="49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4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9,350,464</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9,250,151</w:t>
            </w:r>
          </w:p>
        </w:tc>
        <w:tc>
          <w:tcPr>
            <w:tcW w:w="120" w:type="dxa"/>
            <w:vAlign w:val="bottom"/>
            <w:shd w:val="clear" w:color="auto" w:fill="CFF0FC"/>
          </w:tcPr>
          <w:p>
            <w:pPr>
              <w:spacing w:after="0"/>
              <w:rPr>
                <w:sz w:val="19"/>
                <w:szCs w:val="19"/>
                <w:color w:val="auto"/>
              </w:rPr>
            </w:pPr>
          </w:p>
        </w:tc>
      </w:tr>
      <w:tr>
        <w:trPr>
          <w:trHeight w:val="229"/>
        </w:trPr>
        <w:tc>
          <w:tcPr>
            <w:tcW w:w="5120" w:type="dxa"/>
            <w:vAlign w:val="bottom"/>
            <w:gridSpan w:val="2"/>
          </w:tcPr>
          <w:p>
            <w:pPr>
              <w:spacing w:after="0"/>
              <w:rPr>
                <w:sz w:val="20"/>
                <w:szCs w:val="20"/>
                <w:color w:val="auto"/>
              </w:rPr>
            </w:pPr>
            <w:r>
              <w:rPr>
                <w:rFonts w:ascii="Arial" w:cs="Arial" w:eastAsia="Arial" w:hAnsi="Arial"/>
                <w:sz w:val="18"/>
                <w:szCs w:val="18"/>
                <w:color w:val="auto"/>
              </w:rPr>
              <w:t>Less accumulated depreciation</w:t>
            </w:r>
          </w:p>
        </w:tc>
        <w:tc>
          <w:tcPr>
            <w:tcW w:w="14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860" w:type="dxa"/>
            <w:vAlign w:val="bottom"/>
            <w:gridSpan w:val="2"/>
          </w:tcPr>
          <w:p>
            <w:pPr>
              <w:jc w:val="right"/>
              <w:ind w:right="140"/>
              <w:spacing w:after="0"/>
              <w:rPr>
                <w:sz w:val="20"/>
                <w:szCs w:val="20"/>
                <w:color w:val="auto"/>
              </w:rPr>
            </w:pPr>
            <w:r>
              <w:rPr>
                <w:rFonts w:ascii="Arial" w:cs="Arial" w:eastAsia="Arial" w:hAnsi="Arial"/>
                <w:sz w:val="18"/>
                <w:szCs w:val="18"/>
                <w:color w:val="auto"/>
              </w:rPr>
              <w:t>(5,803,963)</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40" w:type="dxa"/>
            <w:vAlign w:val="bottom"/>
            <w:gridSpan w:val="2"/>
          </w:tcPr>
          <w:p>
            <w:pPr>
              <w:jc w:val="right"/>
              <w:ind w:right="60"/>
              <w:spacing w:after="0"/>
              <w:rPr>
                <w:sz w:val="20"/>
                <w:szCs w:val="20"/>
                <w:color w:val="auto"/>
              </w:rPr>
            </w:pPr>
            <w:r>
              <w:rPr>
                <w:rFonts w:ascii="Arial" w:cs="Arial" w:eastAsia="Arial" w:hAnsi="Arial"/>
                <w:sz w:val="18"/>
                <w:szCs w:val="18"/>
                <w:color w:val="auto"/>
              </w:rPr>
              <w:t>(5,741,212)</w:t>
            </w:r>
          </w:p>
        </w:tc>
      </w:tr>
      <w:tr>
        <w:trPr>
          <w:trHeight w:val="223"/>
        </w:trPr>
        <w:tc>
          <w:tcPr>
            <w:tcW w:w="5120" w:type="dxa"/>
            <w:vAlign w:val="bottom"/>
            <w:tcBorders>
              <w:top w:val="single" w:sz="8" w:color="CFF0FC"/>
              <w:bottom w:val="single" w:sz="8" w:color="CFF0FC"/>
            </w:tcBorders>
            <w:gridSpan w:val="2"/>
            <w:shd w:val="clear" w:color="auto" w:fill="CFF0FC"/>
          </w:tcPr>
          <w:p>
            <w:pPr>
              <w:spacing w:after="0"/>
              <w:rPr>
                <w:sz w:val="20"/>
                <w:szCs w:val="20"/>
                <w:color w:val="auto"/>
              </w:rPr>
            </w:pPr>
            <w:r>
              <w:rPr>
                <w:rFonts w:ascii="Arial" w:cs="Arial" w:eastAsia="Arial" w:hAnsi="Arial"/>
                <w:sz w:val="18"/>
                <w:szCs w:val="18"/>
                <w:color w:val="auto"/>
              </w:rPr>
              <w:t>Net property, plant and equipment</w:t>
            </w:r>
          </w:p>
        </w:tc>
        <w:tc>
          <w:tcPr>
            <w:tcW w:w="1420" w:type="dxa"/>
            <w:vAlign w:val="bottom"/>
            <w:tcBorders>
              <w:top w:val="single" w:sz="8" w:color="CFF0FC"/>
              <w:bottom w:val="single" w:sz="8" w:color="CFF0FC"/>
            </w:tcBorders>
            <w:shd w:val="clear" w:color="auto" w:fill="CFF0FC"/>
          </w:tcPr>
          <w:p>
            <w:pPr>
              <w:spacing w:after="0"/>
              <w:rPr>
                <w:sz w:val="19"/>
                <w:szCs w:val="19"/>
                <w:color w:val="auto"/>
              </w:rPr>
            </w:pPr>
          </w:p>
        </w:tc>
        <w:tc>
          <w:tcPr>
            <w:tcW w:w="320" w:type="dxa"/>
            <w:vAlign w:val="bottom"/>
            <w:tcBorders>
              <w:top w:val="single" w:sz="8" w:color="CFF0FC"/>
              <w:bottom w:val="single" w:sz="8" w:color="CFF0FC"/>
            </w:tcBorders>
            <w:shd w:val="clear" w:color="auto" w:fill="CFF0FC"/>
          </w:tcPr>
          <w:p>
            <w:pPr>
              <w:spacing w:after="0"/>
              <w:rPr>
                <w:sz w:val="19"/>
                <w:szCs w:val="19"/>
                <w:color w:val="auto"/>
              </w:rPr>
            </w:pPr>
          </w:p>
        </w:tc>
        <w:tc>
          <w:tcPr>
            <w:tcW w:w="300" w:type="dxa"/>
            <w:vAlign w:val="bottom"/>
            <w:tcBorders>
              <w:top w:val="single" w:sz="8" w:color="auto"/>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3,546,501</w:t>
            </w:r>
          </w:p>
        </w:tc>
        <w:tc>
          <w:tcPr>
            <w:tcW w:w="20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7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3,508,939</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r>
      <w:tr>
        <w:trPr>
          <w:trHeight w:val="20"/>
        </w:trPr>
        <w:tc>
          <w:tcPr>
            <w:tcW w:w="49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rPr>
          <w:sz w:val="20"/>
          <w:szCs w:val="20"/>
          <w:color w:val="auto"/>
        </w:rPr>
      </w:pPr>
      <w:r>
        <w:rPr>
          <w:rFonts w:ascii="Arial" w:cs="Arial" w:eastAsia="Arial" w:hAnsi="Arial"/>
          <w:sz w:val="14"/>
          <w:szCs w:val="14"/>
          <w:color w:val="auto"/>
        </w:rPr>
        <w:t>(1) See our Annual Report for property, plant and equipment accounting policies.</w:t>
      </w: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color w:val="auto"/>
        </w:rPr>
        <w:t>Depreciation expense for the three months ended March 31, 2022 and 2021 was $64.0 million and $66.2 million, respectively.</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Derivative Instruments and Hedging Activities</w:t>
      </w:r>
    </w:p>
    <w:p>
      <w:pPr>
        <w:spacing w:after="0" w:line="229" w:lineRule="exact"/>
        <w:rPr>
          <w:sz w:val="20"/>
          <w:szCs w:val="20"/>
          <w:color w:val="auto"/>
        </w:rPr>
      </w:pPr>
    </w:p>
    <w:p>
      <w:pPr>
        <w:ind w:right="540"/>
        <w:spacing w:after="0" w:line="342" w:lineRule="auto"/>
        <w:rPr>
          <w:sz w:val="20"/>
          <w:szCs w:val="20"/>
          <w:color w:val="auto"/>
        </w:rPr>
      </w:pPr>
      <w:r>
        <w:rPr>
          <w:rFonts w:ascii="Arial" w:cs="Arial" w:eastAsia="Arial" w:hAnsi="Arial"/>
          <w:sz w:val="16"/>
          <w:szCs w:val="16"/>
          <w:color w:val="auto"/>
        </w:rPr>
        <w:t>The Company uses derivative instruments to mitigate the effects of interest rate volatility inherent in our variable rate debt, which could unfavorably impact our future earnings and forecasted cash flows. The Company does not use derivative instruments for speculative or trading purposes.</w:t>
      </w:r>
    </w:p>
    <w:p>
      <w:pPr>
        <w:spacing w:after="0" w:line="124"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 xml:space="preserve">On April 27, 2015, we entered into fixed for floating interest rate swap agreements to mitigate the interest rate risk inherent in our variable rate senior secured term loan B facility. These interest rate swaps were designated as cash flow hedges and have a notional value of $2.0 billion and mature on October 24, 2022. </w:t>
      </w:r>
      <w:r>
        <w:rPr>
          <w:rFonts w:ascii="Arial" w:cs="Arial" w:eastAsia="Arial" w:hAnsi="Arial"/>
          <w:sz w:val="18"/>
          <w:szCs w:val="18"/>
          <w:color w:val="1F2322"/>
        </w:rPr>
        <w:t>As result of the repayment of the Company’s senior secured term loan B facility in February 2020, the Company entered into receive-fixed</w:t>
      </w:r>
      <w:r>
        <w:rPr>
          <w:rFonts w:ascii="Arial" w:cs="Arial" w:eastAsia="Arial" w:hAnsi="Arial"/>
          <w:sz w:val="18"/>
          <w:szCs w:val="18"/>
          <w:color w:val="auto"/>
        </w:rPr>
        <w:t xml:space="preserve"> </w:t>
      </w:r>
      <w:r>
        <w:rPr>
          <w:rFonts w:ascii="Arial" w:cs="Arial" w:eastAsia="Arial" w:hAnsi="Arial"/>
          <w:sz w:val="18"/>
          <w:szCs w:val="18"/>
          <w:color w:val="1F2322"/>
        </w:rPr>
        <w:t>interest rate swaps to offset its existing pay-fixed interest rate swaps. As a result, the Company discontinued hedge accounting as the hedge accounting requirements were no longer met. Amounts in accumulated other comprehensive (loss) income as of the date of de-designation, will be reclassified to interest expense as the hedged transactions impact earnings. Prospectively, changes in fair value of all interest rate swaps will be recorded directly to earnings.</w:t>
      </w:r>
    </w:p>
    <w:p>
      <w:pPr>
        <w:spacing w:after="0" w:line="195" w:lineRule="exact"/>
        <w:rPr>
          <w:sz w:val="20"/>
          <w:szCs w:val="20"/>
          <w:color w:val="auto"/>
        </w:rPr>
      </w:pPr>
    </w:p>
    <w:p>
      <w:pPr>
        <w:ind w:right="40"/>
        <w:spacing w:after="0" w:line="263" w:lineRule="auto"/>
        <w:rPr>
          <w:sz w:val="20"/>
          <w:szCs w:val="20"/>
          <w:color w:val="auto"/>
        </w:rPr>
      </w:pPr>
      <w:r>
        <w:rPr>
          <w:rFonts w:ascii="Arial" w:cs="Arial" w:eastAsia="Arial" w:hAnsi="Arial"/>
          <w:sz w:val="18"/>
          <w:szCs w:val="18"/>
          <w:color w:val="1F2322"/>
        </w:rPr>
        <w:t>The Company has elected to offset derivative positions that are subject to master netting arrangements with the same counterparty in our Condensed Consolidated Balance Sheets. The following tables present the gross amounts of our derivative instruments subject to master netting arrangements with the same counterparty as of March 31, 2022 and December 31, 2021:</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8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80" w:type="dxa"/>
            <w:vAlign w:val="bottom"/>
            <w:vMerge w:val="restart"/>
          </w:tcPr>
          <w:p>
            <w:pPr>
              <w:jc w:val="center"/>
              <w:ind w:right="117"/>
              <w:spacing w:after="0"/>
              <w:rPr>
                <w:sz w:val="20"/>
                <w:szCs w:val="20"/>
                <w:color w:val="auto"/>
              </w:rPr>
            </w:pPr>
            <w:r>
              <w:rPr>
                <w:rFonts w:ascii="Arial" w:cs="Arial" w:eastAsia="Arial" w:hAnsi="Arial"/>
                <w:sz w:val="14"/>
                <w:szCs w:val="14"/>
                <w:b w:val="1"/>
                <w:bCs w:val="1"/>
                <w:color w:val="auto"/>
                <w:w w:val="91"/>
              </w:rPr>
              <w:t>Gross Amounts of</w:t>
            </w: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90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Gross Amounts Offset in</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9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Net Amounts of Assets or</w:t>
            </w:r>
          </w:p>
        </w:tc>
        <w:tc>
          <w:tcPr>
            <w:tcW w:w="0" w:type="dxa"/>
            <w:vAlign w:val="bottom"/>
          </w:tcPr>
          <w:p>
            <w:pPr>
              <w:spacing w:after="0"/>
              <w:rPr>
                <w:sz w:val="1"/>
                <w:szCs w:val="1"/>
                <w:color w:val="auto"/>
              </w:rPr>
            </w:pPr>
          </w:p>
        </w:tc>
      </w:tr>
      <w:tr>
        <w:trPr>
          <w:trHeight w:val="149"/>
        </w:trPr>
        <w:tc>
          <w:tcPr>
            <w:tcW w:w="48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80" w:type="dxa"/>
            <w:vAlign w:val="bottom"/>
            <w:vMerge w:val="continue"/>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9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the Condensed</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9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1"/>
              </w:rPr>
              <w:t>Liabilities presented in the</w:t>
            </w:r>
          </w:p>
        </w:tc>
        <w:tc>
          <w:tcPr>
            <w:tcW w:w="0" w:type="dxa"/>
            <w:vAlign w:val="bottom"/>
          </w:tcPr>
          <w:p>
            <w:pPr>
              <w:spacing w:after="0"/>
              <w:rPr>
                <w:sz w:val="1"/>
                <w:szCs w:val="1"/>
                <w:color w:val="auto"/>
              </w:rPr>
            </w:pPr>
          </w:p>
        </w:tc>
      </w:tr>
      <w:tr>
        <w:trPr>
          <w:trHeight w:val="148"/>
        </w:trPr>
        <w:tc>
          <w:tcPr>
            <w:tcW w:w="4800" w:type="dxa"/>
            <w:vAlign w:val="bottom"/>
            <w:vMerge w:val="restart"/>
          </w:tcPr>
          <w:p>
            <w:pPr>
              <w:spacing w:after="0"/>
              <w:rPr>
                <w:sz w:val="20"/>
                <w:szCs w:val="20"/>
                <w:color w:val="auto"/>
              </w:rPr>
            </w:pPr>
            <w:r>
              <w:rPr>
                <w:rFonts w:ascii="Arial" w:cs="Arial" w:eastAsia="Arial" w:hAnsi="Arial"/>
                <w:sz w:val="18"/>
                <w:szCs w:val="18"/>
                <w:color w:val="auto"/>
              </w:rPr>
              <w:t>Offsetting of Derivative Assets and Liabilities (Thousands)</w:t>
            </w: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80" w:type="dxa"/>
            <w:vAlign w:val="bottom"/>
          </w:tcPr>
          <w:p>
            <w:pPr>
              <w:jc w:val="center"/>
              <w:ind w:right="117"/>
              <w:spacing w:after="0" w:line="149" w:lineRule="exact"/>
              <w:rPr>
                <w:sz w:val="20"/>
                <w:szCs w:val="20"/>
                <w:color w:val="auto"/>
              </w:rPr>
            </w:pPr>
            <w:r>
              <w:rPr>
                <w:rFonts w:ascii="Arial" w:cs="Arial" w:eastAsia="Arial" w:hAnsi="Arial"/>
                <w:sz w:val="14"/>
                <w:szCs w:val="14"/>
                <w:b w:val="1"/>
                <w:bCs w:val="1"/>
                <w:color w:val="auto"/>
                <w:w w:val="87"/>
              </w:rPr>
              <w:t>Recognized Assets or</w:t>
            </w: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9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Consolidated Balance</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9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0"/>
              </w:rPr>
              <w:t>Condensed Consolidated</w:t>
            </w:r>
          </w:p>
        </w:tc>
        <w:tc>
          <w:tcPr>
            <w:tcW w:w="0" w:type="dxa"/>
            <w:vAlign w:val="bottom"/>
          </w:tcPr>
          <w:p>
            <w:pPr>
              <w:spacing w:after="0"/>
              <w:rPr>
                <w:sz w:val="1"/>
                <w:szCs w:val="1"/>
                <w:color w:val="auto"/>
              </w:rPr>
            </w:pPr>
          </w:p>
        </w:tc>
      </w:tr>
      <w:tr>
        <w:trPr>
          <w:trHeight w:val="171"/>
        </w:trPr>
        <w:tc>
          <w:tcPr>
            <w:tcW w:w="480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80" w:type="dxa"/>
            <w:vAlign w:val="bottom"/>
          </w:tcPr>
          <w:p>
            <w:pPr>
              <w:jc w:val="center"/>
              <w:ind w:right="117"/>
              <w:spacing w:after="0"/>
              <w:rPr>
                <w:sz w:val="20"/>
                <w:szCs w:val="20"/>
                <w:color w:val="auto"/>
              </w:rPr>
            </w:pPr>
            <w:r>
              <w:rPr>
                <w:rFonts w:ascii="Arial" w:cs="Arial" w:eastAsia="Arial" w:hAnsi="Arial"/>
                <w:sz w:val="14"/>
                <w:szCs w:val="14"/>
                <w:b w:val="1"/>
                <w:bCs w:val="1"/>
                <w:color w:val="auto"/>
                <w:w w:val="92"/>
              </w:rPr>
              <w:t>Liabilities</w:t>
            </w: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9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2"/>
              </w:rPr>
              <w:t>Sheets</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9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Balance Sheets</w:t>
            </w:r>
          </w:p>
        </w:tc>
        <w:tc>
          <w:tcPr>
            <w:tcW w:w="0" w:type="dxa"/>
            <w:vAlign w:val="bottom"/>
          </w:tcPr>
          <w:p>
            <w:pPr>
              <w:spacing w:after="0"/>
              <w:rPr>
                <w:sz w:val="1"/>
                <w:szCs w:val="1"/>
                <w:color w:val="auto"/>
              </w:rPr>
            </w:pPr>
          </w:p>
        </w:tc>
      </w:tr>
      <w:tr>
        <w:trPr>
          <w:trHeight w:val="223"/>
        </w:trPr>
        <w:tc>
          <w:tcPr>
            <w:tcW w:w="48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At March 31, 2022</w:t>
            </w:r>
          </w:p>
        </w:tc>
        <w:tc>
          <w:tcPr>
            <w:tcW w:w="14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168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740" w:type="dxa"/>
            <w:vAlign w:val="bottom"/>
            <w:tcBorders>
              <w:top w:val="single" w:sz="8" w:color="auto"/>
            </w:tcBorders>
            <w:shd w:val="clear" w:color="auto" w:fill="CFF0FC"/>
          </w:tcPr>
          <w:p>
            <w:pPr>
              <w:spacing w:after="0"/>
              <w:rPr>
                <w:sz w:val="19"/>
                <w:szCs w:val="19"/>
                <w:color w:val="auto"/>
              </w:rPr>
            </w:pPr>
          </w:p>
        </w:tc>
        <w:tc>
          <w:tcPr>
            <w:tcW w:w="16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184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800" w:type="dxa"/>
            <w:vAlign w:val="bottom"/>
          </w:tcPr>
          <w:p>
            <w:pPr>
              <w:spacing w:after="0"/>
              <w:rPr>
                <w:sz w:val="20"/>
                <w:szCs w:val="20"/>
                <w:color w:val="auto"/>
              </w:rPr>
            </w:pPr>
            <w:r>
              <w:rPr>
                <w:rFonts w:ascii="Arial" w:cs="Arial" w:eastAsia="Arial" w:hAnsi="Arial"/>
                <w:sz w:val="18"/>
                <w:szCs w:val="18"/>
                <w:color w:val="auto"/>
              </w:rPr>
              <w:t>Assets</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800" w:type="dxa"/>
            <w:vAlign w:val="bottom"/>
            <w:shd w:val="clear" w:color="auto" w:fill="CFF0FC"/>
          </w:tcPr>
          <w:p>
            <w:pPr>
              <w:ind w:left="140"/>
              <w:spacing w:after="0"/>
              <w:rPr>
                <w:sz w:val="20"/>
                <w:szCs w:val="20"/>
                <w:color w:val="auto"/>
              </w:rPr>
            </w:pPr>
            <w:r>
              <w:rPr>
                <w:rFonts w:ascii="Arial" w:cs="Arial" w:eastAsia="Arial" w:hAnsi="Arial"/>
                <w:sz w:val="18"/>
                <w:szCs w:val="18"/>
                <w:color w:val="auto"/>
              </w:rPr>
              <w:t>Interest rate swaps</w:t>
            </w:r>
          </w:p>
        </w:tc>
        <w:tc>
          <w:tcPr>
            <w:tcW w:w="320" w:type="dxa"/>
            <w:vAlign w:val="bottom"/>
            <w:gridSpan w:val="2"/>
            <w:shd w:val="clear" w:color="auto" w:fill="CFF0FC"/>
          </w:tcPr>
          <w:p>
            <w:pPr>
              <w:jc w:val="right"/>
              <w:ind w:right="27"/>
              <w:spacing w:after="0"/>
              <w:rPr>
                <w:sz w:val="20"/>
                <w:szCs w:val="20"/>
                <w:color w:val="auto"/>
              </w:rPr>
            </w:pPr>
            <w:r>
              <w:rPr>
                <w:rFonts w:ascii="Arial" w:cs="Arial" w:eastAsia="Arial" w:hAnsi="Arial"/>
                <w:sz w:val="18"/>
                <w:szCs w:val="18"/>
                <w:color w:val="auto"/>
              </w:rPr>
              <w:t>$</w:t>
            </w:r>
          </w:p>
        </w:tc>
        <w:tc>
          <w:tcPr>
            <w:tcW w:w="1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900</w:t>
            </w:r>
          </w:p>
        </w:tc>
        <w:tc>
          <w:tcPr>
            <w:tcW w:w="3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900" w:type="dxa"/>
            <w:vAlign w:val="bottom"/>
            <w:gridSpan w:val="2"/>
            <w:shd w:val="clear" w:color="auto" w:fill="CFF0FC"/>
          </w:tcPr>
          <w:p>
            <w:pPr>
              <w:ind w:left="1400"/>
              <w:spacing w:after="0"/>
              <w:rPr>
                <w:sz w:val="20"/>
                <w:szCs w:val="20"/>
                <w:color w:val="auto"/>
              </w:rPr>
            </w:pPr>
            <w:r>
              <w:rPr>
                <w:rFonts w:ascii="Arial" w:cs="Arial" w:eastAsia="Arial" w:hAnsi="Arial"/>
                <w:sz w:val="18"/>
                <w:szCs w:val="18"/>
                <w:color w:val="auto"/>
              </w:rPr>
              <w:t>(900)</w:t>
            </w: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63"/>
        </w:trPr>
        <w:tc>
          <w:tcPr>
            <w:tcW w:w="48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Total</w:t>
            </w:r>
          </w:p>
        </w:tc>
        <w:tc>
          <w:tcPr>
            <w:tcW w:w="140" w:type="dxa"/>
            <w:vAlign w:val="bottom"/>
            <w:tcBorders>
              <w:bottom w:val="single" w:sz="8" w:color="CFF0FC"/>
            </w:tcBorders>
          </w:tcPr>
          <w:p>
            <w:pPr>
              <w:spacing w:after="0"/>
              <w:rPr>
                <w:sz w:val="22"/>
                <w:szCs w:val="22"/>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900</w:t>
            </w:r>
          </w:p>
        </w:tc>
        <w:tc>
          <w:tcPr>
            <w:tcW w:w="240" w:type="dxa"/>
            <w:vAlign w:val="bottom"/>
            <w:tcBorders>
              <w:bottom w:val="single" w:sz="8" w:color="CFF0FC"/>
            </w:tcBorders>
          </w:tcPr>
          <w:p>
            <w:pPr>
              <w:spacing w:after="0"/>
              <w:rPr>
                <w:sz w:val="22"/>
                <w:szCs w:val="2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740" w:type="dxa"/>
            <w:vAlign w:val="bottom"/>
            <w:tcBorders>
              <w:top w:val="single" w:sz="8" w:color="auto"/>
              <w:bottom w:val="single" w:sz="8" w:color="auto"/>
            </w:tcBorders>
          </w:tcPr>
          <w:p>
            <w:pPr>
              <w:ind w:left="1400"/>
              <w:spacing w:after="0"/>
              <w:rPr>
                <w:sz w:val="20"/>
                <w:szCs w:val="20"/>
                <w:color w:val="auto"/>
              </w:rPr>
            </w:pPr>
            <w:r>
              <w:rPr>
                <w:rFonts w:ascii="Arial" w:cs="Arial" w:eastAsia="Arial" w:hAnsi="Arial"/>
                <w:sz w:val="18"/>
                <w:szCs w:val="18"/>
                <w:color w:val="auto"/>
                <w:w w:val="76"/>
              </w:rPr>
              <w:t>(900)</w:t>
            </w:r>
          </w:p>
        </w:tc>
        <w:tc>
          <w:tcPr>
            <w:tcW w:w="160" w:type="dxa"/>
            <w:vAlign w:val="bottom"/>
            <w:tcBorders>
              <w:bottom w:val="single" w:sz="8" w:color="CFF0FC"/>
            </w:tcBorders>
          </w:tcPr>
          <w:p>
            <w:pPr>
              <w:spacing w:after="0"/>
              <w:rPr>
                <w:sz w:val="22"/>
                <w:szCs w:val="22"/>
                <w:color w:val="auto"/>
              </w:rPr>
            </w:pPr>
          </w:p>
        </w:tc>
        <w:tc>
          <w:tcPr>
            <w:tcW w:w="80" w:type="dxa"/>
            <w:vAlign w:val="bottom"/>
            <w:tcBorders>
              <w:bottom w:val="single" w:sz="8" w:color="CFF0FC"/>
            </w:tcBorders>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FF0FC"/>
            </w:tcBorders>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48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6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74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8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4800" w:type="dxa"/>
            <w:vAlign w:val="bottom"/>
          </w:tcPr>
          <w:p>
            <w:pPr>
              <w:spacing w:after="0"/>
              <w:rPr>
                <w:sz w:val="20"/>
                <w:szCs w:val="20"/>
                <w:color w:val="auto"/>
              </w:rPr>
            </w:pPr>
            <w:r>
              <w:rPr>
                <w:rFonts w:ascii="Arial" w:cs="Arial" w:eastAsia="Arial" w:hAnsi="Arial"/>
                <w:sz w:val="18"/>
                <w:szCs w:val="18"/>
                <w:color w:val="auto"/>
              </w:rPr>
              <w:t>Liabilities</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800" w:type="dxa"/>
            <w:vAlign w:val="bottom"/>
            <w:shd w:val="clear" w:color="auto" w:fill="CFF0FC"/>
          </w:tcPr>
          <w:p>
            <w:pPr>
              <w:ind w:left="140"/>
              <w:spacing w:after="0"/>
              <w:rPr>
                <w:sz w:val="20"/>
                <w:szCs w:val="20"/>
                <w:color w:val="auto"/>
              </w:rPr>
            </w:pPr>
            <w:r>
              <w:rPr>
                <w:rFonts w:ascii="Arial" w:cs="Arial" w:eastAsia="Arial" w:hAnsi="Arial"/>
                <w:sz w:val="18"/>
                <w:szCs w:val="18"/>
                <w:color w:val="auto"/>
              </w:rPr>
              <w:t>Interest rate swaps</w:t>
            </w:r>
          </w:p>
        </w:tc>
        <w:tc>
          <w:tcPr>
            <w:tcW w:w="320" w:type="dxa"/>
            <w:vAlign w:val="bottom"/>
            <w:gridSpan w:val="2"/>
            <w:shd w:val="clear" w:color="auto" w:fill="CFF0FC"/>
          </w:tcPr>
          <w:p>
            <w:pPr>
              <w:jc w:val="right"/>
              <w:ind w:right="27"/>
              <w:spacing w:after="0"/>
              <w:rPr>
                <w:sz w:val="20"/>
                <w:szCs w:val="20"/>
                <w:color w:val="auto"/>
              </w:rPr>
            </w:pPr>
            <w:r>
              <w:rPr>
                <w:rFonts w:ascii="Arial" w:cs="Arial" w:eastAsia="Arial" w:hAnsi="Arial"/>
                <w:sz w:val="18"/>
                <w:szCs w:val="18"/>
                <w:color w:val="auto"/>
              </w:rPr>
              <w:t>$</w:t>
            </w:r>
          </w:p>
        </w:tc>
        <w:tc>
          <w:tcPr>
            <w:tcW w:w="1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8,169</w:t>
            </w:r>
          </w:p>
        </w:tc>
        <w:tc>
          <w:tcPr>
            <w:tcW w:w="3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900" w:type="dxa"/>
            <w:vAlign w:val="bottom"/>
            <w:gridSpan w:val="2"/>
            <w:shd w:val="clear" w:color="auto" w:fill="CFF0FC"/>
          </w:tcPr>
          <w:p>
            <w:pPr>
              <w:ind w:left="1400"/>
              <w:spacing w:after="0"/>
              <w:rPr>
                <w:sz w:val="20"/>
                <w:szCs w:val="20"/>
                <w:color w:val="auto"/>
              </w:rPr>
            </w:pPr>
            <w:r>
              <w:rPr>
                <w:rFonts w:ascii="Arial" w:cs="Arial" w:eastAsia="Arial" w:hAnsi="Arial"/>
                <w:sz w:val="18"/>
                <w:szCs w:val="18"/>
                <w:color w:val="auto"/>
              </w:rPr>
              <w:t>(900)</w:t>
            </w: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7,269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800" w:type="dxa"/>
            <w:vAlign w:val="bottom"/>
          </w:tcPr>
          <w:p>
            <w:pPr>
              <w:spacing w:after="0"/>
              <w:rPr>
                <w:sz w:val="20"/>
                <w:szCs w:val="20"/>
                <w:color w:val="auto"/>
              </w:rPr>
            </w:pPr>
            <w:r>
              <w:rPr>
                <w:rFonts w:ascii="Arial" w:cs="Arial" w:eastAsia="Arial" w:hAnsi="Arial"/>
                <w:sz w:val="18"/>
                <w:szCs w:val="18"/>
                <w:color w:val="auto"/>
              </w:rPr>
              <w:t>Total</w:t>
            </w:r>
          </w:p>
        </w:tc>
        <w:tc>
          <w:tcPr>
            <w:tcW w:w="14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8,169</w:t>
            </w:r>
          </w:p>
        </w:tc>
        <w:tc>
          <w:tcPr>
            <w:tcW w:w="24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740" w:type="dxa"/>
            <w:vAlign w:val="bottom"/>
            <w:tcBorders>
              <w:top w:val="single" w:sz="8" w:color="auto"/>
              <w:bottom w:val="single" w:sz="8" w:color="auto"/>
            </w:tcBorders>
          </w:tcPr>
          <w:p>
            <w:pPr>
              <w:ind w:left="1400"/>
              <w:spacing w:after="0"/>
              <w:rPr>
                <w:sz w:val="20"/>
                <w:szCs w:val="20"/>
                <w:color w:val="auto"/>
              </w:rPr>
            </w:pPr>
            <w:r>
              <w:rPr>
                <w:rFonts w:ascii="Arial" w:cs="Arial" w:eastAsia="Arial" w:hAnsi="Arial"/>
                <w:sz w:val="18"/>
                <w:szCs w:val="18"/>
                <w:color w:val="auto"/>
                <w:w w:val="76"/>
              </w:rPr>
              <w:t>(900)</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7,269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8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5"/>
        </w:trPr>
        <w:tc>
          <w:tcPr>
            <w:tcW w:w="48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80" w:type="dxa"/>
            <w:vAlign w:val="bottom"/>
          </w:tcPr>
          <w:p>
            <w:pPr>
              <w:jc w:val="right"/>
              <w:ind w:right="997"/>
              <w:spacing w:after="0"/>
              <w:rPr>
                <w:sz w:val="20"/>
                <w:szCs w:val="20"/>
                <w:color w:val="auto"/>
              </w:rPr>
            </w:pPr>
            <w:r>
              <w:rPr>
                <w:rFonts w:ascii="Arial" w:cs="Arial" w:eastAsia="Arial" w:hAnsi="Arial"/>
                <w:sz w:val="18"/>
                <w:szCs w:val="18"/>
                <w:color w:val="auto"/>
              </w:rPr>
              <w:t>17</w:t>
            </w: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480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68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74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184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8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80" w:type="dxa"/>
            <w:vAlign w:val="bottom"/>
            <w:vMerge w:val="restart"/>
          </w:tcPr>
          <w:p>
            <w:pPr>
              <w:jc w:val="center"/>
              <w:ind w:right="118"/>
              <w:spacing w:after="0"/>
              <w:rPr>
                <w:sz w:val="20"/>
                <w:szCs w:val="20"/>
                <w:color w:val="auto"/>
              </w:rPr>
            </w:pPr>
            <w:r>
              <w:rPr>
                <w:rFonts w:ascii="Arial" w:cs="Arial" w:eastAsia="Arial" w:hAnsi="Arial"/>
                <w:sz w:val="14"/>
                <w:szCs w:val="14"/>
                <w:b w:val="1"/>
                <w:bCs w:val="1"/>
                <w:color w:val="auto"/>
                <w:w w:val="91"/>
              </w:rPr>
              <w:t>Gross Amounts of</w:t>
            </w: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98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1"/>
              </w:rPr>
              <w:t>Gross Amounts Offset in</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9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Net Amounts of Assets or</w:t>
            </w:r>
          </w:p>
        </w:tc>
        <w:tc>
          <w:tcPr>
            <w:tcW w:w="0" w:type="dxa"/>
            <w:vAlign w:val="bottom"/>
          </w:tcPr>
          <w:p>
            <w:pPr>
              <w:spacing w:after="0"/>
              <w:rPr>
                <w:sz w:val="1"/>
                <w:szCs w:val="1"/>
                <w:color w:val="auto"/>
              </w:rPr>
            </w:pPr>
          </w:p>
        </w:tc>
      </w:tr>
      <w:tr>
        <w:trPr>
          <w:trHeight w:val="148"/>
        </w:trPr>
        <w:tc>
          <w:tcPr>
            <w:tcW w:w="48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80" w:type="dxa"/>
            <w:vAlign w:val="bottom"/>
            <w:vMerge w:val="continue"/>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98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8"/>
              </w:rPr>
              <w:t>the Condensed</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9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1"/>
              </w:rPr>
              <w:t>Liabilities presented in the</w:t>
            </w:r>
          </w:p>
        </w:tc>
        <w:tc>
          <w:tcPr>
            <w:tcW w:w="0" w:type="dxa"/>
            <w:vAlign w:val="bottom"/>
          </w:tcPr>
          <w:p>
            <w:pPr>
              <w:spacing w:after="0"/>
              <w:rPr>
                <w:sz w:val="1"/>
                <w:szCs w:val="1"/>
                <w:color w:val="auto"/>
              </w:rPr>
            </w:pPr>
          </w:p>
        </w:tc>
      </w:tr>
      <w:tr>
        <w:trPr>
          <w:trHeight w:val="148"/>
        </w:trPr>
        <w:tc>
          <w:tcPr>
            <w:tcW w:w="4800" w:type="dxa"/>
            <w:vAlign w:val="bottom"/>
            <w:vMerge w:val="restart"/>
          </w:tcPr>
          <w:p>
            <w:pPr>
              <w:spacing w:after="0"/>
              <w:rPr>
                <w:sz w:val="20"/>
                <w:szCs w:val="20"/>
                <w:color w:val="auto"/>
              </w:rPr>
            </w:pPr>
            <w:r>
              <w:rPr>
                <w:rFonts w:ascii="Arial" w:cs="Arial" w:eastAsia="Arial" w:hAnsi="Arial"/>
                <w:sz w:val="18"/>
                <w:szCs w:val="18"/>
                <w:color w:val="auto"/>
              </w:rPr>
              <w:t>Offsetting of Derivative Assets and Liabilities (Thousands)</w:t>
            </w: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80" w:type="dxa"/>
            <w:vAlign w:val="bottom"/>
          </w:tcPr>
          <w:p>
            <w:pPr>
              <w:jc w:val="center"/>
              <w:ind w:right="118"/>
              <w:spacing w:after="0" w:line="149" w:lineRule="exact"/>
              <w:rPr>
                <w:sz w:val="20"/>
                <w:szCs w:val="20"/>
                <w:color w:val="auto"/>
              </w:rPr>
            </w:pPr>
            <w:r>
              <w:rPr>
                <w:rFonts w:ascii="Arial" w:cs="Arial" w:eastAsia="Arial" w:hAnsi="Arial"/>
                <w:sz w:val="14"/>
                <w:szCs w:val="14"/>
                <w:b w:val="1"/>
                <w:bCs w:val="1"/>
                <w:color w:val="auto"/>
                <w:w w:val="87"/>
              </w:rPr>
              <w:t>Recognized Assets or</w:t>
            </w: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98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1"/>
              </w:rPr>
              <w:t>Consolidated Balance</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9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0"/>
              </w:rPr>
              <w:t>Condensed Consolidated</w:t>
            </w:r>
          </w:p>
        </w:tc>
        <w:tc>
          <w:tcPr>
            <w:tcW w:w="0" w:type="dxa"/>
            <w:vAlign w:val="bottom"/>
          </w:tcPr>
          <w:p>
            <w:pPr>
              <w:spacing w:after="0"/>
              <w:rPr>
                <w:sz w:val="1"/>
                <w:szCs w:val="1"/>
                <w:color w:val="auto"/>
              </w:rPr>
            </w:pPr>
          </w:p>
        </w:tc>
      </w:tr>
      <w:tr>
        <w:trPr>
          <w:trHeight w:val="171"/>
        </w:trPr>
        <w:tc>
          <w:tcPr>
            <w:tcW w:w="480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80" w:type="dxa"/>
            <w:vAlign w:val="bottom"/>
          </w:tcPr>
          <w:p>
            <w:pPr>
              <w:jc w:val="center"/>
              <w:ind w:right="118"/>
              <w:spacing w:after="0"/>
              <w:rPr>
                <w:sz w:val="20"/>
                <w:szCs w:val="20"/>
                <w:color w:val="auto"/>
              </w:rPr>
            </w:pPr>
            <w:r>
              <w:rPr>
                <w:rFonts w:ascii="Arial" w:cs="Arial" w:eastAsia="Arial" w:hAnsi="Arial"/>
                <w:sz w:val="14"/>
                <w:szCs w:val="14"/>
                <w:b w:val="1"/>
                <w:bCs w:val="1"/>
                <w:color w:val="auto"/>
                <w:w w:val="92"/>
              </w:rPr>
              <w:t>Liabilities</w:t>
            </w: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98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2"/>
              </w:rPr>
              <w:t>Sheets</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9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Balance Sheets</w:t>
            </w:r>
          </w:p>
        </w:tc>
        <w:tc>
          <w:tcPr>
            <w:tcW w:w="0" w:type="dxa"/>
            <w:vAlign w:val="bottom"/>
          </w:tcPr>
          <w:p>
            <w:pPr>
              <w:spacing w:after="0"/>
              <w:rPr>
                <w:sz w:val="1"/>
                <w:szCs w:val="1"/>
                <w:color w:val="auto"/>
              </w:rPr>
            </w:pPr>
          </w:p>
        </w:tc>
      </w:tr>
      <w:tr>
        <w:trPr>
          <w:trHeight w:val="223"/>
        </w:trPr>
        <w:tc>
          <w:tcPr>
            <w:tcW w:w="48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At December 31, 2021</w:t>
            </w:r>
          </w:p>
        </w:tc>
        <w:tc>
          <w:tcPr>
            <w:tcW w:w="14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168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74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84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800" w:type="dxa"/>
            <w:vAlign w:val="bottom"/>
          </w:tcPr>
          <w:p>
            <w:pPr>
              <w:spacing w:after="0"/>
              <w:rPr>
                <w:sz w:val="20"/>
                <w:szCs w:val="20"/>
                <w:color w:val="auto"/>
              </w:rPr>
            </w:pPr>
            <w:r>
              <w:rPr>
                <w:rFonts w:ascii="Arial" w:cs="Arial" w:eastAsia="Arial" w:hAnsi="Arial"/>
                <w:sz w:val="18"/>
                <w:szCs w:val="18"/>
                <w:color w:val="auto"/>
              </w:rPr>
              <w:t>Assets</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800" w:type="dxa"/>
            <w:vAlign w:val="bottom"/>
            <w:shd w:val="clear" w:color="auto" w:fill="CFF0FC"/>
          </w:tcPr>
          <w:p>
            <w:pPr>
              <w:ind w:left="140"/>
              <w:spacing w:after="0"/>
              <w:rPr>
                <w:sz w:val="20"/>
                <w:szCs w:val="20"/>
                <w:color w:val="auto"/>
              </w:rPr>
            </w:pPr>
            <w:r>
              <w:rPr>
                <w:rFonts w:ascii="Arial" w:cs="Arial" w:eastAsia="Arial" w:hAnsi="Arial"/>
                <w:sz w:val="18"/>
                <w:szCs w:val="18"/>
                <w:color w:val="auto"/>
              </w:rPr>
              <w:t>Interest rate swaps</w:t>
            </w:r>
          </w:p>
        </w:tc>
        <w:tc>
          <w:tcPr>
            <w:tcW w:w="320" w:type="dxa"/>
            <w:vAlign w:val="bottom"/>
            <w:gridSpan w:val="2"/>
            <w:shd w:val="clear" w:color="auto" w:fill="CFF0FC"/>
          </w:tcPr>
          <w:p>
            <w:pPr>
              <w:jc w:val="right"/>
              <w:ind w:right="27"/>
              <w:spacing w:after="0"/>
              <w:rPr>
                <w:sz w:val="20"/>
                <w:szCs w:val="20"/>
                <w:color w:val="auto"/>
              </w:rPr>
            </w:pPr>
            <w:r>
              <w:rPr>
                <w:rFonts w:ascii="Arial" w:cs="Arial" w:eastAsia="Arial" w:hAnsi="Arial"/>
                <w:sz w:val="18"/>
                <w:szCs w:val="18"/>
                <w:color w:val="auto"/>
              </w:rPr>
              <w:t>$</w:t>
            </w:r>
          </w:p>
        </w:tc>
        <w:tc>
          <w:tcPr>
            <w:tcW w:w="1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10,788</w:t>
            </w:r>
          </w:p>
        </w:tc>
        <w:tc>
          <w:tcPr>
            <w:tcW w:w="3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980" w:type="dxa"/>
            <w:vAlign w:val="bottom"/>
            <w:gridSpan w:val="2"/>
            <w:shd w:val="clear" w:color="auto" w:fill="CFF0FC"/>
          </w:tcPr>
          <w:p>
            <w:pPr>
              <w:ind w:left="1180"/>
              <w:spacing w:after="0"/>
              <w:rPr>
                <w:sz w:val="20"/>
                <w:szCs w:val="20"/>
                <w:color w:val="auto"/>
              </w:rPr>
            </w:pPr>
            <w:r>
              <w:rPr>
                <w:rFonts w:ascii="Arial" w:cs="Arial" w:eastAsia="Arial" w:hAnsi="Arial"/>
                <w:sz w:val="18"/>
                <w:szCs w:val="18"/>
                <w:color w:val="auto"/>
              </w:rPr>
              <w:t>(10,788)</w:t>
            </w:r>
          </w:p>
        </w:tc>
        <w:tc>
          <w:tcPr>
            <w:tcW w:w="1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63"/>
        </w:trPr>
        <w:tc>
          <w:tcPr>
            <w:tcW w:w="48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Total</w:t>
            </w:r>
          </w:p>
        </w:tc>
        <w:tc>
          <w:tcPr>
            <w:tcW w:w="140" w:type="dxa"/>
            <w:vAlign w:val="bottom"/>
            <w:tcBorders>
              <w:bottom w:val="single" w:sz="8" w:color="CFF0FC"/>
            </w:tcBorders>
          </w:tcPr>
          <w:p>
            <w:pPr>
              <w:spacing w:after="0"/>
              <w:rPr>
                <w:sz w:val="22"/>
                <w:szCs w:val="22"/>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10,788</w:t>
            </w:r>
          </w:p>
        </w:tc>
        <w:tc>
          <w:tcPr>
            <w:tcW w:w="240" w:type="dxa"/>
            <w:vAlign w:val="bottom"/>
            <w:tcBorders>
              <w:bottom w:val="single" w:sz="8" w:color="CFF0FC"/>
            </w:tcBorders>
          </w:tcPr>
          <w:p>
            <w:pPr>
              <w:spacing w:after="0"/>
              <w:rPr>
                <w:sz w:val="22"/>
                <w:szCs w:val="2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740" w:type="dxa"/>
            <w:vAlign w:val="bottom"/>
            <w:tcBorders>
              <w:top w:val="single" w:sz="8" w:color="auto"/>
              <w:bottom w:val="single" w:sz="8" w:color="auto"/>
            </w:tcBorders>
          </w:tcPr>
          <w:p>
            <w:pPr>
              <w:ind w:left="1180"/>
              <w:spacing w:after="0"/>
              <w:rPr>
                <w:sz w:val="20"/>
                <w:szCs w:val="20"/>
                <w:color w:val="auto"/>
              </w:rPr>
            </w:pPr>
            <w:r>
              <w:rPr>
                <w:rFonts w:ascii="Arial" w:cs="Arial" w:eastAsia="Arial" w:hAnsi="Arial"/>
                <w:sz w:val="18"/>
                <w:szCs w:val="18"/>
                <w:color w:val="auto"/>
                <w:w w:val="80"/>
              </w:rPr>
              <w:t>(10,788)</w:t>
            </w:r>
          </w:p>
        </w:tc>
        <w:tc>
          <w:tcPr>
            <w:tcW w:w="240" w:type="dxa"/>
            <w:vAlign w:val="bottom"/>
            <w:tcBorders>
              <w:bottom w:val="single" w:sz="8" w:color="CFF0FC"/>
            </w:tcBorders>
          </w:tcPr>
          <w:p>
            <w:pPr>
              <w:spacing w:after="0"/>
              <w:rPr>
                <w:sz w:val="22"/>
                <w:szCs w:val="22"/>
                <w:color w:val="auto"/>
              </w:rPr>
            </w:pPr>
          </w:p>
        </w:tc>
        <w:tc>
          <w:tcPr>
            <w:tcW w:w="20" w:type="dxa"/>
            <w:vAlign w:val="bottom"/>
            <w:tcBorders>
              <w:bottom w:val="single" w:sz="8" w:color="CFF0FC"/>
            </w:tcBorders>
          </w:tcPr>
          <w:p>
            <w:pPr>
              <w:spacing w:after="0"/>
              <w:rPr>
                <w:sz w:val="22"/>
                <w:szCs w:val="2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FF0FC"/>
            </w:tcBorders>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48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6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7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8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4800" w:type="dxa"/>
            <w:vAlign w:val="bottom"/>
          </w:tcPr>
          <w:p>
            <w:pPr>
              <w:spacing w:after="0"/>
              <w:rPr>
                <w:sz w:val="20"/>
                <w:szCs w:val="20"/>
                <w:color w:val="auto"/>
              </w:rPr>
            </w:pPr>
            <w:r>
              <w:rPr>
                <w:rFonts w:ascii="Arial" w:cs="Arial" w:eastAsia="Arial" w:hAnsi="Arial"/>
                <w:sz w:val="18"/>
                <w:szCs w:val="18"/>
                <w:color w:val="auto"/>
              </w:rPr>
              <w:t>Liabilities</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800" w:type="dxa"/>
            <w:vAlign w:val="bottom"/>
            <w:shd w:val="clear" w:color="auto" w:fill="CFF0FC"/>
          </w:tcPr>
          <w:p>
            <w:pPr>
              <w:ind w:left="140"/>
              <w:spacing w:after="0"/>
              <w:rPr>
                <w:sz w:val="20"/>
                <w:szCs w:val="20"/>
                <w:color w:val="auto"/>
              </w:rPr>
            </w:pPr>
            <w:r>
              <w:rPr>
                <w:rFonts w:ascii="Arial" w:cs="Arial" w:eastAsia="Arial" w:hAnsi="Arial"/>
                <w:sz w:val="18"/>
                <w:szCs w:val="18"/>
                <w:color w:val="auto"/>
              </w:rPr>
              <w:t>Interest rate swaps</w:t>
            </w:r>
          </w:p>
        </w:tc>
        <w:tc>
          <w:tcPr>
            <w:tcW w:w="320" w:type="dxa"/>
            <w:vAlign w:val="bottom"/>
            <w:gridSpan w:val="2"/>
            <w:shd w:val="clear" w:color="auto" w:fill="CFF0FC"/>
          </w:tcPr>
          <w:p>
            <w:pPr>
              <w:jc w:val="right"/>
              <w:ind w:right="27"/>
              <w:spacing w:after="0"/>
              <w:rPr>
                <w:sz w:val="20"/>
                <w:szCs w:val="20"/>
                <w:color w:val="auto"/>
              </w:rPr>
            </w:pPr>
            <w:r>
              <w:rPr>
                <w:rFonts w:ascii="Arial" w:cs="Arial" w:eastAsia="Arial" w:hAnsi="Arial"/>
                <w:sz w:val="18"/>
                <w:szCs w:val="18"/>
                <w:color w:val="auto"/>
              </w:rPr>
              <w:t>$</w:t>
            </w:r>
          </w:p>
        </w:tc>
        <w:tc>
          <w:tcPr>
            <w:tcW w:w="1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21,201</w:t>
            </w:r>
          </w:p>
        </w:tc>
        <w:tc>
          <w:tcPr>
            <w:tcW w:w="3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980" w:type="dxa"/>
            <w:vAlign w:val="bottom"/>
            <w:gridSpan w:val="2"/>
            <w:shd w:val="clear" w:color="auto" w:fill="CFF0FC"/>
          </w:tcPr>
          <w:p>
            <w:pPr>
              <w:ind w:left="1180"/>
              <w:spacing w:after="0"/>
              <w:rPr>
                <w:sz w:val="20"/>
                <w:szCs w:val="20"/>
                <w:color w:val="auto"/>
              </w:rPr>
            </w:pPr>
            <w:r>
              <w:rPr>
                <w:rFonts w:ascii="Arial" w:cs="Arial" w:eastAsia="Arial" w:hAnsi="Arial"/>
                <w:sz w:val="18"/>
                <w:szCs w:val="18"/>
                <w:color w:val="auto"/>
              </w:rPr>
              <w:t>(10,788)</w:t>
            </w:r>
          </w:p>
        </w:tc>
        <w:tc>
          <w:tcPr>
            <w:tcW w:w="1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10,413</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800" w:type="dxa"/>
            <w:vAlign w:val="bottom"/>
          </w:tcPr>
          <w:p>
            <w:pPr>
              <w:spacing w:after="0"/>
              <w:rPr>
                <w:sz w:val="20"/>
                <w:szCs w:val="20"/>
                <w:color w:val="auto"/>
              </w:rPr>
            </w:pPr>
            <w:r>
              <w:rPr>
                <w:rFonts w:ascii="Arial" w:cs="Arial" w:eastAsia="Arial" w:hAnsi="Arial"/>
                <w:sz w:val="18"/>
                <w:szCs w:val="18"/>
                <w:color w:val="auto"/>
              </w:rPr>
              <w:t>Total</w:t>
            </w:r>
          </w:p>
        </w:tc>
        <w:tc>
          <w:tcPr>
            <w:tcW w:w="14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21,201</w:t>
            </w:r>
          </w:p>
        </w:tc>
        <w:tc>
          <w:tcPr>
            <w:tcW w:w="24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740" w:type="dxa"/>
            <w:vAlign w:val="bottom"/>
            <w:tcBorders>
              <w:top w:val="single" w:sz="8" w:color="auto"/>
              <w:bottom w:val="single" w:sz="8" w:color="auto"/>
            </w:tcBorders>
          </w:tcPr>
          <w:p>
            <w:pPr>
              <w:ind w:left="1180"/>
              <w:spacing w:after="0"/>
              <w:rPr>
                <w:sz w:val="20"/>
                <w:szCs w:val="20"/>
                <w:color w:val="auto"/>
              </w:rPr>
            </w:pPr>
            <w:r>
              <w:rPr>
                <w:rFonts w:ascii="Arial" w:cs="Arial" w:eastAsia="Arial" w:hAnsi="Arial"/>
                <w:sz w:val="18"/>
                <w:szCs w:val="18"/>
                <w:color w:val="auto"/>
                <w:w w:val="80"/>
              </w:rPr>
              <w:t>(10,788)</w:t>
            </w:r>
          </w:p>
        </w:tc>
        <w:tc>
          <w:tcPr>
            <w:tcW w:w="24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10,413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8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the fair value and the presentation in our Condensed Consolidated Balance Sheets:</w:t>
      </w: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8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12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0"/>
              </w:rPr>
              <w:t>Location on Condensed</w:t>
            </w:r>
          </w:p>
        </w:tc>
        <w:tc>
          <w:tcPr>
            <w:tcW w:w="26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48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12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0"/>
              </w:rPr>
              <w:t>Consolidated Balance</w:t>
            </w:r>
          </w:p>
        </w:tc>
        <w:tc>
          <w:tcPr>
            <w:tcW w:w="260" w:type="dxa"/>
            <w:vAlign w:val="bottom"/>
          </w:tcPr>
          <w:p>
            <w:pPr>
              <w:spacing w:after="0"/>
              <w:rPr>
                <w:sz w:val="12"/>
                <w:szCs w:val="12"/>
                <w:color w:val="auto"/>
              </w:rPr>
            </w:pPr>
          </w:p>
        </w:tc>
        <w:tc>
          <w:tcPr>
            <w:tcW w:w="184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March 31, 2022</w:t>
            </w:r>
          </w:p>
        </w:tc>
        <w:tc>
          <w:tcPr>
            <w:tcW w:w="240" w:type="dxa"/>
            <w:vAlign w:val="bottom"/>
          </w:tcPr>
          <w:p>
            <w:pPr>
              <w:spacing w:after="0"/>
              <w:rPr>
                <w:sz w:val="12"/>
                <w:szCs w:val="12"/>
                <w:color w:val="auto"/>
              </w:rPr>
            </w:pPr>
          </w:p>
        </w:tc>
        <w:tc>
          <w:tcPr>
            <w:tcW w:w="184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December 31, 2021</w:t>
            </w:r>
          </w:p>
        </w:tc>
        <w:tc>
          <w:tcPr>
            <w:tcW w:w="0" w:type="dxa"/>
            <w:vAlign w:val="bottom"/>
          </w:tcPr>
          <w:p>
            <w:pPr>
              <w:spacing w:after="0"/>
              <w:rPr>
                <w:sz w:val="1"/>
                <w:szCs w:val="1"/>
                <w:color w:val="auto"/>
              </w:rPr>
            </w:pPr>
          </w:p>
        </w:tc>
      </w:tr>
      <w:tr>
        <w:trPr>
          <w:trHeight w:val="171"/>
        </w:trPr>
        <w:tc>
          <w:tcPr>
            <w:tcW w:w="494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212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7"/>
              </w:rPr>
              <w:t>Sheets</w:t>
            </w:r>
          </w:p>
        </w:tc>
        <w:tc>
          <w:tcPr>
            <w:tcW w:w="260" w:type="dxa"/>
            <w:vAlign w:val="bottom"/>
          </w:tcPr>
          <w:p>
            <w:pPr>
              <w:spacing w:after="0"/>
              <w:rPr>
                <w:sz w:val="14"/>
                <w:szCs w:val="14"/>
                <w:color w:val="auto"/>
              </w:rPr>
            </w:pPr>
          </w:p>
        </w:tc>
        <w:tc>
          <w:tcPr>
            <w:tcW w:w="184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184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48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Interest rate swaps</w:t>
            </w:r>
          </w:p>
        </w:tc>
        <w:tc>
          <w:tcPr>
            <w:tcW w:w="140" w:type="dxa"/>
            <w:vAlign w:val="bottom"/>
            <w:tcBorders>
              <w:top w:val="single" w:sz="8" w:color="CFF0FC"/>
            </w:tcBorders>
            <w:shd w:val="clear" w:color="auto" w:fill="CFF0FC"/>
          </w:tcPr>
          <w:p>
            <w:pPr>
              <w:spacing w:after="0"/>
              <w:rPr>
                <w:sz w:val="19"/>
                <w:szCs w:val="19"/>
                <w:color w:val="auto"/>
              </w:rPr>
            </w:pPr>
          </w:p>
        </w:tc>
        <w:tc>
          <w:tcPr>
            <w:tcW w:w="1980" w:type="dxa"/>
            <w:vAlign w:val="bottom"/>
            <w:tcBorders>
              <w:top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5"/>
              </w:rPr>
              <w:t>Derivative liability, net</w:t>
            </w:r>
          </w:p>
        </w:tc>
        <w:tc>
          <w:tcPr>
            <w:tcW w:w="14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jc w:val="right"/>
              <w:ind w:right="107"/>
              <w:spacing w:after="0"/>
              <w:rPr>
                <w:sz w:val="20"/>
                <w:szCs w:val="20"/>
                <w:color w:val="auto"/>
              </w:rPr>
            </w:pPr>
            <w:r>
              <w:rPr>
                <w:rFonts w:ascii="Arial" w:cs="Arial" w:eastAsia="Arial" w:hAnsi="Arial"/>
                <w:sz w:val="15"/>
                <w:szCs w:val="15"/>
                <w:color w:val="auto"/>
                <w:w w:val="71"/>
              </w:rPr>
              <w:t>$</w:t>
            </w:r>
          </w:p>
        </w:tc>
        <w:tc>
          <w:tcPr>
            <w:tcW w:w="16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7,269</w:t>
            </w:r>
          </w:p>
        </w:tc>
        <w:tc>
          <w:tcPr>
            <w:tcW w:w="24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7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10,413</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p>
    <w:p>
      <w:pPr>
        <w:ind w:right="160"/>
        <w:spacing w:after="0" w:line="301" w:lineRule="auto"/>
        <w:rPr>
          <w:sz w:val="20"/>
          <w:szCs w:val="20"/>
          <w:color w:val="auto"/>
        </w:rPr>
      </w:pPr>
      <w:r>
        <w:rPr>
          <w:rFonts w:ascii="Arial" w:cs="Arial" w:eastAsia="Arial" w:hAnsi="Arial"/>
          <w:sz w:val="16"/>
          <w:szCs w:val="16"/>
          <w:color w:val="auto"/>
        </w:rPr>
        <w:t>As of March 31, 2022, all of the interest rate swaps were valued in net unrealized loss positions and recognized as liability balances within the derivative liability, net in our Condensed Consolidated Balance Sheets. As hedge accounting is no longer applied beginning in February 2020, the unrealized loss amounts are now being recorded directly to earnings. The amount reclassified out of other comprehensive income into interest expense on our Condensed Consolidated Statements of Income (Loss) for the three months ended March 31, 2022 and 2021 was $2.8 million and $2.8 million, respectively.</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During the next twelve months, beginning April 1, 2022, we estimate that $6.4 million will be reclassified as an increase to interest expense.</w:t>
      </w: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Exchangeable Notes Hedge Transactions</w:t>
      </w:r>
    </w:p>
    <w:p>
      <w:pPr>
        <w:spacing w:after="0" w:line="252" w:lineRule="exact"/>
        <w:rPr>
          <w:sz w:val="20"/>
          <w:szCs w:val="20"/>
          <w:color w:val="auto"/>
        </w:rPr>
      </w:pPr>
    </w:p>
    <w:p>
      <w:pPr>
        <w:ind w:right="60"/>
        <w:spacing w:after="0" w:line="287" w:lineRule="auto"/>
        <w:rPr>
          <w:sz w:val="20"/>
          <w:szCs w:val="20"/>
          <w:color w:val="auto"/>
        </w:rPr>
      </w:pPr>
      <w:r>
        <w:rPr>
          <w:rFonts w:ascii="Arial" w:cs="Arial" w:eastAsia="Arial" w:hAnsi="Arial"/>
          <w:sz w:val="16"/>
          <w:szCs w:val="16"/>
          <w:color w:val="auto"/>
        </w:rPr>
        <w:t>On June 25, 2019, concurrently with the pricing of the Exchangeable Notes, and on June 27, 2019, concurrently with the exercise by the initial purchasers involved in the offering of the Exchangeable Notes (the “Initial Purchasers”) of their option to purchase additional Exchangeable Notes, Uniti Fiber Holdings Inc., the issuer of the Exchangeable Notes, entered into exchangeable note hedge transactions with respect to the Company’s common stock (the “Note Hedge Transactions”) with certain of the Initial Purchasers or their respective affiliates (collectively, the “Counterparties”). The Note Hedge Transactions cover, subject to anti-dilution adjustments substantially similar to those applicable to the Exchangeable Notes, the same number of shares of the Company’s common stock that initially underlie the Exchangeable Notes in the aggregate and are exercisable upon exchange of the Exchangeable Notes. The Note Hedge Transactions have an initial strike price that corresponds to the initial exchange price of the Exchangeable Notes, subject to anti-dilution adjustments substantially similar to those applicable to the Exchangeable Notes. The Note Hedge Transactions will expire upon the maturity of the Exchangeable Notes, if not earlier exercised. The Note Hedge Transactions are intended to reduce potential dilution to the Company’s common stock upon any exchange of the Exchangeable Notes and/or offset any cash payments Uniti Fiber is required to make in excess of the principal amount of exchanged Exchangeable Notes, as the case may be, in the event that the market value per share of the Company’s common stock, as measured under the Note Hedge Transactions, at the time of exercise is greater than the strike price of the Note Hedge Transactions.</w:t>
      </w:r>
    </w:p>
    <w:p>
      <w:pPr>
        <w:spacing w:after="0" w:line="208" w:lineRule="exact"/>
        <w:rPr>
          <w:sz w:val="20"/>
          <w:szCs w:val="20"/>
          <w:color w:val="auto"/>
        </w:rPr>
      </w:pPr>
    </w:p>
    <w:p>
      <w:pPr>
        <w:ind w:right="200"/>
        <w:spacing w:after="0" w:line="259" w:lineRule="auto"/>
        <w:rPr>
          <w:sz w:val="20"/>
          <w:szCs w:val="20"/>
          <w:color w:val="auto"/>
        </w:rPr>
      </w:pPr>
      <w:r>
        <w:rPr>
          <w:rFonts w:ascii="Arial" w:cs="Arial" w:eastAsia="Arial" w:hAnsi="Arial"/>
          <w:sz w:val="18"/>
          <w:szCs w:val="18"/>
          <w:color w:val="auto"/>
        </w:rPr>
        <w:t>The Note Hedge Transactions are separate transactions, entered into by Uniti Fiber Holdings Inc. with the Counterparties, and are not part of the terms of the Exchangeable Notes. Holders of the Exchangeable Notes will not have any rights with respect to the Note Hedge Transactions. The Note Hedge Transactions meet certain accounting criteria under GAAP, are recorded in additional paid-in capital on our Condensed Consolidated Balance Sheets and are not accounted for as derivatives that are remeasured each reporting period.</w:t>
      </w: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Warrant Transactions</w:t>
      </w:r>
    </w:p>
    <w:p>
      <w:pPr>
        <w:spacing w:after="0" w:line="252" w:lineRule="exact"/>
        <w:rPr>
          <w:sz w:val="20"/>
          <w:szCs w:val="20"/>
          <w:color w:val="auto"/>
        </w:rPr>
      </w:pPr>
    </w:p>
    <w:p>
      <w:pPr>
        <w:ind w:right="160"/>
        <w:spacing w:after="0" w:line="263" w:lineRule="auto"/>
        <w:rPr>
          <w:sz w:val="20"/>
          <w:szCs w:val="20"/>
          <w:color w:val="auto"/>
        </w:rPr>
      </w:pPr>
      <w:r>
        <w:rPr>
          <w:rFonts w:ascii="Arial" w:cs="Arial" w:eastAsia="Arial" w:hAnsi="Arial"/>
          <w:sz w:val="18"/>
          <w:szCs w:val="18"/>
          <w:color w:val="auto"/>
        </w:rPr>
        <w:t>On June 25, 2019, concurrently with the pricing of the Exchangeable Notes, and on June 27, 2019 concurrently with the exercise by the Initial Purchasers of their option to purchase additional Exchangeable Notes, the Company entered into warrant transactions to sell to the Counterparties Warrants (the “Warrants”) to acquire, subject to anti-dilution adjustments, up to approximately 27.8 million</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8" w:name="page19"/>
    <w:bookmarkEnd w:id="1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66" w:lineRule="exact"/>
        <w:rPr>
          <w:sz w:val="20"/>
          <w:szCs w:val="20"/>
          <w:color w:val="auto"/>
        </w:rPr>
      </w:pPr>
    </w:p>
    <w:p>
      <w:pPr>
        <w:ind w:right="140"/>
        <w:spacing w:after="0" w:line="255" w:lineRule="auto"/>
        <w:rPr>
          <w:sz w:val="20"/>
          <w:szCs w:val="20"/>
          <w:color w:val="auto"/>
        </w:rPr>
      </w:pPr>
      <w:r>
        <w:rPr>
          <w:rFonts w:ascii="Arial" w:cs="Arial" w:eastAsia="Arial" w:hAnsi="Arial"/>
          <w:sz w:val="18"/>
          <w:szCs w:val="18"/>
          <w:color w:val="auto"/>
        </w:rPr>
        <w:t>shares of the Company’s common stock in the aggregate at an exercise price of approximately $16.42 per share. The maximum number of shares of the Company’s common stock that could be issued pursuant to the Warrants is approximately 55.5 million. The Company offered and sold the Warrants in reliance on the exemption from registration provided by Section 4(a)(2) of the Securities Act of 1933, as amended. If the market value per share of the Company’s common stock, as measured under the Warrants, at the time of exercise exceeds the strike price of the Warrants, the Warrants will have a dilutive effect on the Company’s common stock unless, subject to the terms of the Warrants, the Company elects to cash settle the Warrants. The Warrants will expire over a period beginning in September 2024.</w:t>
      </w:r>
    </w:p>
    <w:p>
      <w:pPr>
        <w:spacing w:after="0" w:line="192" w:lineRule="exact"/>
        <w:rPr>
          <w:sz w:val="20"/>
          <w:szCs w:val="20"/>
          <w:color w:val="auto"/>
        </w:rPr>
      </w:pPr>
    </w:p>
    <w:p>
      <w:pPr>
        <w:ind w:right="220"/>
        <w:spacing w:after="0" w:line="259" w:lineRule="auto"/>
        <w:rPr>
          <w:sz w:val="20"/>
          <w:szCs w:val="20"/>
          <w:color w:val="auto"/>
        </w:rPr>
      </w:pPr>
      <w:r>
        <w:rPr>
          <w:rFonts w:ascii="Arial" w:cs="Arial" w:eastAsia="Arial" w:hAnsi="Arial"/>
          <w:sz w:val="18"/>
          <w:szCs w:val="18"/>
          <w:color w:val="auto"/>
        </w:rPr>
        <w:t>The Warrants are separate transactions, entered into by the Company with the Counterparties, and are not part of the terms of the Exchangeable Notes. Holders of the Exchangeable Notes will not have any rights with respect to the Warrants. The Warrants meet certain accounting criteria under GAAP, are recorded in additional paid-in capital on our Condensed Consolidated Balance Sheets and are not accounted for as derivatives that are remeasured each reporting period.</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Goodwill and Intangible Assets and Liabilities</w:t>
      </w:r>
    </w:p>
    <w:p>
      <w:pPr>
        <w:spacing w:after="0" w:line="229"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There were no changes in the carrying amount of goodwill occurring during the three months ended March 31, 2022. The balance of goodwill recorded in our Fiber Infrastructure segment as of March 31, 2022 and December 31, 2021 is as follows:</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08"/>
        </w:trPr>
        <w:tc>
          <w:tcPr>
            <w:tcW w:w="3640" w:type="dxa"/>
            <w:vAlign w:val="bottom"/>
          </w:tcPr>
          <w:p>
            <w:pPr>
              <w:spacing w:after="0"/>
              <w:rPr>
                <w:sz w:val="20"/>
                <w:szCs w:val="20"/>
                <w:color w:val="auto"/>
              </w:rPr>
            </w:pPr>
            <w:r>
              <w:rPr>
                <w:rFonts w:ascii="Arial" w:cs="Arial" w:eastAsia="Arial" w:hAnsi="Arial"/>
                <w:sz w:val="14"/>
                <w:szCs w:val="14"/>
                <w:color w:val="auto"/>
              </w:rPr>
              <w:t>(Thousands)</w:t>
            </w:r>
          </w:p>
        </w:tc>
        <w:tc>
          <w:tcPr>
            <w:tcW w:w="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160" w:type="dxa"/>
            <w:vAlign w:val="bottom"/>
            <w:gridSpan w:val="4"/>
          </w:tcPr>
          <w:p>
            <w:pPr>
              <w:jc w:val="right"/>
              <w:ind w:right="377"/>
              <w:spacing w:after="0"/>
              <w:rPr>
                <w:sz w:val="20"/>
                <w:szCs w:val="20"/>
                <w:color w:val="auto"/>
              </w:rPr>
            </w:pPr>
            <w:r>
              <w:rPr>
                <w:rFonts w:ascii="Arial" w:cs="Arial" w:eastAsia="Arial" w:hAnsi="Arial"/>
                <w:sz w:val="14"/>
                <w:szCs w:val="14"/>
                <w:b w:val="1"/>
                <w:bCs w:val="1"/>
                <w:color w:val="auto"/>
              </w:rPr>
              <w:t>Fiber Infrastructure</w:t>
            </w:r>
          </w:p>
        </w:tc>
        <w:tc>
          <w:tcPr>
            <w:tcW w:w="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500" w:type="dxa"/>
            <w:vAlign w:val="bottom"/>
            <w:gridSpan w:val="2"/>
          </w:tcPr>
          <w:p>
            <w:pPr>
              <w:jc w:val="right"/>
              <w:ind w:right="104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23"/>
        </w:trPr>
        <w:tc>
          <w:tcPr>
            <w:tcW w:w="364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Goodwill at December 31, 2021</w:t>
            </w:r>
          </w:p>
        </w:tc>
        <w:tc>
          <w:tcPr>
            <w:tcW w:w="140" w:type="dxa"/>
            <w:vAlign w:val="bottom"/>
            <w:tcBorders>
              <w:top w:val="single" w:sz="8" w:color="auto"/>
            </w:tcBorders>
            <w:shd w:val="clear" w:color="auto" w:fill="CFF0FC"/>
          </w:tcPr>
          <w:p>
            <w:pPr>
              <w:spacing w:after="0"/>
              <w:rPr>
                <w:sz w:val="19"/>
                <w:szCs w:val="19"/>
                <w:color w:val="auto"/>
              </w:rPr>
            </w:pPr>
          </w:p>
        </w:tc>
        <w:tc>
          <w:tcPr>
            <w:tcW w:w="340" w:type="dxa"/>
            <w:vAlign w:val="bottom"/>
            <w:tcBorders>
              <w:top w:val="single" w:sz="8" w:color="auto"/>
            </w:tcBorders>
            <w:shd w:val="clear" w:color="auto" w:fill="CFF0FC"/>
          </w:tcPr>
          <w:p>
            <w:pPr>
              <w:spacing w:after="0"/>
              <w:rPr>
                <w:sz w:val="19"/>
                <w:szCs w:val="19"/>
                <w:color w:val="auto"/>
              </w:rPr>
            </w:pPr>
          </w:p>
        </w:tc>
        <w:tc>
          <w:tcPr>
            <w:tcW w:w="140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spacing w:after="0"/>
              <w:rPr>
                <w:sz w:val="19"/>
                <w:szCs w:val="19"/>
                <w:color w:val="auto"/>
              </w:rPr>
            </w:pPr>
          </w:p>
        </w:tc>
        <w:tc>
          <w:tcPr>
            <w:tcW w:w="34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920" w:type="dxa"/>
            <w:vAlign w:val="bottom"/>
            <w:tcBorders>
              <w:top w:val="single" w:sz="8" w:color="auto"/>
              <w:bottom w:val="single" w:sz="8" w:color="auto"/>
            </w:tcBorders>
            <w:shd w:val="clear" w:color="auto" w:fill="CFF0FC"/>
          </w:tcPr>
          <w:p>
            <w:pPr>
              <w:jc w:val="right"/>
              <w:ind w:right="736"/>
              <w:spacing w:after="0"/>
              <w:rPr>
                <w:sz w:val="20"/>
                <w:szCs w:val="20"/>
                <w:color w:val="auto"/>
              </w:rPr>
            </w:pPr>
            <w:r>
              <w:rPr>
                <w:rFonts w:ascii="Arial" w:cs="Arial" w:eastAsia="Arial" w:hAnsi="Arial"/>
                <w:sz w:val="18"/>
                <w:szCs w:val="18"/>
                <w:color w:val="auto"/>
                <w:w w:val="79"/>
              </w:rPr>
              <w:t>$</w:t>
            </w:r>
          </w:p>
        </w:tc>
        <w:tc>
          <w:tcPr>
            <w:tcW w:w="240" w:type="dxa"/>
            <w:vAlign w:val="bottom"/>
            <w:tcBorders>
              <w:top w:val="single" w:sz="8" w:color="auto"/>
              <w:bottom w:val="single" w:sz="8" w:color="auto"/>
            </w:tcBorders>
            <w:shd w:val="clear" w:color="auto" w:fill="CFF0FC"/>
          </w:tcPr>
          <w:p>
            <w:pPr>
              <w:spacing w:after="0"/>
              <w:rPr>
                <w:sz w:val="19"/>
                <w:szCs w:val="19"/>
                <w:color w:val="auto"/>
              </w:rPr>
            </w:pPr>
          </w:p>
        </w:tc>
        <w:tc>
          <w:tcPr>
            <w:tcW w:w="240" w:type="dxa"/>
            <w:vAlign w:val="bottom"/>
            <w:tcBorders>
              <w:top w:val="single" w:sz="8" w:color="auto"/>
              <w:bottom w:val="single" w:sz="8" w:color="auto"/>
            </w:tcBorders>
            <w:shd w:val="clear" w:color="auto" w:fill="CFF0FC"/>
          </w:tcPr>
          <w:p>
            <w:pPr>
              <w:spacing w:after="0"/>
              <w:rPr>
                <w:sz w:val="19"/>
                <w:szCs w:val="19"/>
                <w:color w:val="auto"/>
              </w:rPr>
            </w:pPr>
          </w:p>
        </w:tc>
        <w:tc>
          <w:tcPr>
            <w:tcW w:w="7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601,878</w:t>
            </w:r>
          </w:p>
        </w:tc>
        <w:tc>
          <w:tcPr>
            <w:tcW w:w="360" w:type="dxa"/>
            <w:vAlign w:val="bottom"/>
            <w:tcBorders>
              <w:top w:val="single" w:sz="8" w:color="CFF0FC"/>
            </w:tcBorders>
            <w:gridSpan w:val="2"/>
            <w:shd w:val="clear" w:color="auto" w:fill="CFF0FC"/>
          </w:tcPr>
          <w:p>
            <w:pPr>
              <w:spacing w:after="0"/>
              <w:rPr>
                <w:sz w:val="19"/>
                <w:szCs w:val="19"/>
                <w:color w:val="auto"/>
              </w:rPr>
            </w:pPr>
          </w:p>
        </w:tc>
        <w:tc>
          <w:tcPr>
            <w:tcW w:w="280" w:type="dxa"/>
            <w:vAlign w:val="bottom"/>
            <w:tcBorders>
              <w:top w:val="single" w:sz="8" w:color="auto"/>
              <w:bottom w:val="single" w:sz="8" w:color="auto"/>
            </w:tcBorders>
            <w:shd w:val="clear" w:color="auto" w:fill="CFF0FC"/>
          </w:tcPr>
          <w:p>
            <w:pPr>
              <w:jc w:val="right"/>
              <w:ind w:right="169"/>
              <w:spacing w:after="0"/>
              <w:rPr>
                <w:sz w:val="20"/>
                <w:szCs w:val="20"/>
                <w:color w:val="auto"/>
              </w:rPr>
            </w:pPr>
            <w:r>
              <w:rPr>
                <w:rFonts w:ascii="Arial" w:cs="Arial" w:eastAsia="Arial" w:hAnsi="Arial"/>
                <w:sz w:val="10"/>
                <w:szCs w:val="10"/>
                <w:color w:val="auto"/>
                <w:w w:val="71"/>
              </w:rPr>
              <w:t>$</w:t>
            </w:r>
          </w:p>
        </w:tc>
        <w:tc>
          <w:tcPr>
            <w:tcW w:w="140" w:type="dxa"/>
            <w:vAlign w:val="bottom"/>
            <w:tcBorders>
              <w:top w:val="single" w:sz="8" w:color="auto"/>
              <w:bottom w:val="single" w:sz="8" w:color="auto"/>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spacing w:after="0"/>
              <w:rPr>
                <w:sz w:val="19"/>
                <w:szCs w:val="19"/>
                <w:color w:val="auto"/>
              </w:rPr>
            </w:pPr>
          </w:p>
        </w:tc>
        <w:tc>
          <w:tcPr>
            <w:tcW w:w="240" w:type="dxa"/>
            <w:vAlign w:val="bottom"/>
            <w:tcBorders>
              <w:top w:val="single" w:sz="8" w:color="auto"/>
              <w:bottom w:val="single" w:sz="8" w:color="auto"/>
            </w:tcBorders>
            <w:shd w:val="clear" w:color="auto" w:fill="CFF0FC"/>
          </w:tcPr>
          <w:p>
            <w:pPr>
              <w:spacing w:after="0"/>
              <w:rPr>
                <w:sz w:val="19"/>
                <w:szCs w:val="19"/>
                <w:color w:val="auto"/>
              </w:rPr>
            </w:pPr>
          </w:p>
        </w:tc>
        <w:tc>
          <w:tcPr>
            <w:tcW w:w="14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601,878</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640" w:type="dxa"/>
            <w:vAlign w:val="bottom"/>
          </w:tcPr>
          <w:p>
            <w:pPr>
              <w:spacing w:after="0"/>
              <w:rPr>
                <w:sz w:val="20"/>
                <w:szCs w:val="20"/>
                <w:color w:val="auto"/>
              </w:rPr>
            </w:pPr>
            <w:r>
              <w:rPr>
                <w:rFonts w:ascii="Arial" w:cs="Arial" w:eastAsia="Arial" w:hAnsi="Arial"/>
                <w:sz w:val="18"/>
                <w:szCs w:val="18"/>
                <w:color w:val="auto"/>
              </w:rPr>
              <w:t>Goodwill at March 31, 2022</w:t>
            </w:r>
          </w:p>
        </w:tc>
        <w:tc>
          <w:tcPr>
            <w:tcW w:w="1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20" w:type="dxa"/>
            <w:vAlign w:val="bottom"/>
            <w:tcBorders>
              <w:bottom w:val="single" w:sz="8" w:color="auto"/>
            </w:tcBorders>
          </w:tcPr>
          <w:p>
            <w:pPr>
              <w:jc w:val="right"/>
              <w:ind w:right="736"/>
              <w:spacing w:after="0"/>
              <w:rPr>
                <w:sz w:val="20"/>
                <w:szCs w:val="20"/>
                <w:color w:val="auto"/>
              </w:rPr>
            </w:pPr>
            <w:r>
              <w:rPr>
                <w:rFonts w:ascii="Arial" w:cs="Arial" w:eastAsia="Arial" w:hAnsi="Arial"/>
                <w:sz w:val="18"/>
                <w:szCs w:val="18"/>
                <w:color w:val="auto"/>
                <w:w w:val="79"/>
              </w:rPr>
              <w:t>$</w:t>
            </w:r>
          </w:p>
        </w:tc>
        <w:tc>
          <w:tcPr>
            <w:tcW w:w="24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601,878</w:t>
            </w:r>
          </w:p>
        </w:tc>
        <w:tc>
          <w:tcPr>
            <w:tcW w:w="34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jc w:val="right"/>
              <w:ind w:right="169"/>
              <w:spacing w:after="0"/>
              <w:rPr>
                <w:sz w:val="20"/>
                <w:szCs w:val="20"/>
                <w:color w:val="auto"/>
              </w:rPr>
            </w:pPr>
            <w:r>
              <w:rPr>
                <w:rFonts w:ascii="Arial" w:cs="Arial" w:eastAsia="Arial" w:hAnsi="Arial"/>
                <w:sz w:val="10"/>
                <w:szCs w:val="10"/>
                <w:color w:val="auto"/>
                <w:w w:val="71"/>
              </w:rPr>
              <w:t>$</w:t>
            </w:r>
          </w:p>
        </w:tc>
        <w:tc>
          <w:tcPr>
            <w:tcW w:w="14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601,878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6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gridSpan w:val="2"/>
          </w:tcPr>
          <w:p>
            <w:pPr>
              <w:spacing w:after="0" w:line="20" w:lineRule="exact"/>
              <w:rPr>
                <w:sz w:val="1"/>
                <w:szCs w:val="1"/>
                <w:color w:val="auto"/>
              </w:rPr>
            </w:pPr>
          </w:p>
        </w:tc>
        <w:tc>
          <w:tcPr>
            <w:tcW w:w="164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6"/>
        </w:trPr>
        <w:tc>
          <w:tcPr>
            <w:tcW w:w="3640" w:type="dxa"/>
            <w:vAlign w:val="bottom"/>
          </w:tcPr>
          <w:p>
            <w:pPr>
              <w:spacing w:after="0"/>
              <w:rPr>
                <w:sz w:val="20"/>
                <w:szCs w:val="20"/>
                <w:color w:val="auto"/>
              </w:rPr>
            </w:pPr>
            <w:r>
              <w:rPr>
                <w:rFonts w:ascii="Arial" w:cs="Arial" w:eastAsia="Arial" w:hAnsi="Arial"/>
                <w:sz w:val="14"/>
                <w:szCs w:val="14"/>
                <w:color w:val="auto"/>
              </w:rPr>
              <w:t>(Thousands)</w:t>
            </w:r>
          </w:p>
        </w:tc>
        <w:tc>
          <w:tcPr>
            <w:tcW w:w="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980" w:type="dxa"/>
            <w:vAlign w:val="bottom"/>
            <w:gridSpan w:val="3"/>
          </w:tcPr>
          <w:p>
            <w:pPr>
              <w:jc w:val="right"/>
              <w:spacing w:after="0"/>
              <w:rPr>
                <w:sz w:val="20"/>
                <w:szCs w:val="20"/>
                <w:color w:val="auto"/>
              </w:rPr>
            </w:pPr>
            <w:r>
              <w:rPr>
                <w:rFonts w:ascii="Arial" w:cs="Arial" w:eastAsia="Arial" w:hAnsi="Arial"/>
                <w:sz w:val="14"/>
                <w:szCs w:val="14"/>
                <w:b w:val="1"/>
                <w:bCs w:val="1"/>
                <w:color w:val="auto"/>
              </w:rPr>
              <w:t>March 31, 2022</w:t>
            </w:r>
          </w:p>
        </w:tc>
        <w:tc>
          <w:tcPr>
            <w:tcW w:w="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620" w:type="dxa"/>
            <w:vAlign w:val="bottom"/>
            <w:gridSpan w:val="8"/>
          </w:tcPr>
          <w:p>
            <w:pPr>
              <w:jc w:val="right"/>
              <w:ind w:right="1280"/>
              <w:spacing w:after="0"/>
              <w:rPr>
                <w:sz w:val="20"/>
                <w:szCs w:val="20"/>
                <w:color w:val="auto"/>
              </w:rPr>
            </w:pPr>
            <w:r>
              <w:rPr>
                <w:rFonts w:ascii="Arial" w:cs="Arial" w:eastAsia="Arial" w:hAnsi="Arial"/>
                <w:sz w:val="14"/>
                <w:szCs w:val="14"/>
                <w:b w:val="1"/>
                <w:bCs w:val="1"/>
                <w:color w:val="auto"/>
              </w:rPr>
              <w:t>December 31, 2021</w:t>
            </w:r>
          </w:p>
        </w:tc>
        <w:tc>
          <w:tcPr>
            <w:tcW w:w="0" w:type="dxa"/>
            <w:vAlign w:val="bottom"/>
          </w:tcPr>
          <w:p>
            <w:pPr>
              <w:spacing w:after="0"/>
              <w:rPr>
                <w:sz w:val="1"/>
                <w:szCs w:val="1"/>
                <w:color w:val="auto"/>
              </w:rPr>
            </w:pPr>
          </w:p>
        </w:tc>
      </w:tr>
      <w:tr>
        <w:trPr>
          <w:trHeight w:val="133"/>
        </w:trPr>
        <w:tc>
          <w:tcPr>
            <w:tcW w:w="364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340" w:type="dxa"/>
            <w:vAlign w:val="bottom"/>
            <w:tcBorders>
              <w:top w:val="single" w:sz="8" w:color="auto"/>
            </w:tcBorders>
          </w:tcPr>
          <w:p>
            <w:pPr>
              <w:spacing w:after="0"/>
              <w:rPr>
                <w:sz w:val="11"/>
                <w:szCs w:val="11"/>
                <w:color w:val="auto"/>
              </w:rPr>
            </w:pPr>
          </w:p>
        </w:tc>
        <w:tc>
          <w:tcPr>
            <w:tcW w:w="1640" w:type="dxa"/>
            <w:vAlign w:val="bottom"/>
            <w:tcBorders>
              <w:top w:val="single" w:sz="8" w:color="auto"/>
            </w:tcBorders>
            <w:gridSpan w:val="2"/>
          </w:tcPr>
          <w:p>
            <w:pPr>
              <w:jc w:val="right"/>
              <w:ind w:right="860"/>
              <w:spacing w:after="0" w:line="133" w:lineRule="exact"/>
              <w:rPr>
                <w:sz w:val="20"/>
                <w:szCs w:val="20"/>
                <w:color w:val="auto"/>
              </w:rPr>
            </w:pPr>
            <w:r>
              <w:rPr>
                <w:rFonts w:ascii="Arial" w:cs="Arial" w:eastAsia="Arial" w:hAnsi="Arial"/>
                <w:sz w:val="14"/>
                <w:szCs w:val="14"/>
                <w:b w:val="1"/>
                <w:bCs w:val="1"/>
                <w:color w:val="auto"/>
              </w:rPr>
              <w:t>Original</w:t>
            </w:r>
          </w:p>
        </w:tc>
        <w:tc>
          <w:tcPr>
            <w:tcW w:w="340" w:type="dxa"/>
            <w:vAlign w:val="bottom"/>
            <w:tcBorders>
              <w:top w:val="single" w:sz="8" w:color="auto"/>
            </w:tcBorders>
          </w:tcPr>
          <w:p>
            <w:pPr>
              <w:spacing w:after="0"/>
              <w:rPr>
                <w:sz w:val="11"/>
                <w:szCs w:val="11"/>
                <w:color w:val="auto"/>
              </w:rPr>
            </w:pPr>
          </w:p>
        </w:tc>
        <w:tc>
          <w:tcPr>
            <w:tcW w:w="1280" w:type="dxa"/>
            <w:vAlign w:val="bottom"/>
            <w:tcBorders>
              <w:top w:val="single" w:sz="8" w:color="auto"/>
            </w:tcBorders>
            <w:gridSpan w:val="3"/>
          </w:tcPr>
          <w:p>
            <w:pPr>
              <w:jc w:val="right"/>
              <w:ind w:right="336"/>
              <w:spacing w:after="0" w:line="133" w:lineRule="exact"/>
              <w:rPr>
                <w:sz w:val="20"/>
                <w:szCs w:val="20"/>
                <w:color w:val="auto"/>
              </w:rPr>
            </w:pPr>
            <w:r>
              <w:rPr>
                <w:rFonts w:ascii="Arial" w:cs="Arial" w:eastAsia="Arial" w:hAnsi="Arial"/>
                <w:sz w:val="14"/>
                <w:szCs w:val="14"/>
                <w:b w:val="1"/>
                <w:bCs w:val="1"/>
                <w:color w:val="auto"/>
                <w:w w:val="95"/>
              </w:rPr>
              <w:t>Accumulated</w:t>
            </w:r>
          </w:p>
        </w:tc>
        <w:tc>
          <w:tcPr>
            <w:tcW w:w="240" w:type="dxa"/>
            <w:vAlign w:val="bottom"/>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540" w:type="dxa"/>
            <w:vAlign w:val="bottom"/>
            <w:tcBorders>
              <w:top w:val="single" w:sz="8" w:color="auto"/>
            </w:tcBorders>
            <w:gridSpan w:val="5"/>
          </w:tcPr>
          <w:p>
            <w:pPr>
              <w:jc w:val="right"/>
              <w:ind w:right="700"/>
              <w:spacing w:after="0" w:line="133" w:lineRule="exact"/>
              <w:rPr>
                <w:sz w:val="20"/>
                <w:szCs w:val="20"/>
                <w:color w:val="auto"/>
              </w:rPr>
            </w:pPr>
            <w:r>
              <w:rPr>
                <w:rFonts w:ascii="Arial" w:cs="Arial" w:eastAsia="Arial" w:hAnsi="Arial"/>
                <w:sz w:val="14"/>
                <w:szCs w:val="14"/>
                <w:b w:val="1"/>
                <w:bCs w:val="1"/>
                <w:color w:val="auto"/>
              </w:rPr>
              <w:t>Original</w:t>
            </w:r>
          </w:p>
        </w:tc>
        <w:tc>
          <w:tcPr>
            <w:tcW w:w="10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400" w:type="dxa"/>
            <w:vAlign w:val="bottom"/>
            <w:tcBorders>
              <w:top w:val="single" w:sz="8" w:color="auto"/>
            </w:tcBorders>
          </w:tcPr>
          <w:p>
            <w:pPr>
              <w:jc w:val="right"/>
              <w:ind w:right="336"/>
              <w:spacing w:after="0" w:line="133" w:lineRule="exact"/>
              <w:rPr>
                <w:sz w:val="20"/>
                <w:szCs w:val="20"/>
                <w:color w:val="auto"/>
              </w:rPr>
            </w:pPr>
            <w:r>
              <w:rPr>
                <w:rFonts w:ascii="Arial" w:cs="Arial" w:eastAsia="Arial" w:hAnsi="Arial"/>
                <w:sz w:val="14"/>
                <w:szCs w:val="14"/>
                <w:b w:val="1"/>
                <w:bCs w:val="1"/>
                <w:color w:val="auto"/>
              </w:rPr>
              <w:t>Accumulated</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3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640" w:type="dxa"/>
            <w:vAlign w:val="bottom"/>
            <w:gridSpan w:val="2"/>
          </w:tcPr>
          <w:p>
            <w:pPr>
              <w:jc w:val="right"/>
              <w:ind w:right="980"/>
              <w:spacing w:after="0"/>
              <w:rPr>
                <w:sz w:val="20"/>
                <w:szCs w:val="20"/>
                <w:color w:val="auto"/>
              </w:rPr>
            </w:pPr>
            <w:r>
              <w:rPr>
                <w:rFonts w:ascii="Arial" w:cs="Arial" w:eastAsia="Arial" w:hAnsi="Arial"/>
                <w:sz w:val="14"/>
                <w:szCs w:val="14"/>
                <w:b w:val="1"/>
                <w:bCs w:val="1"/>
                <w:color w:val="auto"/>
              </w:rPr>
              <w:t>Cost</w:t>
            </w:r>
          </w:p>
        </w:tc>
        <w:tc>
          <w:tcPr>
            <w:tcW w:w="340" w:type="dxa"/>
            <w:vAlign w:val="bottom"/>
          </w:tcPr>
          <w:p>
            <w:pPr>
              <w:spacing w:after="0"/>
              <w:rPr>
                <w:sz w:val="14"/>
                <w:szCs w:val="14"/>
                <w:color w:val="auto"/>
              </w:rPr>
            </w:pPr>
          </w:p>
        </w:tc>
        <w:tc>
          <w:tcPr>
            <w:tcW w:w="1520" w:type="dxa"/>
            <w:vAlign w:val="bottom"/>
            <w:gridSpan w:val="4"/>
          </w:tcPr>
          <w:p>
            <w:pPr>
              <w:jc w:val="right"/>
              <w:ind w:right="640"/>
              <w:spacing w:after="0"/>
              <w:rPr>
                <w:sz w:val="20"/>
                <w:szCs w:val="20"/>
                <w:color w:val="auto"/>
              </w:rPr>
            </w:pPr>
            <w:r>
              <w:rPr>
                <w:rFonts w:ascii="Arial" w:cs="Arial" w:eastAsia="Arial" w:hAnsi="Arial"/>
                <w:sz w:val="14"/>
                <w:szCs w:val="14"/>
                <w:b w:val="1"/>
                <w:bCs w:val="1"/>
                <w:color w:val="auto"/>
              </w:rPr>
              <w:t>Amortization</w:t>
            </w:r>
          </w:p>
        </w:tc>
        <w:tc>
          <w:tcPr>
            <w:tcW w:w="240" w:type="dxa"/>
            <w:vAlign w:val="bottom"/>
          </w:tcPr>
          <w:p>
            <w:pPr>
              <w:spacing w:after="0"/>
              <w:rPr>
                <w:sz w:val="14"/>
                <w:szCs w:val="14"/>
                <w:color w:val="auto"/>
              </w:rPr>
            </w:pPr>
          </w:p>
        </w:tc>
        <w:tc>
          <w:tcPr>
            <w:tcW w:w="760" w:type="dxa"/>
            <w:vAlign w:val="bottom"/>
          </w:tcPr>
          <w:p>
            <w:pPr>
              <w:jc w:val="right"/>
              <w:spacing w:after="0"/>
              <w:rPr>
                <w:sz w:val="20"/>
                <w:szCs w:val="20"/>
                <w:color w:val="auto"/>
              </w:rPr>
            </w:pPr>
            <w:r>
              <w:rPr>
                <w:rFonts w:ascii="Arial" w:cs="Arial" w:eastAsia="Arial" w:hAnsi="Arial"/>
                <w:sz w:val="14"/>
                <w:szCs w:val="14"/>
                <w:b w:val="1"/>
                <w:bCs w:val="1"/>
                <w:color w:val="auto"/>
              </w:rPr>
              <w:t>Cost</w:t>
            </w:r>
          </w:p>
        </w:tc>
        <w:tc>
          <w:tcPr>
            <w:tcW w:w="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50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rPr>
              <w:t>Amortization</w:t>
            </w:r>
          </w:p>
        </w:tc>
        <w:tc>
          <w:tcPr>
            <w:tcW w:w="0" w:type="dxa"/>
            <w:vAlign w:val="bottom"/>
          </w:tcPr>
          <w:p>
            <w:pPr>
              <w:spacing w:after="0"/>
              <w:rPr>
                <w:sz w:val="1"/>
                <w:szCs w:val="1"/>
                <w:color w:val="auto"/>
              </w:rPr>
            </w:pPr>
          </w:p>
        </w:tc>
      </w:tr>
      <w:tr>
        <w:trPr>
          <w:trHeight w:val="237"/>
        </w:trPr>
        <w:tc>
          <w:tcPr>
            <w:tcW w:w="36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Finite life intangible assets:</w:t>
            </w:r>
          </w:p>
        </w:tc>
        <w:tc>
          <w:tcPr>
            <w:tcW w:w="140" w:type="dxa"/>
            <w:vAlign w:val="bottom"/>
            <w:tcBorders>
              <w:top w:val="single" w:sz="8" w:color="CFF0FC"/>
            </w:tcBorders>
            <w:shd w:val="clear" w:color="auto" w:fill="CFF0FC"/>
          </w:tcPr>
          <w:p>
            <w:pPr>
              <w:spacing w:after="0"/>
              <w:rPr>
                <w:sz w:val="20"/>
                <w:szCs w:val="20"/>
                <w:color w:val="auto"/>
              </w:rPr>
            </w:pPr>
          </w:p>
        </w:tc>
        <w:tc>
          <w:tcPr>
            <w:tcW w:w="340" w:type="dxa"/>
            <w:vAlign w:val="bottom"/>
            <w:tcBorders>
              <w:top w:val="single" w:sz="8" w:color="auto"/>
            </w:tcBorders>
            <w:shd w:val="clear" w:color="auto" w:fill="CFF0FC"/>
          </w:tcPr>
          <w:p>
            <w:pPr>
              <w:spacing w:after="0"/>
              <w:rPr>
                <w:sz w:val="20"/>
                <w:szCs w:val="20"/>
                <w:color w:val="auto"/>
              </w:rPr>
            </w:pPr>
          </w:p>
        </w:tc>
        <w:tc>
          <w:tcPr>
            <w:tcW w:w="1400" w:type="dxa"/>
            <w:vAlign w:val="bottom"/>
            <w:tcBorders>
              <w:top w:val="single" w:sz="8" w:color="auto"/>
            </w:tcBorders>
            <w:shd w:val="clear" w:color="auto" w:fill="CFF0FC"/>
          </w:tcPr>
          <w:p>
            <w:pPr>
              <w:spacing w:after="0"/>
              <w:rPr>
                <w:sz w:val="20"/>
                <w:szCs w:val="20"/>
                <w:color w:val="auto"/>
              </w:rPr>
            </w:pPr>
          </w:p>
        </w:tc>
        <w:tc>
          <w:tcPr>
            <w:tcW w:w="240" w:type="dxa"/>
            <w:vAlign w:val="bottom"/>
            <w:tcBorders>
              <w:top w:val="single" w:sz="8" w:color="CFF0FC"/>
            </w:tcBorders>
            <w:shd w:val="clear" w:color="auto" w:fill="CFF0FC"/>
          </w:tcPr>
          <w:p>
            <w:pPr>
              <w:spacing w:after="0"/>
              <w:rPr>
                <w:sz w:val="20"/>
                <w:szCs w:val="20"/>
                <w:color w:val="auto"/>
              </w:rPr>
            </w:pPr>
          </w:p>
        </w:tc>
        <w:tc>
          <w:tcPr>
            <w:tcW w:w="340" w:type="dxa"/>
            <w:vAlign w:val="bottom"/>
            <w:tcBorders>
              <w:top w:val="single" w:sz="8" w:color="auto"/>
            </w:tcBorders>
            <w:shd w:val="clear" w:color="auto" w:fill="CFF0FC"/>
          </w:tcPr>
          <w:p>
            <w:pPr>
              <w:spacing w:after="0"/>
              <w:rPr>
                <w:sz w:val="20"/>
                <w:szCs w:val="20"/>
                <w:color w:val="auto"/>
              </w:rPr>
            </w:pPr>
          </w:p>
        </w:tc>
        <w:tc>
          <w:tcPr>
            <w:tcW w:w="140" w:type="dxa"/>
            <w:vAlign w:val="bottom"/>
            <w:tcBorders>
              <w:top w:val="single" w:sz="8" w:color="auto"/>
            </w:tcBorders>
            <w:shd w:val="clear" w:color="auto" w:fill="CFF0FC"/>
          </w:tcPr>
          <w:p>
            <w:pPr>
              <w:spacing w:after="0"/>
              <w:rPr>
                <w:sz w:val="20"/>
                <w:szCs w:val="20"/>
                <w:color w:val="auto"/>
              </w:rPr>
            </w:pPr>
          </w:p>
        </w:tc>
        <w:tc>
          <w:tcPr>
            <w:tcW w:w="220" w:type="dxa"/>
            <w:vAlign w:val="bottom"/>
            <w:tcBorders>
              <w:top w:val="single" w:sz="8" w:color="auto"/>
            </w:tcBorders>
            <w:shd w:val="clear" w:color="auto" w:fill="CFF0FC"/>
          </w:tcPr>
          <w:p>
            <w:pPr>
              <w:spacing w:after="0"/>
              <w:rPr>
                <w:sz w:val="20"/>
                <w:szCs w:val="20"/>
                <w:color w:val="auto"/>
              </w:rPr>
            </w:pPr>
          </w:p>
        </w:tc>
        <w:tc>
          <w:tcPr>
            <w:tcW w:w="920" w:type="dxa"/>
            <w:vAlign w:val="bottom"/>
            <w:tcBorders>
              <w:top w:val="single" w:sz="8" w:color="auto"/>
            </w:tcBorders>
            <w:shd w:val="clear" w:color="auto" w:fill="CFF0FC"/>
          </w:tcPr>
          <w:p>
            <w:pPr>
              <w:spacing w:after="0"/>
              <w:rPr>
                <w:sz w:val="20"/>
                <w:szCs w:val="20"/>
                <w:color w:val="auto"/>
              </w:rPr>
            </w:pPr>
          </w:p>
        </w:tc>
        <w:tc>
          <w:tcPr>
            <w:tcW w:w="240" w:type="dxa"/>
            <w:vAlign w:val="bottom"/>
            <w:tcBorders>
              <w:top w:val="single" w:sz="8" w:color="CFF0FC"/>
            </w:tcBorders>
            <w:shd w:val="clear" w:color="auto" w:fill="CFF0FC"/>
          </w:tcPr>
          <w:p>
            <w:pPr>
              <w:spacing w:after="0"/>
              <w:rPr>
                <w:sz w:val="20"/>
                <w:szCs w:val="20"/>
                <w:color w:val="auto"/>
              </w:rPr>
            </w:pPr>
          </w:p>
        </w:tc>
        <w:tc>
          <w:tcPr>
            <w:tcW w:w="240" w:type="dxa"/>
            <w:vAlign w:val="bottom"/>
            <w:tcBorders>
              <w:top w:val="single" w:sz="8" w:color="auto"/>
            </w:tcBorders>
            <w:shd w:val="clear" w:color="auto" w:fill="CFF0FC"/>
          </w:tcPr>
          <w:p>
            <w:pPr>
              <w:spacing w:after="0"/>
              <w:rPr>
                <w:sz w:val="20"/>
                <w:szCs w:val="20"/>
                <w:color w:val="auto"/>
              </w:rPr>
            </w:pPr>
          </w:p>
        </w:tc>
        <w:tc>
          <w:tcPr>
            <w:tcW w:w="760" w:type="dxa"/>
            <w:vAlign w:val="bottom"/>
            <w:tcBorders>
              <w:top w:val="single" w:sz="8" w:color="auto"/>
            </w:tcBorders>
            <w:shd w:val="clear" w:color="auto" w:fill="CFF0FC"/>
          </w:tcPr>
          <w:p>
            <w:pPr>
              <w:spacing w:after="0"/>
              <w:rPr>
                <w:sz w:val="20"/>
                <w:szCs w:val="20"/>
                <w:color w:val="auto"/>
              </w:rPr>
            </w:pPr>
          </w:p>
        </w:tc>
        <w:tc>
          <w:tcPr>
            <w:tcW w:w="340" w:type="dxa"/>
            <w:vAlign w:val="bottom"/>
            <w:tcBorders>
              <w:top w:val="single" w:sz="8" w:color="auto"/>
            </w:tcBorders>
            <w:shd w:val="clear" w:color="auto" w:fill="CFF0FC"/>
          </w:tcPr>
          <w:p>
            <w:pPr>
              <w:spacing w:after="0"/>
              <w:rPr>
                <w:sz w:val="20"/>
                <w:szCs w:val="20"/>
                <w:color w:val="auto"/>
              </w:rPr>
            </w:pPr>
          </w:p>
        </w:tc>
        <w:tc>
          <w:tcPr>
            <w:tcW w:w="20" w:type="dxa"/>
            <w:vAlign w:val="bottom"/>
            <w:tcBorders>
              <w:top w:val="single" w:sz="8" w:color="auto"/>
            </w:tcBorders>
            <w:shd w:val="clear" w:color="auto" w:fill="CFF0FC"/>
          </w:tcPr>
          <w:p>
            <w:pPr>
              <w:spacing w:after="0"/>
              <w:rPr>
                <w:sz w:val="20"/>
                <w:szCs w:val="20"/>
                <w:color w:val="auto"/>
              </w:rPr>
            </w:pPr>
          </w:p>
        </w:tc>
        <w:tc>
          <w:tcPr>
            <w:tcW w:w="280" w:type="dxa"/>
            <w:vAlign w:val="bottom"/>
            <w:tcBorders>
              <w:top w:val="single" w:sz="8" w:color="auto"/>
            </w:tcBorders>
            <w:shd w:val="clear" w:color="auto" w:fill="CFF0FC"/>
          </w:tcPr>
          <w:p>
            <w:pPr>
              <w:spacing w:after="0"/>
              <w:rPr>
                <w:sz w:val="20"/>
                <w:szCs w:val="20"/>
                <w:color w:val="auto"/>
              </w:rPr>
            </w:pPr>
          </w:p>
        </w:tc>
        <w:tc>
          <w:tcPr>
            <w:tcW w:w="140" w:type="dxa"/>
            <w:vAlign w:val="bottom"/>
            <w:tcBorders>
              <w:top w:val="single" w:sz="8" w:color="CFF0FC"/>
            </w:tcBorders>
            <w:shd w:val="clear" w:color="auto" w:fill="CFF0FC"/>
          </w:tcPr>
          <w:p>
            <w:pPr>
              <w:spacing w:after="0"/>
              <w:rPr>
                <w:sz w:val="20"/>
                <w:szCs w:val="20"/>
                <w:color w:val="auto"/>
              </w:rPr>
            </w:pPr>
          </w:p>
        </w:tc>
        <w:tc>
          <w:tcPr>
            <w:tcW w:w="100" w:type="dxa"/>
            <w:vAlign w:val="bottom"/>
            <w:tcBorders>
              <w:top w:val="single" w:sz="8" w:color="CFF0FC"/>
            </w:tcBorders>
            <w:shd w:val="clear" w:color="auto" w:fill="CFF0FC"/>
          </w:tcPr>
          <w:p>
            <w:pPr>
              <w:spacing w:after="0"/>
              <w:rPr>
                <w:sz w:val="20"/>
                <w:szCs w:val="20"/>
                <w:color w:val="auto"/>
              </w:rPr>
            </w:pPr>
          </w:p>
        </w:tc>
        <w:tc>
          <w:tcPr>
            <w:tcW w:w="240" w:type="dxa"/>
            <w:vAlign w:val="bottom"/>
            <w:tcBorders>
              <w:top w:val="single" w:sz="8" w:color="auto"/>
            </w:tcBorders>
            <w:shd w:val="clear" w:color="auto" w:fill="CFF0FC"/>
          </w:tcPr>
          <w:p>
            <w:pPr>
              <w:spacing w:after="0"/>
              <w:rPr>
                <w:sz w:val="20"/>
                <w:szCs w:val="20"/>
                <w:color w:val="auto"/>
              </w:rPr>
            </w:pPr>
          </w:p>
        </w:tc>
        <w:tc>
          <w:tcPr>
            <w:tcW w:w="1400" w:type="dxa"/>
            <w:vAlign w:val="bottom"/>
            <w:tcBorders>
              <w:top w:val="single" w:sz="8" w:color="auto"/>
            </w:tcBorders>
            <w:shd w:val="clear" w:color="auto" w:fill="CFF0FC"/>
          </w:tcPr>
          <w:p>
            <w:pPr>
              <w:spacing w:after="0"/>
              <w:rPr>
                <w:sz w:val="20"/>
                <w:szCs w:val="20"/>
                <w:color w:val="auto"/>
              </w:rPr>
            </w:pPr>
          </w:p>
        </w:tc>
        <w:tc>
          <w:tcPr>
            <w:tcW w:w="100" w:type="dxa"/>
            <w:vAlign w:val="bottom"/>
            <w:tcBorders>
              <w:top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3640" w:type="dxa"/>
            <w:vAlign w:val="bottom"/>
          </w:tcPr>
          <w:p>
            <w:pPr>
              <w:spacing w:after="0"/>
              <w:rPr>
                <w:sz w:val="20"/>
                <w:szCs w:val="20"/>
                <w:color w:val="auto"/>
              </w:rPr>
            </w:pPr>
            <w:r>
              <w:rPr>
                <w:rFonts w:ascii="Arial" w:cs="Arial" w:eastAsia="Arial" w:hAnsi="Arial"/>
                <w:sz w:val="18"/>
                <w:szCs w:val="18"/>
                <w:color w:val="auto"/>
              </w:rPr>
              <w:t>Customer lists</w:t>
            </w:r>
          </w:p>
        </w:tc>
        <w:tc>
          <w:tcPr>
            <w:tcW w:w="4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416,104</w:t>
            </w:r>
          </w:p>
        </w:tc>
        <w:tc>
          <w:tcPr>
            <w:tcW w:w="240" w:type="dxa"/>
            <w:vAlign w:val="bottom"/>
          </w:tcPr>
          <w:p>
            <w:pPr>
              <w:spacing w:after="0"/>
              <w:rPr>
                <w:sz w:val="19"/>
                <w:szCs w:val="19"/>
                <w:color w:val="auto"/>
              </w:rPr>
            </w:pPr>
          </w:p>
        </w:tc>
        <w:tc>
          <w:tcPr>
            <w:tcW w:w="340" w:type="dxa"/>
            <w:vAlign w:val="bottom"/>
          </w:tcPr>
          <w:p>
            <w:pPr>
              <w:jc w:val="right"/>
              <w:ind w:right="187"/>
              <w:spacing w:after="0"/>
              <w:rPr>
                <w:sz w:val="20"/>
                <w:szCs w:val="20"/>
                <w:color w:val="auto"/>
              </w:rPr>
            </w:pPr>
            <w:r>
              <w:rPr>
                <w:rFonts w:ascii="Arial" w:cs="Arial" w:eastAsia="Arial" w:hAnsi="Arial"/>
                <w:sz w:val="15"/>
                <w:szCs w:val="15"/>
                <w:color w:val="auto"/>
                <w:w w:val="71"/>
              </w:rPr>
              <w:t>$</w:t>
            </w:r>
          </w:p>
        </w:tc>
        <w:tc>
          <w:tcPr>
            <w:tcW w:w="1520" w:type="dxa"/>
            <w:vAlign w:val="bottom"/>
            <w:gridSpan w:val="4"/>
          </w:tcPr>
          <w:p>
            <w:pPr>
              <w:jc w:val="right"/>
              <w:ind w:right="180"/>
              <w:spacing w:after="0"/>
              <w:rPr>
                <w:sz w:val="20"/>
                <w:szCs w:val="20"/>
                <w:color w:val="auto"/>
              </w:rPr>
            </w:pPr>
            <w:r>
              <w:rPr>
                <w:rFonts w:ascii="Arial" w:cs="Arial" w:eastAsia="Arial" w:hAnsi="Arial"/>
                <w:sz w:val="18"/>
                <w:szCs w:val="18"/>
                <w:color w:val="auto"/>
              </w:rPr>
              <w:t>(111,579)</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760" w:type="dxa"/>
            <w:vAlign w:val="bottom"/>
          </w:tcPr>
          <w:p>
            <w:pPr>
              <w:spacing w:after="0"/>
              <w:rPr>
                <w:sz w:val="19"/>
                <w:szCs w:val="19"/>
                <w:color w:val="auto"/>
              </w:rPr>
            </w:pPr>
          </w:p>
        </w:tc>
        <w:tc>
          <w:tcPr>
            <w:tcW w:w="640" w:type="dxa"/>
            <w:vAlign w:val="bottom"/>
            <w:gridSpan w:val="3"/>
          </w:tcPr>
          <w:p>
            <w:pPr>
              <w:jc w:val="right"/>
              <w:spacing w:after="0"/>
              <w:rPr>
                <w:sz w:val="20"/>
                <w:szCs w:val="20"/>
                <w:color w:val="auto"/>
              </w:rPr>
            </w:pPr>
            <w:r>
              <w:rPr>
                <w:rFonts w:ascii="Arial" w:cs="Arial" w:eastAsia="Arial" w:hAnsi="Arial"/>
                <w:sz w:val="18"/>
                <w:szCs w:val="18"/>
                <w:color w:val="auto"/>
                <w:w w:val="92"/>
              </w:rPr>
              <w:t>416,104</w:t>
            </w:r>
          </w:p>
        </w:tc>
        <w:tc>
          <w:tcPr>
            <w:tcW w:w="140" w:type="dxa"/>
            <w:vAlign w:val="bottom"/>
          </w:tcPr>
          <w:p>
            <w:pPr>
              <w:spacing w:after="0"/>
              <w:rPr>
                <w:sz w:val="19"/>
                <w:szCs w:val="19"/>
                <w:color w:val="auto"/>
              </w:rPr>
            </w:pPr>
          </w:p>
        </w:tc>
        <w:tc>
          <w:tcPr>
            <w:tcW w:w="3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500" w:type="dxa"/>
            <w:vAlign w:val="bottom"/>
            <w:gridSpan w:val="2"/>
          </w:tcPr>
          <w:p>
            <w:pPr>
              <w:jc w:val="right"/>
              <w:ind w:right="40"/>
              <w:spacing w:after="0"/>
              <w:rPr>
                <w:sz w:val="20"/>
                <w:szCs w:val="20"/>
                <w:color w:val="auto"/>
              </w:rPr>
            </w:pPr>
            <w:r>
              <w:rPr>
                <w:rFonts w:ascii="Arial" w:cs="Arial" w:eastAsia="Arial" w:hAnsi="Arial"/>
                <w:sz w:val="18"/>
                <w:szCs w:val="18"/>
                <w:color w:val="auto"/>
              </w:rPr>
              <w:t>(105,861)</w:t>
            </w:r>
          </w:p>
        </w:tc>
        <w:tc>
          <w:tcPr>
            <w:tcW w:w="0" w:type="dxa"/>
            <w:vAlign w:val="bottom"/>
          </w:tcPr>
          <w:p>
            <w:pPr>
              <w:spacing w:after="0"/>
              <w:rPr>
                <w:sz w:val="1"/>
                <w:szCs w:val="1"/>
                <w:color w:val="auto"/>
              </w:rPr>
            </w:pPr>
          </w:p>
        </w:tc>
      </w:tr>
      <w:tr>
        <w:trPr>
          <w:trHeight w:val="230"/>
        </w:trPr>
        <w:tc>
          <w:tcPr>
            <w:tcW w:w="3640" w:type="dxa"/>
            <w:vAlign w:val="bottom"/>
            <w:shd w:val="clear" w:color="auto" w:fill="CFF0FC"/>
          </w:tcPr>
          <w:p>
            <w:pPr>
              <w:spacing w:after="0"/>
              <w:rPr>
                <w:sz w:val="20"/>
                <w:szCs w:val="20"/>
                <w:color w:val="auto"/>
              </w:rPr>
            </w:pPr>
            <w:r>
              <w:rPr>
                <w:rFonts w:ascii="Arial" w:cs="Arial" w:eastAsia="Arial" w:hAnsi="Arial"/>
                <w:sz w:val="18"/>
                <w:szCs w:val="18"/>
                <w:color w:val="auto"/>
              </w:rPr>
              <w:t>Contracts</w:t>
            </w:r>
          </w:p>
        </w:tc>
        <w:tc>
          <w:tcPr>
            <w:tcW w:w="14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52,536</w:t>
            </w:r>
          </w:p>
        </w:tc>
        <w:tc>
          <w:tcPr>
            <w:tcW w:w="24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520" w:type="dxa"/>
            <w:vAlign w:val="bottom"/>
            <w:gridSpan w:val="4"/>
            <w:shd w:val="clear" w:color="auto" w:fill="CFF0FC"/>
          </w:tcPr>
          <w:p>
            <w:pPr>
              <w:jc w:val="right"/>
              <w:ind w:right="180"/>
              <w:spacing w:after="0"/>
              <w:rPr>
                <w:sz w:val="20"/>
                <w:szCs w:val="20"/>
                <w:color w:val="auto"/>
              </w:rPr>
            </w:pPr>
            <w:r>
              <w:rPr>
                <w:rFonts w:ascii="Arial" w:cs="Arial" w:eastAsia="Arial" w:hAnsi="Arial"/>
                <w:sz w:val="18"/>
                <w:szCs w:val="18"/>
                <w:color w:val="auto"/>
              </w:rPr>
              <w:t>(9,850)</w:t>
            </w:r>
          </w:p>
        </w:tc>
        <w:tc>
          <w:tcPr>
            <w:tcW w:w="24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64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rPr>
              <w:t>52,536</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5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(8,209)</w:t>
            </w:r>
          </w:p>
        </w:tc>
        <w:tc>
          <w:tcPr>
            <w:tcW w:w="0" w:type="dxa"/>
            <w:vAlign w:val="bottom"/>
          </w:tcPr>
          <w:p>
            <w:pPr>
              <w:spacing w:after="0"/>
              <w:rPr>
                <w:sz w:val="1"/>
                <w:szCs w:val="1"/>
                <w:color w:val="auto"/>
              </w:rPr>
            </w:pPr>
          </w:p>
        </w:tc>
      </w:tr>
      <w:tr>
        <w:trPr>
          <w:trHeight w:val="229"/>
        </w:trPr>
        <w:tc>
          <w:tcPr>
            <w:tcW w:w="3640" w:type="dxa"/>
            <w:vAlign w:val="bottom"/>
          </w:tcPr>
          <w:p>
            <w:pPr>
              <w:spacing w:after="0"/>
              <w:rPr>
                <w:sz w:val="20"/>
                <w:szCs w:val="20"/>
                <w:color w:val="auto"/>
              </w:rPr>
            </w:pPr>
            <w:r>
              <w:rPr>
                <w:rFonts w:ascii="Arial" w:cs="Arial" w:eastAsia="Arial" w:hAnsi="Arial"/>
                <w:sz w:val="18"/>
                <w:szCs w:val="18"/>
                <w:color w:val="auto"/>
              </w:rPr>
              <w:t>Underlying Rights</w:t>
            </w:r>
          </w:p>
        </w:tc>
        <w:tc>
          <w:tcPr>
            <w:tcW w:w="1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10,497</w:t>
            </w:r>
          </w:p>
        </w:tc>
        <w:tc>
          <w:tcPr>
            <w:tcW w:w="2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520" w:type="dxa"/>
            <w:vAlign w:val="bottom"/>
            <w:gridSpan w:val="4"/>
          </w:tcPr>
          <w:p>
            <w:pPr>
              <w:jc w:val="right"/>
              <w:ind w:right="180"/>
              <w:spacing w:after="0"/>
              <w:rPr>
                <w:sz w:val="20"/>
                <w:szCs w:val="20"/>
                <w:color w:val="auto"/>
              </w:rPr>
            </w:pPr>
            <w:r>
              <w:rPr>
                <w:rFonts w:ascii="Arial" w:cs="Arial" w:eastAsia="Arial" w:hAnsi="Arial"/>
                <w:sz w:val="18"/>
                <w:szCs w:val="18"/>
                <w:color w:val="auto"/>
              </w:rPr>
              <w:t>(525)</w:t>
            </w:r>
          </w:p>
        </w:tc>
        <w:tc>
          <w:tcPr>
            <w:tcW w:w="2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640" w:type="dxa"/>
            <w:vAlign w:val="bottom"/>
            <w:gridSpan w:val="3"/>
          </w:tcPr>
          <w:p>
            <w:pPr>
              <w:jc w:val="right"/>
              <w:spacing w:after="0"/>
              <w:rPr>
                <w:sz w:val="20"/>
                <w:szCs w:val="20"/>
                <w:color w:val="auto"/>
              </w:rPr>
            </w:pPr>
            <w:r>
              <w:rPr>
                <w:rFonts w:ascii="Arial" w:cs="Arial" w:eastAsia="Arial" w:hAnsi="Arial"/>
                <w:sz w:val="18"/>
                <w:szCs w:val="18"/>
                <w:color w:val="auto"/>
              </w:rPr>
              <w:t>10,497</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500" w:type="dxa"/>
            <w:vAlign w:val="bottom"/>
            <w:gridSpan w:val="2"/>
          </w:tcPr>
          <w:p>
            <w:pPr>
              <w:jc w:val="right"/>
              <w:ind w:right="40"/>
              <w:spacing w:after="0"/>
              <w:rPr>
                <w:sz w:val="20"/>
                <w:szCs w:val="20"/>
                <w:color w:val="auto"/>
              </w:rPr>
            </w:pPr>
            <w:r>
              <w:rPr>
                <w:rFonts w:ascii="Arial" w:cs="Arial" w:eastAsia="Arial" w:hAnsi="Arial"/>
                <w:sz w:val="18"/>
                <w:szCs w:val="18"/>
                <w:color w:val="auto"/>
              </w:rPr>
              <w:t>(437)</w:t>
            </w:r>
          </w:p>
        </w:tc>
        <w:tc>
          <w:tcPr>
            <w:tcW w:w="0" w:type="dxa"/>
            <w:vAlign w:val="bottom"/>
          </w:tcPr>
          <w:p>
            <w:pPr>
              <w:spacing w:after="0"/>
              <w:rPr>
                <w:sz w:val="1"/>
                <w:szCs w:val="1"/>
                <w:color w:val="auto"/>
              </w:rPr>
            </w:pPr>
          </w:p>
        </w:tc>
      </w:tr>
      <w:tr>
        <w:trPr>
          <w:trHeight w:val="230"/>
        </w:trPr>
        <w:tc>
          <w:tcPr>
            <w:tcW w:w="36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4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640" w:type="dxa"/>
            <w:vAlign w:val="bottom"/>
            <w:gridSpan w:val="3"/>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4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3640" w:type="dxa"/>
            <w:vAlign w:val="bottom"/>
          </w:tcPr>
          <w:p>
            <w:pPr>
              <w:spacing w:after="0"/>
              <w:rPr>
                <w:sz w:val="20"/>
                <w:szCs w:val="20"/>
                <w:color w:val="auto"/>
              </w:rPr>
            </w:pPr>
            <w:r>
              <w:rPr>
                <w:rFonts w:ascii="Arial" w:cs="Arial" w:eastAsia="Arial" w:hAnsi="Arial"/>
                <w:sz w:val="18"/>
                <w:szCs w:val="18"/>
                <w:color w:val="auto"/>
              </w:rPr>
              <w:t>Total intangible assets</w:t>
            </w:r>
          </w:p>
        </w:tc>
        <w:tc>
          <w:tcPr>
            <w:tcW w:w="4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479,137</w:t>
            </w:r>
          </w:p>
        </w:tc>
        <w:tc>
          <w:tcPr>
            <w:tcW w:w="2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760" w:type="dxa"/>
            <w:vAlign w:val="bottom"/>
          </w:tcPr>
          <w:p>
            <w:pPr>
              <w:spacing w:after="0"/>
              <w:rPr>
                <w:sz w:val="21"/>
                <w:szCs w:val="21"/>
                <w:color w:val="auto"/>
              </w:rPr>
            </w:pPr>
          </w:p>
        </w:tc>
        <w:tc>
          <w:tcPr>
            <w:tcW w:w="640" w:type="dxa"/>
            <w:vAlign w:val="bottom"/>
            <w:gridSpan w:val="3"/>
          </w:tcPr>
          <w:p>
            <w:pPr>
              <w:jc w:val="right"/>
              <w:spacing w:after="0"/>
              <w:rPr>
                <w:sz w:val="20"/>
                <w:szCs w:val="20"/>
                <w:color w:val="auto"/>
              </w:rPr>
            </w:pPr>
            <w:r>
              <w:rPr>
                <w:rFonts w:ascii="Arial" w:cs="Arial" w:eastAsia="Arial" w:hAnsi="Arial"/>
                <w:sz w:val="18"/>
                <w:szCs w:val="18"/>
                <w:color w:val="auto"/>
                <w:w w:val="92"/>
              </w:rPr>
              <w:t>479,137</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640" w:type="dxa"/>
            <w:vAlign w:val="bottom"/>
            <w:shd w:val="clear" w:color="auto" w:fill="CFF0FC"/>
          </w:tcPr>
          <w:p>
            <w:pPr>
              <w:spacing w:after="0"/>
              <w:rPr>
                <w:sz w:val="20"/>
                <w:szCs w:val="20"/>
                <w:color w:val="auto"/>
              </w:rPr>
            </w:pPr>
            <w:r>
              <w:rPr>
                <w:rFonts w:ascii="Arial" w:cs="Arial" w:eastAsia="Arial" w:hAnsi="Arial"/>
                <w:sz w:val="18"/>
                <w:szCs w:val="18"/>
                <w:color w:val="auto"/>
              </w:rPr>
              <w:t>Less: accumulated amortization</w:t>
            </w:r>
          </w:p>
        </w:tc>
        <w:tc>
          <w:tcPr>
            <w:tcW w:w="140" w:type="dxa"/>
            <w:vAlign w:val="bottom"/>
            <w:shd w:val="clear" w:color="auto" w:fill="CFF0FC"/>
          </w:tcPr>
          <w:p>
            <w:pPr>
              <w:spacing w:after="0"/>
              <w:rPr>
                <w:sz w:val="21"/>
                <w:szCs w:val="21"/>
                <w:color w:val="auto"/>
              </w:rPr>
            </w:pPr>
          </w:p>
        </w:tc>
        <w:tc>
          <w:tcPr>
            <w:tcW w:w="340" w:type="dxa"/>
            <w:vAlign w:val="bottom"/>
            <w:shd w:val="clear" w:color="auto" w:fill="CFF0FC"/>
          </w:tcPr>
          <w:p>
            <w:pPr>
              <w:spacing w:after="0"/>
              <w:rPr>
                <w:sz w:val="21"/>
                <w:szCs w:val="21"/>
                <w:color w:val="auto"/>
              </w:rPr>
            </w:pPr>
          </w:p>
        </w:tc>
        <w:tc>
          <w:tcPr>
            <w:tcW w:w="164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(121,954)</w:t>
            </w:r>
          </w:p>
        </w:tc>
        <w:tc>
          <w:tcPr>
            <w:tcW w:w="34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9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540" w:type="dxa"/>
            <w:vAlign w:val="bottom"/>
            <w:gridSpan w:val="5"/>
            <w:shd w:val="clear" w:color="auto" w:fill="CFF0FC"/>
          </w:tcPr>
          <w:p>
            <w:pPr>
              <w:jc w:val="right"/>
              <w:ind w:right="80"/>
              <w:spacing w:after="0"/>
              <w:rPr>
                <w:sz w:val="20"/>
                <w:szCs w:val="20"/>
                <w:color w:val="auto"/>
              </w:rPr>
            </w:pPr>
            <w:r>
              <w:rPr>
                <w:rFonts w:ascii="Arial" w:cs="Arial" w:eastAsia="Arial" w:hAnsi="Arial"/>
                <w:sz w:val="18"/>
                <w:szCs w:val="18"/>
                <w:color w:val="auto"/>
              </w:rPr>
              <w:t>(114,507)</w:t>
            </w:r>
          </w:p>
        </w:tc>
        <w:tc>
          <w:tcPr>
            <w:tcW w:w="10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40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3640" w:type="dxa"/>
            <w:vAlign w:val="bottom"/>
            <w:vMerge w:val="restart"/>
          </w:tcPr>
          <w:p>
            <w:pPr>
              <w:spacing w:after="0"/>
              <w:rPr>
                <w:sz w:val="20"/>
                <w:szCs w:val="20"/>
                <w:color w:val="auto"/>
              </w:rPr>
            </w:pPr>
            <w:r>
              <w:rPr>
                <w:rFonts w:ascii="Arial" w:cs="Arial" w:eastAsia="Arial" w:hAnsi="Arial"/>
                <w:sz w:val="18"/>
                <w:szCs w:val="18"/>
                <w:color w:val="auto"/>
              </w:rPr>
              <w:t>Total intangible assets, net</w:t>
            </w:r>
          </w:p>
        </w:tc>
        <w:tc>
          <w:tcPr>
            <w:tcW w:w="14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640" w:type="dxa"/>
            <w:vAlign w:val="bottom"/>
            <w:gridSpan w:val="3"/>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7"/>
        </w:trPr>
        <w:tc>
          <w:tcPr>
            <w:tcW w:w="3640" w:type="dxa"/>
            <w:vAlign w:val="bottom"/>
            <w:vMerge w:val="continue"/>
          </w:tcPr>
          <w:p>
            <w:pPr>
              <w:spacing w:after="0"/>
              <w:rPr>
                <w:sz w:val="24"/>
                <w:szCs w:val="24"/>
                <w:color w:val="auto"/>
              </w:rPr>
            </w:pPr>
          </w:p>
        </w:tc>
        <w:tc>
          <w:tcPr>
            <w:tcW w:w="4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357,183</w:t>
            </w: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760" w:type="dxa"/>
            <w:vAlign w:val="bottom"/>
          </w:tcPr>
          <w:p>
            <w:pPr>
              <w:spacing w:after="0"/>
              <w:rPr>
                <w:sz w:val="24"/>
                <w:szCs w:val="24"/>
                <w:color w:val="auto"/>
              </w:rPr>
            </w:pPr>
          </w:p>
        </w:tc>
        <w:tc>
          <w:tcPr>
            <w:tcW w:w="640" w:type="dxa"/>
            <w:vAlign w:val="bottom"/>
            <w:gridSpan w:val="3"/>
          </w:tcPr>
          <w:p>
            <w:pPr>
              <w:jc w:val="right"/>
              <w:spacing w:after="0"/>
              <w:rPr>
                <w:sz w:val="20"/>
                <w:szCs w:val="20"/>
                <w:color w:val="auto"/>
              </w:rPr>
            </w:pPr>
            <w:r>
              <w:rPr>
                <w:rFonts w:ascii="Arial" w:cs="Arial" w:eastAsia="Arial" w:hAnsi="Arial"/>
                <w:sz w:val="18"/>
                <w:szCs w:val="18"/>
                <w:color w:val="auto"/>
                <w:w w:val="92"/>
              </w:rPr>
              <w:t>364,630</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364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340" w:type="dxa"/>
            <w:vAlign w:val="bottom"/>
            <w:tcBorders>
              <w:top w:val="single" w:sz="8" w:color="auto"/>
            </w:tcBorders>
            <w:shd w:val="clear" w:color="auto" w:fill="CFF0FC"/>
          </w:tcPr>
          <w:p>
            <w:pPr>
              <w:spacing w:after="0"/>
              <w:rPr>
                <w:sz w:val="19"/>
                <w:szCs w:val="19"/>
                <w:color w:val="auto"/>
              </w:rPr>
            </w:pPr>
          </w:p>
        </w:tc>
        <w:tc>
          <w:tcPr>
            <w:tcW w:w="140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34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92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spacing w:after="0"/>
              <w:rPr>
                <w:sz w:val="19"/>
                <w:szCs w:val="19"/>
                <w:color w:val="auto"/>
              </w:rPr>
            </w:pPr>
          </w:p>
        </w:tc>
        <w:tc>
          <w:tcPr>
            <w:tcW w:w="760" w:type="dxa"/>
            <w:vAlign w:val="bottom"/>
            <w:tcBorders>
              <w:top w:val="single" w:sz="8" w:color="auto"/>
            </w:tcBorders>
            <w:shd w:val="clear" w:color="auto" w:fill="CFF0FC"/>
          </w:tcPr>
          <w:p>
            <w:pPr>
              <w:spacing w:after="0"/>
              <w:rPr>
                <w:sz w:val="19"/>
                <w:szCs w:val="19"/>
                <w:color w:val="auto"/>
              </w:rPr>
            </w:pPr>
          </w:p>
        </w:tc>
        <w:tc>
          <w:tcPr>
            <w:tcW w:w="340" w:type="dxa"/>
            <w:vAlign w:val="bottom"/>
            <w:tcBorders>
              <w:top w:val="single" w:sz="8" w:color="auto"/>
            </w:tcBorders>
            <w:shd w:val="clear" w:color="auto" w:fill="CFF0FC"/>
          </w:tcPr>
          <w:p>
            <w:pPr>
              <w:spacing w:after="0"/>
              <w:rPr>
                <w:sz w:val="19"/>
                <w:szCs w:val="19"/>
                <w:color w:val="auto"/>
              </w:rPr>
            </w:pPr>
          </w:p>
        </w:tc>
        <w:tc>
          <w:tcPr>
            <w:tcW w:w="20" w:type="dxa"/>
            <w:vAlign w:val="bottom"/>
            <w:tcBorders>
              <w:top w:val="single" w:sz="8" w:color="auto"/>
            </w:tcBorders>
            <w:shd w:val="clear" w:color="auto" w:fill="CFF0FC"/>
          </w:tcPr>
          <w:p>
            <w:pPr>
              <w:spacing w:after="0"/>
              <w:rPr>
                <w:sz w:val="19"/>
                <w:szCs w:val="19"/>
                <w:color w:val="auto"/>
              </w:rPr>
            </w:pPr>
          </w:p>
        </w:tc>
        <w:tc>
          <w:tcPr>
            <w:tcW w:w="28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40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3640" w:type="dxa"/>
            <w:vAlign w:val="bottom"/>
          </w:tcPr>
          <w:p>
            <w:pPr>
              <w:spacing w:after="0"/>
              <w:rPr>
                <w:sz w:val="20"/>
                <w:szCs w:val="20"/>
                <w:color w:val="auto"/>
              </w:rPr>
            </w:pPr>
            <w:r>
              <w:rPr>
                <w:rFonts w:ascii="Arial" w:cs="Arial" w:eastAsia="Arial" w:hAnsi="Arial"/>
                <w:sz w:val="18"/>
                <w:szCs w:val="18"/>
                <w:color w:val="auto"/>
              </w:rPr>
              <w:t>Finite life intangible liabilities:</w:t>
            </w:r>
          </w:p>
        </w:tc>
        <w:tc>
          <w:tcPr>
            <w:tcW w:w="1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3640" w:type="dxa"/>
            <w:vAlign w:val="bottom"/>
            <w:shd w:val="clear" w:color="auto" w:fill="CFF0FC"/>
          </w:tcPr>
          <w:p>
            <w:pPr>
              <w:spacing w:after="0"/>
              <w:rPr>
                <w:sz w:val="20"/>
                <w:szCs w:val="20"/>
                <w:color w:val="auto"/>
              </w:rPr>
            </w:pPr>
            <w:r>
              <w:rPr>
                <w:rFonts w:ascii="Arial" w:cs="Arial" w:eastAsia="Arial" w:hAnsi="Arial"/>
                <w:sz w:val="18"/>
                <w:szCs w:val="18"/>
                <w:color w:val="auto"/>
              </w:rPr>
              <w:t>Below-market leases</w:t>
            </w:r>
          </w:p>
        </w:tc>
        <w:tc>
          <w:tcPr>
            <w:tcW w:w="48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w:t>
            </w:r>
          </w:p>
        </w:tc>
        <w:tc>
          <w:tcPr>
            <w:tcW w:w="14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191,154</w:t>
            </w:r>
          </w:p>
        </w:tc>
        <w:tc>
          <w:tcPr>
            <w:tcW w:w="240" w:type="dxa"/>
            <w:vAlign w:val="bottom"/>
            <w:shd w:val="clear" w:color="auto" w:fill="CFF0FC"/>
          </w:tcPr>
          <w:p>
            <w:pPr>
              <w:spacing w:after="0"/>
              <w:rPr>
                <w:sz w:val="21"/>
                <w:szCs w:val="21"/>
                <w:color w:val="auto"/>
              </w:rPr>
            </w:pPr>
          </w:p>
        </w:tc>
        <w:tc>
          <w:tcPr>
            <w:tcW w:w="340" w:type="dxa"/>
            <w:vAlign w:val="bottom"/>
            <w:shd w:val="clear" w:color="auto" w:fill="CFF0FC"/>
          </w:tcPr>
          <w:p>
            <w:pPr>
              <w:spacing w:after="0"/>
              <w:rPr>
                <w:sz w:val="21"/>
                <w:szCs w:val="21"/>
                <w:color w:val="auto"/>
              </w:rPr>
            </w:pPr>
          </w:p>
        </w:tc>
        <w:tc>
          <w:tcPr>
            <w:tcW w:w="1520" w:type="dxa"/>
            <w:vAlign w:val="bottom"/>
            <w:gridSpan w:val="4"/>
            <w:shd w:val="clear" w:color="auto" w:fill="CFF0FC"/>
          </w:tcPr>
          <w:p>
            <w:pPr>
              <w:jc w:val="right"/>
              <w:ind w:right="180"/>
              <w:spacing w:after="0"/>
              <w:rPr>
                <w:sz w:val="20"/>
                <w:szCs w:val="20"/>
                <w:color w:val="auto"/>
              </w:rPr>
            </w:pPr>
            <w:r>
              <w:rPr>
                <w:rFonts w:ascii="Arial" w:cs="Arial" w:eastAsia="Arial" w:hAnsi="Arial"/>
                <w:sz w:val="18"/>
                <w:szCs w:val="18"/>
                <w:color w:val="auto"/>
              </w:rPr>
              <w:t>(16,042)</w:t>
            </w: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FF0FC"/>
          </w:tcPr>
          <w:p>
            <w:pPr>
              <w:spacing w:after="0"/>
              <w:rPr>
                <w:sz w:val="21"/>
                <w:szCs w:val="21"/>
                <w:color w:val="auto"/>
              </w:rPr>
            </w:pPr>
          </w:p>
        </w:tc>
        <w:tc>
          <w:tcPr>
            <w:tcW w:w="64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w w:val="92"/>
              </w:rPr>
              <w:t>191,154</w:t>
            </w:r>
          </w:p>
        </w:tc>
        <w:tc>
          <w:tcPr>
            <w:tcW w:w="1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5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(13,368)</w:t>
            </w:r>
          </w:p>
        </w:tc>
        <w:tc>
          <w:tcPr>
            <w:tcW w:w="0" w:type="dxa"/>
            <w:vAlign w:val="bottom"/>
          </w:tcPr>
          <w:p>
            <w:pPr>
              <w:spacing w:after="0"/>
              <w:rPr>
                <w:sz w:val="1"/>
                <w:szCs w:val="1"/>
                <w:color w:val="auto"/>
              </w:rPr>
            </w:pPr>
          </w:p>
        </w:tc>
      </w:tr>
      <w:tr>
        <w:trPr>
          <w:trHeight w:val="237"/>
        </w:trPr>
        <w:tc>
          <w:tcPr>
            <w:tcW w:w="36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400" w:type="dxa"/>
            <w:vAlign w:val="bottom"/>
            <w:tcBorders>
              <w:top w:val="single" w:sz="8" w:color="auto"/>
            </w:tcBorders>
          </w:tcPr>
          <w:p>
            <w:pPr>
              <w:spacing w:after="0"/>
              <w:rPr>
                <w:sz w:val="20"/>
                <w:szCs w:val="20"/>
                <w:color w:val="auto"/>
              </w:rPr>
            </w:pPr>
          </w:p>
        </w:tc>
        <w:tc>
          <w:tcPr>
            <w:tcW w:w="24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spacing w:after="0"/>
              <w:rPr>
                <w:sz w:val="20"/>
                <w:szCs w:val="20"/>
                <w:color w:val="auto"/>
              </w:rPr>
            </w:pPr>
          </w:p>
        </w:tc>
        <w:tc>
          <w:tcPr>
            <w:tcW w:w="24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4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3640" w:type="dxa"/>
            <w:vAlign w:val="bottom"/>
            <w:shd w:val="clear" w:color="auto" w:fill="CFF0FC"/>
          </w:tcPr>
          <w:p>
            <w:pPr>
              <w:spacing w:after="0"/>
              <w:rPr>
                <w:sz w:val="20"/>
                <w:szCs w:val="20"/>
                <w:color w:val="auto"/>
              </w:rPr>
            </w:pPr>
            <w:r>
              <w:rPr>
                <w:rFonts w:ascii="Arial" w:cs="Arial" w:eastAsia="Arial" w:hAnsi="Arial"/>
                <w:sz w:val="18"/>
                <w:szCs w:val="18"/>
                <w:color w:val="auto"/>
              </w:rPr>
              <w:t>Finite life intangible liabilities:</w:t>
            </w:r>
          </w:p>
        </w:tc>
        <w:tc>
          <w:tcPr>
            <w:tcW w:w="140" w:type="dxa"/>
            <w:vAlign w:val="bottom"/>
            <w:shd w:val="clear" w:color="auto" w:fill="CFF0FC"/>
          </w:tcPr>
          <w:p>
            <w:pPr>
              <w:spacing w:after="0"/>
              <w:rPr>
                <w:sz w:val="21"/>
                <w:szCs w:val="21"/>
                <w:color w:val="auto"/>
              </w:rPr>
            </w:pPr>
          </w:p>
        </w:tc>
        <w:tc>
          <w:tcPr>
            <w:tcW w:w="340" w:type="dxa"/>
            <w:vAlign w:val="bottom"/>
            <w:shd w:val="clear" w:color="auto" w:fill="CFF0FC"/>
          </w:tcPr>
          <w:p>
            <w:pPr>
              <w:spacing w:after="0"/>
              <w:rPr>
                <w:sz w:val="21"/>
                <w:szCs w:val="21"/>
                <w:color w:val="auto"/>
              </w:rPr>
            </w:pPr>
          </w:p>
        </w:tc>
        <w:tc>
          <w:tcPr>
            <w:tcW w:w="140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34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9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760" w:type="dxa"/>
            <w:vAlign w:val="bottom"/>
            <w:shd w:val="clear" w:color="auto" w:fill="CFF0FC"/>
          </w:tcPr>
          <w:p>
            <w:pPr>
              <w:spacing w:after="0"/>
              <w:rPr>
                <w:sz w:val="21"/>
                <w:szCs w:val="21"/>
                <w:color w:val="auto"/>
              </w:rPr>
            </w:pPr>
          </w:p>
        </w:tc>
        <w:tc>
          <w:tcPr>
            <w:tcW w:w="34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28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40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640" w:type="dxa"/>
            <w:vAlign w:val="bottom"/>
          </w:tcPr>
          <w:p>
            <w:pPr>
              <w:spacing w:after="0"/>
              <w:rPr>
                <w:sz w:val="20"/>
                <w:szCs w:val="20"/>
                <w:color w:val="auto"/>
              </w:rPr>
            </w:pPr>
            <w:r>
              <w:rPr>
                <w:rFonts w:ascii="Arial" w:cs="Arial" w:eastAsia="Arial" w:hAnsi="Arial"/>
                <w:sz w:val="18"/>
                <w:szCs w:val="18"/>
                <w:color w:val="auto"/>
              </w:rPr>
              <w:t>Below-market leases</w:t>
            </w:r>
          </w:p>
        </w:tc>
        <w:tc>
          <w:tcPr>
            <w:tcW w:w="4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191,154</w:t>
            </w:r>
          </w:p>
        </w:tc>
        <w:tc>
          <w:tcPr>
            <w:tcW w:w="2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760" w:type="dxa"/>
            <w:vAlign w:val="bottom"/>
          </w:tcPr>
          <w:p>
            <w:pPr>
              <w:spacing w:after="0"/>
              <w:rPr>
                <w:sz w:val="21"/>
                <w:szCs w:val="21"/>
                <w:color w:val="auto"/>
              </w:rPr>
            </w:pPr>
          </w:p>
        </w:tc>
        <w:tc>
          <w:tcPr>
            <w:tcW w:w="640" w:type="dxa"/>
            <w:vAlign w:val="bottom"/>
            <w:gridSpan w:val="3"/>
          </w:tcPr>
          <w:p>
            <w:pPr>
              <w:jc w:val="right"/>
              <w:spacing w:after="0"/>
              <w:rPr>
                <w:sz w:val="20"/>
                <w:szCs w:val="20"/>
                <w:color w:val="auto"/>
              </w:rPr>
            </w:pPr>
            <w:r>
              <w:rPr>
                <w:rFonts w:ascii="Arial" w:cs="Arial" w:eastAsia="Arial" w:hAnsi="Arial"/>
                <w:sz w:val="18"/>
                <w:szCs w:val="18"/>
                <w:color w:val="auto"/>
                <w:w w:val="92"/>
              </w:rPr>
              <w:t>191,154</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3640" w:type="dxa"/>
            <w:vAlign w:val="bottom"/>
            <w:shd w:val="clear" w:color="auto" w:fill="CFF0FC"/>
          </w:tcPr>
          <w:p>
            <w:pPr>
              <w:spacing w:after="0"/>
              <w:rPr>
                <w:sz w:val="20"/>
                <w:szCs w:val="20"/>
                <w:color w:val="auto"/>
              </w:rPr>
            </w:pPr>
            <w:r>
              <w:rPr>
                <w:rFonts w:ascii="Arial" w:cs="Arial" w:eastAsia="Arial" w:hAnsi="Arial"/>
                <w:sz w:val="18"/>
                <w:szCs w:val="18"/>
                <w:color w:val="auto"/>
              </w:rPr>
              <w:t>Less: accumulated amortization</w:t>
            </w:r>
          </w:p>
        </w:tc>
        <w:tc>
          <w:tcPr>
            <w:tcW w:w="140" w:type="dxa"/>
            <w:vAlign w:val="bottom"/>
            <w:shd w:val="clear" w:color="auto" w:fill="CFF0FC"/>
          </w:tcPr>
          <w:p>
            <w:pPr>
              <w:spacing w:after="0"/>
              <w:rPr>
                <w:sz w:val="21"/>
                <w:szCs w:val="21"/>
                <w:color w:val="auto"/>
              </w:rPr>
            </w:pPr>
          </w:p>
        </w:tc>
        <w:tc>
          <w:tcPr>
            <w:tcW w:w="340" w:type="dxa"/>
            <w:vAlign w:val="bottom"/>
            <w:shd w:val="clear" w:color="auto" w:fill="CFF0FC"/>
          </w:tcPr>
          <w:p>
            <w:pPr>
              <w:spacing w:after="0"/>
              <w:rPr>
                <w:sz w:val="21"/>
                <w:szCs w:val="21"/>
                <w:color w:val="auto"/>
              </w:rPr>
            </w:pPr>
          </w:p>
        </w:tc>
        <w:tc>
          <w:tcPr>
            <w:tcW w:w="164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(16,042)</w:t>
            </w:r>
          </w:p>
        </w:tc>
        <w:tc>
          <w:tcPr>
            <w:tcW w:w="34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9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760" w:type="dxa"/>
            <w:vAlign w:val="bottom"/>
            <w:shd w:val="clear" w:color="auto" w:fill="CFF0FC"/>
          </w:tcPr>
          <w:p>
            <w:pPr>
              <w:spacing w:after="0"/>
              <w:rPr>
                <w:sz w:val="21"/>
                <w:szCs w:val="21"/>
                <w:color w:val="auto"/>
              </w:rPr>
            </w:pPr>
          </w:p>
        </w:tc>
        <w:tc>
          <w:tcPr>
            <w:tcW w:w="780" w:type="dxa"/>
            <w:vAlign w:val="bottom"/>
            <w:gridSpan w:val="4"/>
            <w:shd w:val="clear" w:color="auto" w:fill="CFF0FC"/>
          </w:tcPr>
          <w:p>
            <w:pPr>
              <w:jc w:val="right"/>
              <w:ind w:right="80"/>
              <w:spacing w:after="0"/>
              <w:rPr>
                <w:sz w:val="20"/>
                <w:szCs w:val="20"/>
                <w:color w:val="auto"/>
              </w:rPr>
            </w:pPr>
            <w:r>
              <w:rPr>
                <w:rFonts w:ascii="Arial" w:cs="Arial" w:eastAsia="Arial" w:hAnsi="Arial"/>
                <w:sz w:val="18"/>
                <w:szCs w:val="18"/>
                <w:color w:val="auto"/>
              </w:rPr>
              <w:t>(13,368)</w:t>
            </w:r>
          </w:p>
        </w:tc>
        <w:tc>
          <w:tcPr>
            <w:tcW w:w="10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40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3640" w:type="dxa"/>
            <w:vAlign w:val="bottom"/>
            <w:vMerge w:val="restart"/>
          </w:tcPr>
          <w:p>
            <w:pPr>
              <w:spacing w:after="0"/>
              <w:rPr>
                <w:sz w:val="20"/>
                <w:szCs w:val="20"/>
                <w:color w:val="auto"/>
              </w:rPr>
            </w:pPr>
            <w:r>
              <w:rPr>
                <w:rFonts w:ascii="Arial" w:cs="Arial" w:eastAsia="Arial" w:hAnsi="Arial"/>
                <w:sz w:val="18"/>
                <w:szCs w:val="18"/>
                <w:color w:val="auto"/>
              </w:rPr>
              <w:t>Total intangible liabilities, net</w:t>
            </w:r>
          </w:p>
        </w:tc>
        <w:tc>
          <w:tcPr>
            <w:tcW w:w="14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640" w:type="dxa"/>
            <w:vAlign w:val="bottom"/>
            <w:gridSpan w:val="3"/>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3640" w:type="dxa"/>
            <w:vAlign w:val="bottom"/>
            <w:vMerge w:val="continue"/>
          </w:tcPr>
          <w:p>
            <w:pPr>
              <w:spacing w:after="0"/>
              <w:rPr>
                <w:sz w:val="20"/>
                <w:szCs w:val="20"/>
                <w:color w:val="auto"/>
              </w:rPr>
            </w:pPr>
          </w:p>
        </w:tc>
        <w:tc>
          <w:tcPr>
            <w:tcW w:w="4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175,112</w:t>
            </w:r>
          </w:p>
        </w:tc>
        <w:tc>
          <w:tcPr>
            <w:tcW w:w="2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760" w:type="dxa"/>
            <w:vAlign w:val="bottom"/>
          </w:tcPr>
          <w:p>
            <w:pPr>
              <w:spacing w:after="0"/>
              <w:rPr>
                <w:sz w:val="20"/>
                <w:szCs w:val="20"/>
                <w:color w:val="auto"/>
              </w:rPr>
            </w:pPr>
          </w:p>
        </w:tc>
        <w:tc>
          <w:tcPr>
            <w:tcW w:w="640" w:type="dxa"/>
            <w:vAlign w:val="bottom"/>
            <w:gridSpan w:val="3"/>
          </w:tcPr>
          <w:p>
            <w:pPr>
              <w:jc w:val="right"/>
              <w:spacing w:after="0"/>
              <w:rPr>
                <w:sz w:val="20"/>
                <w:szCs w:val="20"/>
                <w:color w:val="auto"/>
              </w:rPr>
            </w:pPr>
            <w:r>
              <w:rPr>
                <w:rFonts w:ascii="Arial" w:cs="Arial" w:eastAsia="Arial" w:hAnsi="Arial"/>
                <w:sz w:val="18"/>
                <w:szCs w:val="18"/>
                <w:color w:val="auto"/>
                <w:w w:val="92"/>
              </w:rPr>
              <w:t>177,786</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6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As of March 31, 2022, the remaining weighted average amortization period of the Company’s intangible assets was 14.7 years.</w:t>
      </w:r>
    </w:p>
    <w:p>
      <w:pPr>
        <w:spacing w:after="0" w:line="225" w:lineRule="exact"/>
        <w:rPr>
          <w:sz w:val="20"/>
          <w:szCs w:val="20"/>
          <w:color w:val="auto"/>
        </w:rPr>
      </w:pPr>
    </w:p>
    <w:p>
      <w:pPr>
        <w:ind w:right="340"/>
        <w:spacing w:after="0" w:line="342" w:lineRule="auto"/>
        <w:rPr>
          <w:sz w:val="20"/>
          <w:szCs w:val="20"/>
          <w:color w:val="auto"/>
        </w:rPr>
      </w:pPr>
      <w:r>
        <w:rPr>
          <w:rFonts w:ascii="Arial" w:cs="Arial" w:eastAsia="Arial" w:hAnsi="Arial"/>
          <w:sz w:val="16"/>
          <w:szCs w:val="16"/>
          <w:color w:val="auto"/>
        </w:rPr>
        <w:t>Amortization expense for the three months ended March 31, 2022 and 2021 was $7.4 million and $4.8 million, respectively. Amortization expense is estimated to be $29.7 million for the full year of 2022, $29.8 million in 2023, $29.7 million in 2024, $29.7 million in 2025, and $29.7 million for 2026.</w:t>
      </w:r>
    </w:p>
    <w:p>
      <w:pPr>
        <w:spacing w:after="0" w:line="124" w:lineRule="exact"/>
        <w:rPr>
          <w:sz w:val="20"/>
          <w:szCs w:val="20"/>
          <w:color w:val="auto"/>
        </w:rPr>
      </w:pPr>
    </w:p>
    <w:p>
      <w:pPr>
        <w:ind w:right="20"/>
        <w:spacing w:after="0" w:line="275" w:lineRule="auto"/>
        <w:rPr>
          <w:sz w:val="20"/>
          <w:szCs w:val="20"/>
          <w:color w:val="auto"/>
        </w:rPr>
      </w:pPr>
      <w:r>
        <w:rPr>
          <w:rFonts w:ascii="Arial" w:cs="Arial" w:eastAsia="Arial" w:hAnsi="Arial"/>
          <w:sz w:val="17"/>
          <w:szCs w:val="17"/>
          <w:color w:val="auto"/>
        </w:rPr>
        <w:t>We recognize the amortization of below-market leases in revenue. Revenue related to the amortization of the below-market leases for the three months ended March 31, 2022 was $2.7 million. During the three months ended March 31, 2021, $2.7 million was recorded as a benefit to amortization expense, and subsequently reclassified to revenue during the fourth quarter of 2021. As of March 31, 2022, the remaining weighted average amortization period of the Company’s intangible liabilities was 17.7 years. Revenue due to the amortization of the below-market leases is estimated to be $10.7 million for the full year of 2022, $10.7 million in 2023, $10.7 million in 2024, $10.7 million in 2025, and $10.7 million in 2026.</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9" w:name="page20"/>
    <w:bookmarkEnd w:id="1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Notes and Other Debt</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All debt, including the senior secured credit facility and notes described below, are obligations of the Operating Partnership and/or certain of its subsidiaries as discussed below. The Company is, however, a guarantor of such debt.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Notes and other debt are as follows: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08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2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80" w:type="dxa"/>
            <w:vAlign w:val="bottom"/>
            <w:gridSpan w:val="5"/>
          </w:tcPr>
          <w:p>
            <w:pPr>
              <w:ind w:left="460"/>
              <w:spacing w:after="0"/>
              <w:rPr>
                <w:sz w:val="20"/>
                <w:szCs w:val="20"/>
                <w:color w:val="auto"/>
              </w:rPr>
            </w:pPr>
            <w:r>
              <w:rPr>
                <w:rFonts w:ascii="Arial" w:cs="Arial" w:eastAsia="Arial" w:hAnsi="Arial"/>
                <w:sz w:val="14"/>
                <w:szCs w:val="14"/>
                <w:b w:val="1"/>
                <w:bCs w:val="1"/>
                <w:color w:val="auto"/>
              </w:rPr>
              <w:t>March 31, 2022</w:t>
            </w:r>
          </w:p>
        </w:tc>
        <w:tc>
          <w:tcPr>
            <w:tcW w:w="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680" w:type="dxa"/>
            <w:vAlign w:val="bottom"/>
            <w:gridSpan w:val="4"/>
          </w:tcPr>
          <w:p>
            <w:pPr>
              <w:jc w:val="right"/>
              <w:ind w:right="480"/>
              <w:spacing w:after="0"/>
              <w:rPr>
                <w:sz w:val="20"/>
                <w:szCs w:val="20"/>
                <w:color w:val="auto"/>
              </w:rPr>
            </w:pPr>
            <w:r>
              <w:rPr>
                <w:rFonts w:ascii="Arial" w:cs="Arial" w:eastAsia="Arial" w:hAnsi="Arial"/>
                <w:sz w:val="14"/>
                <w:szCs w:val="14"/>
                <w:b w:val="1"/>
                <w:bCs w:val="1"/>
                <w:color w:val="auto"/>
                <w:w w:val="93"/>
              </w:rPr>
              <w:t>December 31, 2021</w:t>
            </w:r>
          </w:p>
        </w:tc>
        <w:tc>
          <w:tcPr>
            <w:tcW w:w="0" w:type="dxa"/>
            <w:vAlign w:val="bottom"/>
          </w:tcPr>
          <w:p>
            <w:pPr>
              <w:spacing w:after="0"/>
              <w:rPr>
                <w:sz w:val="1"/>
                <w:szCs w:val="1"/>
                <w:color w:val="auto"/>
              </w:rPr>
            </w:pPr>
          </w:p>
        </w:tc>
      </w:tr>
      <w:tr>
        <w:trPr>
          <w:trHeight w:val="237"/>
        </w:trPr>
        <w:tc>
          <w:tcPr>
            <w:tcW w:w="5080" w:type="dxa"/>
            <w:vAlign w:val="bottom"/>
            <w:tcBorders>
              <w:top w:val="single" w:sz="8" w:color="auto"/>
            </w:tcBorders>
            <w:gridSpan w:val="2"/>
            <w:shd w:val="clear" w:color="auto" w:fill="CFF0FC"/>
          </w:tcPr>
          <w:p>
            <w:pPr>
              <w:spacing w:after="0"/>
              <w:rPr>
                <w:sz w:val="20"/>
                <w:szCs w:val="20"/>
                <w:color w:val="auto"/>
              </w:rPr>
            </w:pPr>
            <w:r>
              <w:rPr>
                <w:rFonts w:ascii="Arial" w:cs="Arial" w:eastAsia="Arial" w:hAnsi="Arial"/>
                <w:sz w:val="18"/>
                <w:szCs w:val="18"/>
                <w:color w:val="auto"/>
              </w:rPr>
              <w:t>Principal amount</w:t>
            </w:r>
          </w:p>
        </w:tc>
        <w:tc>
          <w:tcPr>
            <w:tcW w:w="240" w:type="dxa"/>
            <w:vAlign w:val="bottom"/>
            <w:tcBorders>
              <w:top w:val="single" w:sz="8" w:color="auto"/>
            </w:tcBorders>
            <w:shd w:val="clear" w:color="auto" w:fill="CFF0FC"/>
          </w:tcPr>
          <w:p>
            <w:pPr>
              <w:spacing w:after="0"/>
              <w:rPr>
                <w:sz w:val="20"/>
                <w:szCs w:val="20"/>
                <w:color w:val="auto"/>
              </w:rPr>
            </w:pPr>
          </w:p>
        </w:tc>
        <w:tc>
          <w:tcPr>
            <w:tcW w:w="1100" w:type="dxa"/>
            <w:vAlign w:val="bottom"/>
            <w:tcBorders>
              <w:top w:val="single" w:sz="8" w:color="auto"/>
            </w:tcBorders>
            <w:shd w:val="clear" w:color="auto" w:fill="CFF0FC"/>
          </w:tcPr>
          <w:p>
            <w:pPr>
              <w:spacing w:after="0"/>
              <w:rPr>
                <w:sz w:val="20"/>
                <w:szCs w:val="20"/>
                <w:color w:val="auto"/>
              </w:rPr>
            </w:pPr>
          </w:p>
        </w:tc>
        <w:tc>
          <w:tcPr>
            <w:tcW w:w="220" w:type="dxa"/>
            <w:vAlign w:val="bottom"/>
            <w:tcBorders>
              <w:top w:val="single" w:sz="8" w:color="auto"/>
            </w:tcBorders>
            <w:shd w:val="clear" w:color="auto" w:fill="CFF0FC"/>
          </w:tcPr>
          <w:p>
            <w:pPr>
              <w:spacing w:after="0"/>
              <w:rPr>
                <w:sz w:val="20"/>
                <w:szCs w:val="20"/>
                <w:color w:val="auto"/>
              </w:rPr>
            </w:pPr>
          </w:p>
        </w:tc>
        <w:tc>
          <w:tcPr>
            <w:tcW w:w="240" w:type="dxa"/>
            <w:vAlign w:val="bottom"/>
            <w:tcBorders>
              <w:top w:val="single" w:sz="8" w:color="auto"/>
            </w:tcBorders>
            <w:shd w:val="clear" w:color="auto" w:fill="CFF0FC"/>
          </w:tcPr>
          <w:p>
            <w:pPr>
              <w:spacing w:after="0"/>
              <w:rPr>
                <w:sz w:val="20"/>
                <w:szCs w:val="20"/>
                <w:color w:val="auto"/>
              </w:rPr>
            </w:pPr>
          </w:p>
        </w:tc>
        <w:tc>
          <w:tcPr>
            <w:tcW w:w="180" w:type="dxa"/>
            <w:vAlign w:val="bottom"/>
            <w:tcBorders>
              <w:top w:val="single" w:sz="8" w:color="CFF0FC"/>
            </w:tcBorders>
            <w:shd w:val="clear" w:color="auto" w:fill="CFF0FC"/>
          </w:tcPr>
          <w:p>
            <w:pPr>
              <w:spacing w:after="0"/>
              <w:rPr>
                <w:sz w:val="20"/>
                <w:szCs w:val="20"/>
                <w:color w:val="auto"/>
              </w:rPr>
            </w:pPr>
          </w:p>
        </w:tc>
        <w:tc>
          <w:tcPr>
            <w:tcW w:w="920" w:type="dxa"/>
            <w:vAlign w:val="bottom"/>
            <w:tcBorders>
              <w:top w:val="single" w:sz="8" w:color="auto"/>
            </w:tcBorders>
            <w:shd w:val="clear" w:color="auto" w:fill="CFF0FC"/>
          </w:tcPr>
          <w:p>
            <w:pPr>
              <w:jc w:val="right"/>
              <w:ind w:right="767"/>
              <w:spacing w:after="0"/>
              <w:rPr>
                <w:sz w:val="20"/>
                <w:szCs w:val="20"/>
                <w:color w:val="auto"/>
              </w:rPr>
            </w:pPr>
            <w:r>
              <w:rPr>
                <w:rFonts w:ascii="Arial" w:cs="Arial" w:eastAsia="Arial" w:hAnsi="Arial"/>
                <w:sz w:val="15"/>
                <w:szCs w:val="15"/>
                <w:color w:val="auto"/>
                <w:w w:val="71"/>
              </w:rPr>
              <w:t>$</w:t>
            </w:r>
          </w:p>
        </w:tc>
        <w:tc>
          <w:tcPr>
            <w:tcW w:w="140" w:type="dxa"/>
            <w:vAlign w:val="bottom"/>
            <w:tcBorders>
              <w:top w:val="single" w:sz="8" w:color="auto"/>
            </w:tcBorders>
            <w:shd w:val="clear" w:color="auto" w:fill="CFF0FC"/>
          </w:tcPr>
          <w:p>
            <w:pPr>
              <w:spacing w:after="0"/>
              <w:rPr>
                <w:sz w:val="20"/>
                <w:szCs w:val="20"/>
                <w:color w:val="auto"/>
              </w:rPr>
            </w:pPr>
          </w:p>
        </w:tc>
        <w:tc>
          <w:tcPr>
            <w:tcW w:w="820" w:type="dxa"/>
            <w:vAlign w:val="bottom"/>
            <w:tcBorders>
              <w:top w:val="single" w:sz="8" w:color="auto"/>
            </w:tcBorders>
            <w:gridSpan w:val="3"/>
            <w:shd w:val="clear" w:color="auto" w:fill="CFF0FC"/>
          </w:tcPr>
          <w:p>
            <w:pPr>
              <w:ind w:left="100"/>
              <w:spacing w:after="0"/>
              <w:rPr>
                <w:sz w:val="20"/>
                <w:szCs w:val="20"/>
                <w:color w:val="auto"/>
              </w:rPr>
            </w:pPr>
            <w:r>
              <w:rPr>
                <w:rFonts w:ascii="Arial" w:cs="Arial" w:eastAsia="Arial" w:hAnsi="Arial"/>
                <w:sz w:val="18"/>
                <w:szCs w:val="18"/>
                <w:color w:val="auto"/>
                <w:w w:val="87"/>
              </w:rPr>
              <w:t>5,200,000</w:t>
            </w:r>
          </w:p>
        </w:tc>
        <w:tc>
          <w:tcPr>
            <w:tcW w:w="280" w:type="dxa"/>
            <w:vAlign w:val="bottom"/>
            <w:tcBorders>
              <w:top w:val="single" w:sz="8" w:color="CFF0FC"/>
            </w:tcBorders>
            <w:shd w:val="clear" w:color="auto" w:fill="CFF0FC"/>
          </w:tcPr>
          <w:p>
            <w:pPr>
              <w:spacing w:after="0"/>
              <w:rPr>
                <w:sz w:val="20"/>
                <w:szCs w:val="20"/>
                <w:color w:val="auto"/>
              </w:rPr>
            </w:pPr>
          </w:p>
        </w:tc>
        <w:tc>
          <w:tcPr>
            <w:tcW w:w="340" w:type="dxa"/>
            <w:vAlign w:val="bottom"/>
            <w:tcBorders>
              <w:top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w w:val="79"/>
              </w:rPr>
              <w:t>$</w:t>
            </w:r>
          </w:p>
        </w:tc>
        <w:tc>
          <w:tcPr>
            <w:tcW w:w="220" w:type="dxa"/>
            <w:vAlign w:val="bottom"/>
            <w:tcBorders>
              <w:top w:val="single" w:sz="8" w:color="auto"/>
            </w:tcBorders>
            <w:shd w:val="clear" w:color="auto" w:fill="CFF0FC"/>
          </w:tcPr>
          <w:p>
            <w:pPr>
              <w:spacing w:after="0"/>
              <w:rPr>
                <w:sz w:val="20"/>
                <w:szCs w:val="20"/>
                <w:color w:val="auto"/>
              </w:rPr>
            </w:pPr>
          </w:p>
        </w:tc>
        <w:tc>
          <w:tcPr>
            <w:tcW w:w="160" w:type="dxa"/>
            <w:vAlign w:val="bottom"/>
            <w:tcBorders>
              <w:top w:val="single" w:sz="8" w:color="auto"/>
            </w:tcBorders>
            <w:shd w:val="clear" w:color="auto" w:fill="CFF0FC"/>
          </w:tcPr>
          <w:p>
            <w:pPr>
              <w:spacing w:after="0"/>
              <w:rPr>
                <w:sz w:val="20"/>
                <w:szCs w:val="20"/>
                <w:color w:val="auto"/>
              </w:rPr>
            </w:pPr>
          </w:p>
        </w:tc>
        <w:tc>
          <w:tcPr>
            <w:tcW w:w="12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5,175,000</w:t>
            </w:r>
          </w:p>
        </w:tc>
        <w:tc>
          <w:tcPr>
            <w:tcW w:w="100" w:type="dxa"/>
            <w:vAlign w:val="bottom"/>
            <w:tcBorders>
              <w:top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5080" w:type="dxa"/>
            <w:vAlign w:val="bottom"/>
            <w:gridSpan w:val="2"/>
          </w:tcPr>
          <w:p>
            <w:pPr>
              <w:spacing w:after="0"/>
              <w:rPr>
                <w:sz w:val="20"/>
                <w:szCs w:val="20"/>
                <w:color w:val="auto"/>
              </w:rPr>
            </w:pPr>
            <w:r>
              <w:rPr>
                <w:rFonts w:ascii="Arial" w:cs="Arial" w:eastAsia="Arial" w:hAnsi="Arial"/>
                <w:sz w:val="18"/>
                <w:szCs w:val="18"/>
                <w:color w:val="auto"/>
              </w:rPr>
              <w:t>Less unamortized discount, premium and debt issuance costs</w:t>
            </w:r>
          </w:p>
        </w:tc>
        <w:tc>
          <w:tcPr>
            <w:tcW w:w="2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80" w:type="dxa"/>
            <w:vAlign w:val="bottom"/>
            <w:gridSpan w:val="2"/>
          </w:tcPr>
          <w:p>
            <w:pPr>
              <w:jc w:val="right"/>
              <w:ind w:right="134"/>
              <w:spacing w:after="0"/>
              <w:rPr>
                <w:sz w:val="20"/>
                <w:szCs w:val="20"/>
                <w:color w:val="auto"/>
              </w:rPr>
            </w:pPr>
            <w:r>
              <w:rPr>
                <w:rFonts w:ascii="Arial" w:cs="Arial" w:eastAsia="Arial" w:hAnsi="Arial"/>
                <w:sz w:val="18"/>
                <w:szCs w:val="18"/>
                <w:color w:val="auto"/>
                <w:w w:val="95"/>
              </w:rPr>
              <w:t>(79,719)</w:t>
            </w:r>
          </w:p>
        </w:tc>
        <w:tc>
          <w:tcPr>
            <w:tcW w:w="3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gridSpan w:val="2"/>
          </w:tcPr>
          <w:p>
            <w:pPr>
              <w:jc w:val="right"/>
              <w:ind w:right="40"/>
              <w:spacing w:after="0"/>
              <w:rPr>
                <w:sz w:val="20"/>
                <w:szCs w:val="20"/>
                <w:color w:val="auto"/>
              </w:rPr>
            </w:pPr>
            <w:r>
              <w:rPr>
                <w:rFonts w:ascii="Arial" w:cs="Arial" w:eastAsia="Arial" w:hAnsi="Arial"/>
                <w:sz w:val="18"/>
                <w:szCs w:val="18"/>
                <w:color w:val="auto"/>
              </w:rPr>
              <w:t>(84,463)</w:t>
            </w:r>
          </w:p>
        </w:tc>
        <w:tc>
          <w:tcPr>
            <w:tcW w:w="0" w:type="dxa"/>
            <w:vAlign w:val="bottom"/>
          </w:tcPr>
          <w:p>
            <w:pPr>
              <w:spacing w:after="0"/>
              <w:rPr>
                <w:sz w:val="1"/>
                <w:szCs w:val="1"/>
                <w:color w:val="auto"/>
              </w:rPr>
            </w:pPr>
          </w:p>
        </w:tc>
      </w:tr>
      <w:tr>
        <w:trPr>
          <w:trHeight w:val="237"/>
        </w:trPr>
        <w:tc>
          <w:tcPr>
            <w:tcW w:w="6640" w:type="dxa"/>
            <w:vAlign w:val="bottom"/>
            <w:tcBorders>
              <w:top w:val="single" w:sz="8" w:color="CFF0FC"/>
              <w:bottom w:val="single" w:sz="8" w:color="CFF0FC"/>
            </w:tcBorders>
            <w:gridSpan w:val="5"/>
            <w:shd w:val="clear" w:color="auto" w:fill="CFF0FC"/>
          </w:tcPr>
          <w:p>
            <w:pPr>
              <w:spacing w:after="0"/>
              <w:rPr>
                <w:sz w:val="20"/>
                <w:szCs w:val="20"/>
                <w:color w:val="auto"/>
              </w:rPr>
            </w:pPr>
            <w:r>
              <w:rPr>
                <w:rFonts w:ascii="Arial" w:cs="Arial" w:eastAsia="Arial" w:hAnsi="Arial"/>
                <w:sz w:val="18"/>
                <w:szCs w:val="18"/>
                <w:color w:val="auto"/>
              </w:rPr>
              <w:t>Notes and other debt less unamortized discount, premium and debt issuance costs</w:t>
            </w:r>
          </w:p>
        </w:tc>
        <w:tc>
          <w:tcPr>
            <w:tcW w:w="240" w:type="dxa"/>
            <w:vAlign w:val="bottom"/>
            <w:tcBorders>
              <w:top w:val="single" w:sz="8" w:color="CFF0FC"/>
              <w:bottom w:val="single" w:sz="8" w:color="CFF0FC"/>
            </w:tcBorders>
            <w:shd w:val="clear" w:color="auto" w:fill="CFF0FC"/>
          </w:tcPr>
          <w:p>
            <w:pPr>
              <w:spacing w:after="0"/>
              <w:rPr>
                <w:sz w:val="20"/>
                <w:szCs w:val="20"/>
                <w:color w:val="auto"/>
              </w:rPr>
            </w:pPr>
          </w:p>
        </w:tc>
        <w:tc>
          <w:tcPr>
            <w:tcW w:w="180" w:type="dxa"/>
            <w:vAlign w:val="bottom"/>
            <w:tcBorders>
              <w:top w:val="single" w:sz="8" w:color="CFF0FC"/>
              <w:bottom w:val="single" w:sz="8" w:color="CFF0FC"/>
            </w:tcBorders>
            <w:shd w:val="clear" w:color="auto" w:fill="CFF0FC"/>
          </w:tcPr>
          <w:p>
            <w:pPr>
              <w:spacing w:after="0"/>
              <w:rPr>
                <w:sz w:val="20"/>
                <w:szCs w:val="20"/>
                <w:color w:val="auto"/>
              </w:rPr>
            </w:pPr>
          </w:p>
        </w:tc>
        <w:tc>
          <w:tcPr>
            <w:tcW w:w="920" w:type="dxa"/>
            <w:vAlign w:val="bottom"/>
            <w:tcBorders>
              <w:top w:val="single" w:sz="8" w:color="auto"/>
              <w:bottom w:val="single" w:sz="8" w:color="auto"/>
            </w:tcBorders>
            <w:shd w:val="clear" w:color="auto" w:fill="CFF0FC"/>
          </w:tcPr>
          <w:p>
            <w:pPr>
              <w:jc w:val="right"/>
              <w:ind w:right="767"/>
              <w:spacing w:after="0"/>
              <w:rPr>
                <w:sz w:val="20"/>
                <w:szCs w:val="20"/>
                <w:color w:val="auto"/>
              </w:rPr>
            </w:pPr>
            <w:r>
              <w:rPr>
                <w:rFonts w:ascii="Arial" w:cs="Arial" w:eastAsia="Arial" w:hAnsi="Arial"/>
                <w:sz w:val="15"/>
                <w:szCs w:val="15"/>
                <w:color w:val="auto"/>
                <w:w w:val="71"/>
              </w:rPr>
              <w:t>$</w:t>
            </w:r>
          </w:p>
        </w:tc>
        <w:tc>
          <w:tcPr>
            <w:tcW w:w="140" w:type="dxa"/>
            <w:vAlign w:val="bottom"/>
            <w:tcBorders>
              <w:top w:val="single" w:sz="8" w:color="auto"/>
              <w:bottom w:val="single" w:sz="8" w:color="auto"/>
            </w:tcBorders>
            <w:shd w:val="clear" w:color="auto" w:fill="CFF0FC"/>
          </w:tcPr>
          <w:p>
            <w:pPr>
              <w:spacing w:after="0"/>
              <w:rPr>
                <w:sz w:val="20"/>
                <w:szCs w:val="20"/>
                <w:color w:val="auto"/>
              </w:rPr>
            </w:pPr>
          </w:p>
        </w:tc>
        <w:tc>
          <w:tcPr>
            <w:tcW w:w="820" w:type="dxa"/>
            <w:vAlign w:val="bottom"/>
            <w:tcBorders>
              <w:top w:val="single" w:sz="8" w:color="auto"/>
              <w:bottom w:val="single" w:sz="8" w:color="auto"/>
            </w:tcBorders>
            <w:gridSpan w:val="3"/>
            <w:shd w:val="clear" w:color="auto" w:fill="CFF0FC"/>
          </w:tcPr>
          <w:p>
            <w:pPr>
              <w:ind w:left="100"/>
              <w:spacing w:after="0"/>
              <w:rPr>
                <w:sz w:val="20"/>
                <w:szCs w:val="20"/>
                <w:color w:val="auto"/>
              </w:rPr>
            </w:pPr>
            <w:r>
              <w:rPr>
                <w:rFonts w:ascii="Arial" w:cs="Arial" w:eastAsia="Arial" w:hAnsi="Arial"/>
                <w:sz w:val="18"/>
                <w:szCs w:val="18"/>
                <w:color w:val="auto"/>
                <w:w w:val="87"/>
              </w:rPr>
              <w:t>5,120,281</w:t>
            </w:r>
          </w:p>
        </w:tc>
        <w:tc>
          <w:tcPr>
            <w:tcW w:w="280" w:type="dxa"/>
            <w:vAlign w:val="bottom"/>
            <w:tcBorders>
              <w:top w:val="single" w:sz="8" w:color="CFF0FC"/>
              <w:bottom w:val="single" w:sz="8" w:color="CFF0FC"/>
            </w:tcBorders>
            <w:shd w:val="clear" w:color="auto" w:fill="CFF0FC"/>
          </w:tcPr>
          <w:p>
            <w:pPr>
              <w:spacing w:after="0"/>
              <w:rPr>
                <w:sz w:val="20"/>
                <w:szCs w:val="20"/>
                <w:color w:val="auto"/>
              </w:rPr>
            </w:pPr>
          </w:p>
        </w:tc>
        <w:tc>
          <w:tcPr>
            <w:tcW w:w="340" w:type="dxa"/>
            <w:vAlign w:val="bottom"/>
            <w:tcBorders>
              <w:top w:val="single" w:sz="8" w:color="auto"/>
              <w:bottom w:val="single" w:sz="8" w:color="auto"/>
            </w:tcBorders>
            <w:shd w:val="clear" w:color="auto" w:fill="CFF0FC"/>
          </w:tcPr>
          <w:p>
            <w:pPr>
              <w:jc w:val="right"/>
              <w:ind w:right="150"/>
              <w:spacing w:after="0"/>
              <w:rPr>
                <w:sz w:val="20"/>
                <w:szCs w:val="20"/>
                <w:color w:val="auto"/>
              </w:rPr>
            </w:pPr>
            <w:r>
              <w:rPr>
                <w:rFonts w:ascii="Arial" w:cs="Arial" w:eastAsia="Arial" w:hAnsi="Arial"/>
                <w:sz w:val="18"/>
                <w:szCs w:val="18"/>
                <w:color w:val="auto"/>
                <w:w w:val="79"/>
              </w:rPr>
              <w:t>$</w:t>
            </w:r>
          </w:p>
        </w:tc>
        <w:tc>
          <w:tcPr>
            <w:tcW w:w="220" w:type="dxa"/>
            <w:vAlign w:val="bottom"/>
            <w:tcBorders>
              <w:top w:val="single" w:sz="8" w:color="auto"/>
              <w:bottom w:val="single" w:sz="8" w:color="auto"/>
            </w:tcBorders>
            <w:shd w:val="clear" w:color="auto" w:fill="CFF0FC"/>
          </w:tcPr>
          <w:p>
            <w:pPr>
              <w:spacing w:after="0"/>
              <w:rPr>
                <w:sz w:val="20"/>
                <w:szCs w:val="20"/>
                <w:color w:val="auto"/>
              </w:rPr>
            </w:pPr>
          </w:p>
        </w:tc>
        <w:tc>
          <w:tcPr>
            <w:tcW w:w="160" w:type="dxa"/>
            <w:vAlign w:val="bottom"/>
            <w:tcBorders>
              <w:top w:val="single" w:sz="8" w:color="auto"/>
              <w:bottom w:val="single" w:sz="8" w:color="auto"/>
            </w:tcBorders>
            <w:shd w:val="clear" w:color="auto" w:fill="CFF0FC"/>
          </w:tcPr>
          <w:p>
            <w:pPr>
              <w:spacing w:after="0"/>
              <w:rPr>
                <w:sz w:val="20"/>
                <w:szCs w:val="20"/>
                <w:color w:val="auto"/>
              </w:rPr>
            </w:pPr>
          </w:p>
        </w:tc>
        <w:tc>
          <w:tcPr>
            <w:tcW w:w="12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5,090,537</w:t>
            </w:r>
          </w:p>
        </w:tc>
        <w:tc>
          <w:tcPr>
            <w:tcW w:w="100" w:type="dxa"/>
            <w:vAlign w:val="bottom"/>
            <w:tcBorders>
              <w:top w:val="single" w:sz="8" w:color="CFF0FC"/>
              <w:bottom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640" w:type="dxa"/>
            <w:vAlign w:val="bottom"/>
            <w:gridSpan w:val="5"/>
            <w:vMerge w:val="restart"/>
          </w:tcPr>
          <w:p>
            <w:pPr>
              <w:spacing w:after="0"/>
              <w:rPr>
                <w:sz w:val="20"/>
                <w:szCs w:val="20"/>
                <w:color w:val="auto"/>
              </w:rPr>
            </w:pPr>
            <w:r>
              <w:rPr>
                <w:rFonts w:ascii="Arial" w:cs="Arial" w:eastAsia="Arial" w:hAnsi="Arial"/>
                <w:sz w:val="18"/>
                <w:szCs w:val="18"/>
                <w:color w:val="auto"/>
                <w:w w:val="91"/>
              </w:rPr>
              <w:t>Notes and other debt at March 31, 2022 and December 31, 2021 consisted of the following:</w:t>
            </w: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6"/>
        </w:trPr>
        <w:tc>
          <w:tcPr>
            <w:tcW w:w="6640" w:type="dxa"/>
            <w:vAlign w:val="bottom"/>
            <w:gridSpan w:val="5"/>
            <w:vMerge w:val="continue"/>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4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0" w:type="dxa"/>
            <w:vAlign w:val="bottom"/>
            <w:gridSpan w:val="6"/>
          </w:tcPr>
          <w:p>
            <w:pPr>
              <w:jc w:val="right"/>
              <w:ind w:right="1120"/>
              <w:spacing w:after="0"/>
              <w:rPr>
                <w:sz w:val="20"/>
                <w:szCs w:val="20"/>
                <w:color w:val="auto"/>
              </w:rPr>
            </w:pPr>
            <w:r>
              <w:rPr>
                <w:rFonts w:ascii="Arial" w:cs="Arial" w:eastAsia="Arial" w:hAnsi="Arial"/>
                <w:sz w:val="14"/>
                <w:szCs w:val="14"/>
                <w:b w:val="1"/>
                <w:bCs w:val="1"/>
                <w:color w:val="auto"/>
              </w:rPr>
              <w:t>March 31, 2022</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300" w:type="dxa"/>
            <w:vAlign w:val="bottom"/>
            <w:gridSpan w:val="6"/>
          </w:tcPr>
          <w:p>
            <w:pPr>
              <w:jc w:val="right"/>
              <w:ind w:right="1000"/>
              <w:spacing w:after="0"/>
              <w:rPr>
                <w:sz w:val="20"/>
                <w:szCs w:val="20"/>
                <w:color w:val="auto"/>
              </w:rPr>
            </w:pPr>
            <w:r>
              <w:rPr>
                <w:rFonts w:ascii="Arial" w:cs="Arial" w:eastAsia="Arial" w:hAnsi="Arial"/>
                <w:sz w:val="14"/>
                <w:szCs w:val="14"/>
                <w:b w:val="1"/>
                <w:bCs w:val="1"/>
                <w:color w:val="auto"/>
              </w:rPr>
              <w:t>December 31, 2021</w:t>
            </w:r>
          </w:p>
        </w:tc>
        <w:tc>
          <w:tcPr>
            <w:tcW w:w="0" w:type="dxa"/>
            <w:vAlign w:val="bottom"/>
          </w:tcPr>
          <w:p>
            <w:pPr>
              <w:spacing w:after="0"/>
              <w:rPr>
                <w:sz w:val="1"/>
                <w:szCs w:val="1"/>
                <w:color w:val="auto"/>
              </w:rPr>
            </w:pPr>
          </w:p>
        </w:tc>
      </w:tr>
      <w:tr>
        <w:trPr>
          <w:trHeight w:val="133"/>
        </w:trPr>
        <w:tc>
          <w:tcPr>
            <w:tcW w:w="49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10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100" w:type="dxa"/>
            <w:vAlign w:val="bottom"/>
            <w:tcBorders>
              <w:top w:val="single" w:sz="8" w:color="auto"/>
            </w:tcBorders>
            <w:gridSpan w:val="2"/>
          </w:tcPr>
          <w:p>
            <w:pPr>
              <w:jc w:val="center"/>
              <w:ind w:right="167"/>
              <w:spacing w:after="0" w:line="133" w:lineRule="exact"/>
              <w:rPr>
                <w:sz w:val="20"/>
                <w:szCs w:val="20"/>
                <w:color w:val="auto"/>
              </w:rPr>
            </w:pPr>
            <w:r>
              <w:rPr>
                <w:rFonts w:ascii="Arial" w:cs="Arial" w:eastAsia="Arial" w:hAnsi="Arial"/>
                <w:sz w:val="14"/>
                <w:szCs w:val="14"/>
                <w:b w:val="1"/>
                <w:bCs w:val="1"/>
                <w:color w:val="auto"/>
                <w:w w:val="96"/>
              </w:rPr>
              <w:t>Unamortized</w:t>
            </w: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0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34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200" w:type="dxa"/>
            <w:vAlign w:val="bottom"/>
            <w:tcBorders>
              <w:top w:val="single" w:sz="8" w:color="auto"/>
            </w:tcBorders>
          </w:tcPr>
          <w:p>
            <w:pPr>
              <w:jc w:val="center"/>
              <w:ind w:right="96"/>
              <w:spacing w:after="0" w:line="133" w:lineRule="exact"/>
              <w:rPr>
                <w:sz w:val="20"/>
                <w:szCs w:val="20"/>
                <w:color w:val="auto"/>
              </w:rPr>
            </w:pPr>
            <w:r>
              <w:rPr>
                <w:rFonts w:ascii="Arial" w:cs="Arial" w:eastAsia="Arial" w:hAnsi="Arial"/>
                <w:sz w:val="14"/>
                <w:szCs w:val="14"/>
                <w:b w:val="1"/>
                <w:bCs w:val="1"/>
                <w:color w:val="auto"/>
                <w:w w:val="96"/>
              </w:rPr>
              <w:t>Unamortized</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49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40" w:type="dxa"/>
            <w:vAlign w:val="bottom"/>
            <w:gridSpan w:val="3"/>
          </w:tcPr>
          <w:p>
            <w:pPr>
              <w:jc w:val="center"/>
              <w:ind w:right="380"/>
              <w:spacing w:after="0" w:line="149" w:lineRule="exact"/>
              <w:rPr>
                <w:sz w:val="20"/>
                <w:szCs w:val="20"/>
                <w:color w:val="auto"/>
              </w:rPr>
            </w:pPr>
            <w:r>
              <w:rPr>
                <w:rFonts w:ascii="Arial" w:cs="Arial" w:eastAsia="Arial" w:hAnsi="Arial"/>
                <w:sz w:val="14"/>
                <w:szCs w:val="14"/>
                <w:b w:val="1"/>
                <w:bCs w:val="1"/>
                <w:color w:val="auto"/>
                <w:w w:val="90"/>
              </w:rPr>
              <w:t>Discount,</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0"/>
              </w:rPr>
              <w:t>Discount,</w:t>
            </w:r>
          </w:p>
        </w:tc>
        <w:tc>
          <w:tcPr>
            <w:tcW w:w="0" w:type="dxa"/>
            <w:vAlign w:val="bottom"/>
          </w:tcPr>
          <w:p>
            <w:pPr>
              <w:spacing w:after="0"/>
              <w:rPr>
                <w:sz w:val="1"/>
                <w:szCs w:val="1"/>
                <w:color w:val="auto"/>
              </w:rPr>
            </w:pPr>
          </w:p>
        </w:tc>
      </w:tr>
      <w:tr>
        <w:trPr>
          <w:trHeight w:val="148"/>
        </w:trPr>
        <w:tc>
          <w:tcPr>
            <w:tcW w:w="49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40" w:type="dxa"/>
            <w:vAlign w:val="bottom"/>
            <w:gridSpan w:val="3"/>
          </w:tcPr>
          <w:p>
            <w:pPr>
              <w:jc w:val="center"/>
              <w:ind w:right="360"/>
              <w:spacing w:after="0" w:line="149" w:lineRule="exact"/>
              <w:rPr>
                <w:sz w:val="20"/>
                <w:szCs w:val="20"/>
                <w:color w:val="auto"/>
              </w:rPr>
            </w:pPr>
            <w:r>
              <w:rPr>
                <w:rFonts w:ascii="Arial" w:cs="Arial" w:eastAsia="Arial" w:hAnsi="Arial"/>
                <w:sz w:val="14"/>
                <w:szCs w:val="14"/>
                <w:b w:val="1"/>
                <w:bCs w:val="1"/>
                <w:color w:val="auto"/>
                <w:w w:val="94"/>
              </w:rPr>
              <w:t>Premium and</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4"/>
              </w:rPr>
              <w:t>Premium and</w:t>
            </w:r>
          </w:p>
        </w:tc>
        <w:tc>
          <w:tcPr>
            <w:tcW w:w="0" w:type="dxa"/>
            <w:vAlign w:val="bottom"/>
          </w:tcPr>
          <w:p>
            <w:pPr>
              <w:spacing w:after="0"/>
              <w:rPr>
                <w:sz w:val="1"/>
                <w:szCs w:val="1"/>
                <w:color w:val="auto"/>
              </w:rPr>
            </w:pPr>
          </w:p>
        </w:tc>
      </w:tr>
      <w:tr>
        <w:trPr>
          <w:trHeight w:val="148"/>
        </w:trPr>
        <w:tc>
          <w:tcPr>
            <w:tcW w:w="49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32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Principal</w:t>
            </w:r>
          </w:p>
        </w:tc>
        <w:tc>
          <w:tcPr>
            <w:tcW w:w="240" w:type="dxa"/>
            <w:vAlign w:val="bottom"/>
          </w:tcPr>
          <w:p>
            <w:pPr>
              <w:spacing w:after="0"/>
              <w:rPr>
                <w:sz w:val="12"/>
                <w:szCs w:val="12"/>
                <w:color w:val="auto"/>
              </w:rPr>
            </w:pPr>
          </w:p>
        </w:tc>
        <w:tc>
          <w:tcPr>
            <w:tcW w:w="1240" w:type="dxa"/>
            <w:vAlign w:val="bottom"/>
            <w:gridSpan w:val="3"/>
          </w:tcPr>
          <w:p>
            <w:pPr>
              <w:jc w:val="center"/>
              <w:ind w:right="380"/>
              <w:spacing w:after="0" w:line="149" w:lineRule="exact"/>
              <w:rPr>
                <w:sz w:val="20"/>
                <w:szCs w:val="20"/>
                <w:color w:val="auto"/>
              </w:rPr>
            </w:pPr>
            <w:r>
              <w:rPr>
                <w:rFonts w:ascii="Arial" w:cs="Arial" w:eastAsia="Arial" w:hAnsi="Arial"/>
                <w:sz w:val="14"/>
                <w:szCs w:val="14"/>
                <w:b w:val="1"/>
                <w:bCs w:val="1"/>
                <w:color w:val="auto"/>
                <w:w w:val="90"/>
              </w:rPr>
              <w:t>Debt Issuance</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gridSpan w:val="3"/>
            <w:vMerge w:val="restart"/>
          </w:tcPr>
          <w:p>
            <w:pPr>
              <w:jc w:val="right"/>
              <w:ind w:right="310"/>
              <w:spacing w:after="0"/>
              <w:rPr>
                <w:sz w:val="20"/>
                <w:szCs w:val="20"/>
                <w:color w:val="auto"/>
              </w:rPr>
            </w:pPr>
            <w:r>
              <w:rPr>
                <w:rFonts w:ascii="Arial" w:cs="Arial" w:eastAsia="Arial" w:hAnsi="Arial"/>
                <w:sz w:val="14"/>
                <w:szCs w:val="14"/>
                <w:b w:val="1"/>
                <w:bCs w:val="1"/>
                <w:color w:val="auto"/>
              </w:rPr>
              <w:t>Principal</w:t>
            </w: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0"/>
              </w:rPr>
              <w:t>Debt Issuance</w:t>
            </w:r>
          </w:p>
        </w:tc>
        <w:tc>
          <w:tcPr>
            <w:tcW w:w="0" w:type="dxa"/>
            <w:vAlign w:val="bottom"/>
          </w:tcPr>
          <w:p>
            <w:pPr>
              <w:spacing w:after="0"/>
              <w:rPr>
                <w:sz w:val="1"/>
                <w:szCs w:val="1"/>
                <w:color w:val="auto"/>
              </w:rPr>
            </w:pPr>
          </w:p>
        </w:tc>
      </w:tr>
      <w:tr>
        <w:trPr>
          <w:trHeight w:val="171"/>
        </w:trPr>
        <w:tc>
          <w:tcPr>
            <w:tcW w:w="508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240" w:type="dxa"/>
            <w:vAlign w:val="bottom"/>
          </w:tcPr>
          <w:p>
            <w:pPr>
              <w:spacing w:after="0"/>
              <w:rPr>
                <w:sz w:val="14"/>
                <w:szCs w:val="14"/>
                <w:color w:val="auto"/>
              </w:rPr>
            </w:pPr>
          </w:p>
        </w:tc>
        <w:tc>
          <w:tcPr>
            <w:tcW w:w="132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gridSpan w:val="2"/>
          </w:tcPr>
          <w:p>
            <w:pPr>
              <w:jc w:val="center"/>
              <w:ind w:right="560"/>
              <w:spacing w:after="0"/>
              <w:rPr>
                <w:sz w:val="20"/>
                <w:szCs w:val="20"/>
                <w:color w:val="auto"/>
              </w:rPr>
            </w:pPr>
            <w:r>
              <w:rPr>
                <w:rFonts w:ascii="Arial" w:cs="Arial" w:eastAsia="Arial" w:hAnsi="Arial"/>
                <w:sz w:val="14"/>
                <w:szCs w:val="14"/>
                <w:b w:val="1"/>
                <w:bCs w:val="1"/>
                <w:color w:val="auto"/>
                <w:w w:val="87"/>
              </w:rPr>
              <w:t>Costs</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20" w:type="dxa"/>
            <w:vAlign w:val="bottom"/>
            <w:gridSpan w:val="3"/>
            <w:vMerge w:val="continue"/>
          </w:tcPr>
          <w:p>
            <w:pPr>
              <w:spacing w:after="0"/>
              <w:rPr>
                <w:sz w:val="14"/>
                <w:szCs w:val="14"/>
                <w:color w:val="auto"/>
              </w:rPr>
            </w:pP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7"/>
              </w:rPr>
              <w:t>Costs</w:t>
            </w:r>
          </w:p>
        </w:tc>
        <w:tc>
          <w:tcPr>
            <w:tcW w:w="0" w:type="dxa"/>
            <w:vAlign w:val="bottom"/>
          </w:tcPr>
          <w:p>
            <w:pPr>
              <w:spacing w:after="0"/>
              <w:rPr>
                <w:sz w:val="1"/>
                <w:szCs w:val="1"/>
                <w:color w:val="auto"/>
              </w:rPr>
            </w:pPr>
          </w:p>
        </w:tc>
      </w:tr>
      <w:tr>
        <w:trPr>
          <w:trHeight w:val="209"/>
        </w:trPr>
        <w:tc>
          <w:tcPr>
            <w:tcW w:w="496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Senior secured notes - 7.875%, due February 15, 2025</w:t>
            </w:r>
          </w:p>
        </w:tc>
        <w:tc>
          <w:tcPr>
            <w:tcW w:w="120" w:type="dxa"/>
            <w:vAlign w:val="bottom"/>
            <w:tcBorders>
              <w:top w:val="single" w:sz="8" w:color="CFF0FC"/>
            </w:tcBorders>
            <w:shd w:val="clear" w:color="auto" w:fill="CFF0FC"/>
          </w:tcPr>
          <w:p>
            <w:pPr>
              <w:spacing w:after="0"/>
              <w:rPr>
                <w:sz w:val="18"/>
                <w:szCs w:val="18"/>
                <w:color w:val="auto"/>
              </w:rPr>
            </w:pPr>
          </w:p>
        </w:tc>
        <w:tc>
          <w:tcPr>
            <w:tcW w:w="240" w:type="dxa"/>
            <w:vAlign w:val="bottom"/>
            <w:tcBorders>
              <w:top w:val="single" w:sz="8" w:color="auto"/>
            </w:tcBorders>
            <w:shd w:val="clear" w:color="auto" w:fill="CFF0FC"/>
          </w:tcPr>
          <w:p>
            <w:pPr>
              <w:spacing w:after="0"/>
              <w:rPr>
                <w:sz w:val="18"/>
                <w:szCs w:val="18"/>
                <w:color w:val="auto"/>
              </w:rPr>
            </w:pPr>
          </w:p>
        </w:tc>
        <w:tc>
          <w:tcPr>
            <w:tcW w:w="1100" w:type="dxa"/>
            <w:vAlign w:val="bottom"/>
            <w:tcBorders>
              <w:top w:val="single" w:sz="8" w:color="auto"/>
            </w:tcBorders>
            <w:shd w:val="clear" w:color="auto" w:fill="CFF0FC"/>
          </w:tcPr>
          <w:p>
            <w:pPr>
              <w:spacing w:after="0"/>
              <w:rPr>
                <w:sz w:val="18"/>
                <w:szCs w:val="18"/>
                <w:color w:val="auto"/>
              </w:rPr>
            </w:pPr>
          </w:p>
        </w:tc>
        <w:tc>
          <w:tcPr>
            <w:tcW w:w="220" w:type="dxa"/>
            <w:vAlign w:val="bottom"/>
            <w:tcBorders>
              <w:top w:val="single" w:sz="8" w:color="CFF0FC"/>
            </w:tcBorders>
            <w:shd w:val="clear" w:color="auto" w:fill="CFF0FC"/>
          </w:tcPr>
          <w:p>
            <w:pPr>
              <w:spacing w:after="0"/>
              <w:rPr>
                <w:sz w:val="18"/>
                <w:szCs w:val="18"/>
                <w:color w:val="auto"/>
              </w:rPr>
            </w:pPr>
          </w:p>
        </w:tc>
        <w:tc>
          <w:tcPr>
            <w:tcW w:w="240" w:type="dxa"/>
            <w:vAlign w:val="bottom"/>
            <w:tcBorders>
              <w:top w:val="single" w:sz="8" w:color="auto"/>
            </w:tcBorders>
            <w:shd w:val="clear" w:color="auto" w:fill="CFF0FC"/>
          </w:tcPr>
          <w:p>
            <w:pPr>
              <w:spacing w:after="0"/>
              <w:rPr>
                <w:sz w:val="18"/>
                <w:szCs w:val="18"/>
                <w:color w:val="auto"/>
              </w:rPr>
            </w:pPr>
          </w:p>
        </w:tc>
        <w:tc>
          <w:tcPr>
            <w:tcW w:w="180" w:type="dxa"/>
            <w:vAlign w:val="bottom"/>
            <w:tcBorders>
              <w:top w:val="single" w:sz="8" w:color="auto"/>
            </w:tcBorders>
            <w:shd w:val="clear" w:color="auto" w:fill="CFF0FC"/>
          </w:tcPr>
          <w:p>
            <w:pPr>
              <w:spacing w:after="0"/>
              <w:rPr>
                <w:sz w:val="18"/>
                <w:szCs w:val="18"/>
                <w:color w:val="auto"/>
              </w:rPr>
            </w:pPr>
          </w:p>
        </w:tc>
        <w:tc>
          <w:tcPr>
            <w:tcW w:w="920" w:type="dxa"/>
            <w:vAlign w:val="bottom"/>
            <w:tcBorders>
              <w:top w:val="single" w:sz="8" w:color="auto"/>
            </w:tcBorders>
            <w:shd w:val="clear" w:color="auto" w:fill="CFF0FC"/>
          </w:tcPr>
          <w:p>
            <w:pPr>
              <w:spacing w:after="0"/>
              <w:rPr>
                <w:sz w:val="18"/>
                <w:szCs w:val="18"/>
                <w:color w:val="auto"/>
              </w:rPr>
            </w:pPr>
          </w:p>
        </w:tc>
        <w:tc>
          <w:tcPr>
            <w:tcW w:w="14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600" w:type="dxa"/>
            <w:vAlign w:val="bottom"/>
            <w:tcBorders>
              <w:top w:val="single" w:sz="8" w:color="auto"/>
            </w:tcBorders>
            <w:shd w:val="clear" w:color="auto" w:fill="CFF0FC"/>
          </w:tcPr>
          <w:p>
            <w:pPr>
              <w:spacing w:after="0"/>
              <w:rPr>
                <w:sz w:val="18"/>
                <w:szCs w:val="18"/>
                <w:color w:val="auto"/>
              </w:rPr>
            </w:pPr>
          </w:p>
        </w:tc>
        <w:tc>
          <w:tcPr>
            <w:tcW w:w="280" w:type="dxa"/>
            <w:vAlign w:val="bottom"/>
            <w:tcBorders>
              <w:top w:val="single" w:sz="8" w:color="auto"/>
            </w:tcBorders>
            <w:shd w:val="clear" w:color="auto" w:fill="CFF0FC"/>
          </w:tcPr>
          <w:p>
            <w:pPr>
              <w:spacing w:after="0"/>
              <w:rPr>
                <w:sz w:val="18"/>
                <w:szCs w:val="18"/>
                <w:color w:val="auto"/>
              </w:rPr>
            </w:pPr>
          </w:p>
        </w:tc>
        <w:tc>
          <w:tcPr>
            <w:tcW w:w="340" w:type="dxa"/>
            <w:vAlign w:val="bottom"/>
            <w:tcBorders>
              <w:top w:val="single" w:sz="8" w:color="auto"/>
            </w:tcBorders>
            <w:shd w:val="clear" w:color="auto" w:fill="CFF0FC"/>
          </w:tcPr>
          <w:p>
            <w:pPr>
              <w:spacing w:after="0"/>
              <w:rPr>
                <w:sz w:val="18"/>
                <w:szCs w:val="18"/>
                <w:color w:val="auto"/>
              </w:rPr>
            </w:pPr>
          </w:p>
        </w:tc>
        <w:tc>
          <w:tcPr>
            <w:tcW w:w="220" w:type="dxa"/>
            <w:vAlign w:val="bottom"/>
            <w:tcBorders>
              <w:top w:val="single" w:sz="8" w:color="CFF0FC"/>
            </w:tcBorders>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spacing w:after="0"/>
              <w:rPr>
                <w:sz w:val="18"/>
                <w:szCs w:val="18"/>
                <w:color w:val="auto"/>
              </w:rPr>
            </w:pPr>
          </w:p>
        </w:tc>
        <w:tc>
          <w:tcPr>
            <w:tcW w:w="120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08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(discount is based on imputed interest rate of 8.38%)</w:t>
            </w: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2,250,000</w:t>
            </w:r>
          </w:p>
        </w:tc>
        <w:tc>
          <w:tcPr>
            <w:tcW w:w="220" w:type="dxa"/>
            <w:vAlign w:val="bottom"/>
            <w:shd w:val="clear" w:color="auto" w:fill="CFF0FC"/>
          </w:tcPr>
          <w:p>
            <w:pPr>
              <w:spacing w:after="0"/>
              <w:rPr>
                <w:sz w:val="20"/>
                <w:szCs w:val="20"/>
                <w:color w:val="auto"/>
              </w:rPr>
            </w:pP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240" w:type="dxa"/>
            <w:vAlign w:val="bottom"/>
            <w:gridSpan w:val="3"/>
            <w:shd w:val="clear" w:color="auto" w:fill="CFF0FC"/>
          </w:tcPr>
          <w:p>
            <w:pPr>
              <w:jc w:val="right"/>
              <w:ind w:right="80"/>
              <w:spacing w:after="0"/>
              <w:rPr>
                <w:sz w:val="20"/>
                <w:szCs w:val="20"/>
                <w:color w:val="auto"/>
              </w:rPr>
            </w:pPr>
            <w:r>
              <w:rPr>
                <w:rFonts w:ascii="Arial" w:cs="Arial" w:eastAsia="Arial" w:hAnsi="Arial"/>
                <w:sz w:val="18"/>
                <w:szCs w:val="18"/>
                <w:color w:val="auto"/>
              </w:rPr>
              <w:t>(29,191)</w:t>
            </w:r>
          </w:p>
        </w:tc>
        <w:tc>
          <w:tcPr>
            <w:tcW w:w="220" w:type="dxa"/>
            <w:vAlign w:val="bottom"/>
            <w:gridSpan w:val="2"/>
            <w:shd w:val="clear" w:color="auto" w:fill="CFF0FC"/>
          </w:tcPr>
          <w:p>
            <w:pPr>
              <w:ind w:left="100"/>
              <w:spacing w:after="0"/>
              <w:rPr>
                <w:sz w:val="20"/>
                <w:szCs w:val="20"/>
                <w:color w:val="auto"/>
              </w:rPr>
            </w:pPr>
            <w:r>
              <w:rPr>
                <w:rFonts w:ascii="Arial" w:cs="Arial" w:eastAsia="Arial" w:hAnsi="Arial"/>
                <w:sz w:val="18"/>
                <w:szCs w:val="18"/>
                <w:color w:val="auto"/>
                <w:w w:val="99"/>
              </w:rPr>
              <w:t>$</w:t>
            </w:r>
          </w:p>
        </w:tc>
        <w:tc>
          <w:tcPr>
            <w:tcW w:w="122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rPr>
              <w:t>2,250,000</w:t>
            </w:r>
          </w:p>
        </w:tc>
        <w:tc>
          <w:tcPr>
            <w:tcW w:w="3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(31,411)</w:t>
            </w:r>
          </w:p>
        </w:tc>
        <w:tc>
          <w:tcPr>
            <w:tcW w:w="0" w:type="dxa"/>
            <w:vAlign w:val="bottom"/>
          </w:tcPr>
          <w:p>
            <w:pPr>
              <w:spacing w:after="0"/>
              <w:rPr>
                <w:sz w:val="1"/>
                <w:szCs w:val="1"/>
                <w:color w:val="auto"/>
              </w:rPr>
            </w:pPr>
          </w:p>
        </w:tc>
      </w:tr>
      <w:tr>
        <w:trPr>
          <w:trHeight w:val="215"/>
        </w:trPr>
        <w:tc>
          <w:tcPr>
            <w:tcW w:w="5080" w:type="dxa"/>
            <w:vAlign w:val="bottom"/>
            <w:gridSpan w:val="2"/>
          </w:tcPr>
          <w:p>
            <w:pPr>
              <w:spacing w:after="0"/>
              <w:rPr>
                <w:sz w:val="20"/>
                <w:szCs w:val="20"/>
                <w:color w:val="auto"/>
              </w:rPr>
            </w:pPr>
            <w:r>
              <w:rPr>
                <w:rFonts w:ascii="Arial" w:cs="Arial" w:eastAsia="Arial" w:hAnsi="Arial"/>
                <w:sz w:val="18"/>
                <w:szCs w:val="18"/>
                <w:color w:val="auto"/>
              </w:rPr>
              <w:t>Senior secured notes - 4.75%, due April 15, 2028</w:t>
            </w:r>
          </w:p>
        </w:tc>
        <w:tc>
          <w:tcPr>
            <w:tcW w:w="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080" w:type="dxa"/>
            <w:vAlign w:val="bottom"/>
            <w:gridSpan w:val="2"/>
          </w:tcPr>
          <w:p>
            <w:pPr>
              <w:spacing w:after="0"/>
              <w:rPr>
                <w:sz w:val="20"/>
                <w:szCs w:val="20"/>
                <w:color w:val="auto"/>
              </w:rPr>
            </w:pPr>
            <w:r>
              <w:rPr>
                <w:rFonts w:ascii="Arial" w:cs="Arial" w:eastAsia="Arial" w:hAnsi="Arial"/>
                <w:sz w:val="18"/>
                <w:szCs w:val="18"/>
                <w:color w:val="auto"/>
              </w:rPr>
              <w:t>(discount is based on imputed interest rate of 5.04%)</w:t>
            </w:r>
          </w:p>
        </w:tc>
        <w:tc>
          <w:tcPr>
            <w:tcW w:w="2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570,000</w:t>
            </w: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40" w:type="dxa"/>
            <w:vAlign w:val="bottom"/>
            <w:gridSpan w:val="3"/>
          </w:tcPr>
          <w:p>
            <w:pPr>
              <w:jc w:val="right"/>
              <w:ind w:right="80"/>
              <w:spacing w:after="0"/>
              <w:rPr>
                <w:sz w:val="20"/>
                <w:szCs w:val="20"/>
                <w:color w:val="auto"/>
              </w:rPr>
            </w:pPr>
            <w:r>
              <w:rPr>
                <w:rFonts w:ascii="Arial" w:cs="Arial" w:eastAsia="Arial" w:hAnsi="Arial"/>
                <w:sz w:val="18"/>
                <w:szCs w:val="18"/>
                <w:color w:val="auto"/>
              </w:rPr>
              <w:t>(8,584)</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w w:val="89"/>
              </w:rPr>
              <w:t>570,000</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gridSpan w:val="2"/>
          </w:tcPr>
          <w:p>
            <w:pPr>
              <w:jc w:val="right"/>
              <w:ind w:right="40"/>
              <w:spacing w:after="0"/>
              <w:rPr>
                <w:sz w:val="20"/>
                <w:szCs w:val="20"/>
                <w:color w:val="auto"/>
              </w:rPr>
            </w:pPr>
            <w:r>
              <w:rPr>
                <w:rFonts w:ascii="Arial" w:cs="Arial" w:eastAsia="Arial" w:hAnsi="Arial"/>
                <w:sz w:val="18"/>
                <w:szCs w:val="18"/>
                <w:color w:val="auto"/>
              </w:rPr>
              <w:t>(8,886)</w:t>
            </w:r>
          </w:p>
        </w:tc>
        <w:tc>
          <w:tcPr>
            <w:tcW w:w="0" w:type="dxa"/>
            <w:vAlign w:val="bottom"/>
          </w:tcPr>
          <w:p>
            <w:pPr>
              <w:spacing w:after="0"/>
              <w:rPr>
                <w:sz w:val="1"/>
                <w:szCs w:val="1"/>
                <w:color w:val="auto"/>
              </w:rPr>
            </w:pPr>
          </w:p>
        </w:tc>
      </w:tr>
      <w:tr>
        <w:trPr>
          <w:trHeight w:val="215"/>
        </w:trPr>
        <w:tc>
          <w:tcPr>
            <w:tcW w:w="508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Senior unsecured notes - 4.00%, due June 15, 2024</w:t>
            </w:r>
          </w:p>
        </w:tc>
        <w:tc>
          <w:tcPr>
            <w:tcW w:w="240" w:type="dxa"/>
            <w:vAlign w:val="bottom"/>
            <w:shd w:val="clear" w:color="auto" w:fill="CFF0FC"/>
          </w:tcPr>
          <w:p>
            <w:pPr>
              <w:spacing w:after="0"/>
              <w:rPr>
                <w:sz w:val="18"/>
                <w:szCs w:val="18"/>
                <w:color w:val="auto"/>
              </w:rPr>
            </w:pPr>
          </w:p>
        </w:tc>
        <w:tc>
          <w:tcPr>
            <w:tcW w:w="110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92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60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2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08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(discount is based on imputed interest rate of 4.77%)</w:t>
            </w:r>
          </w:p>
        </w:tc>
        <w:tc>
          <w:tcPr>
            <w:tcW w:w="240" w:type="dxa"/>
            <w:vAlign w:val="bottom"/>
            <w:shd w:val="clear" w:color="auto" w:fill="CFF0FC"/>
          </w:tcPr>
          <w:p>
            <w:pPr>
              <w:spacing w:after="0"/>
              <w:rPr>
                <w:sz w:val="20"/>
                <w:szCs w:val="20"/>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345,000</w:t>
            </w:r>
          </w:p>
        </w:tc>
        <w:tc>
          <w:tcPr>
            <w:tcW w:w="22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1240" w:type="dxa"/>
            <w:vAlign w:val="bottom"/>
            <w:gridSpan w:val="3"/>
            <w:shd w:val="clear" w:color="auto" w:fill="CFF0FC"/>
          </w:tcPr>
          <w:p>
            <w:pPr>
              <w:jc w:val="right"/>
              <w:ind w:right="80"/>
              <w:spacing w:after="0"/>
              <w:rPr>
                <w:sz w:val="20"/>
                <w:szCs w:val="20"/>
                <w:color w:val="auto"/>
              </w:rPr>
            </w:pPr>
            <w:r>
              <w:rPr>
                <w:rFonts w:ascii="Arial" w:cs="Arial" w:eastAsia="Arial" w:hAnsi="Arial"/>
                <w:sz w:val="18"/>
                <w:szCs w:val="18"/>
                <w:color w:val="auto"/>
              </w:rPr>
              <w:t>(5,590)</w:t>
            </w:r>
          </w:p>
        </w:tc>
        <w:tc>
          <w:tcPr>
            <w:tcW w:w="10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600" w:type="dxa"/>
            <w:vAlign w:val="bottom"/>
            <w:shd w:val="clear" w:color="auto" w:fill="CFF0FC"/>
          </w:tcPr>
          <w:p>
            <w:pPr>
              <w:spacing w:after="0"/>
              <w:rPr>
                <w:sz w:val="20"/>
                <w:szCs w:val="20"/>
                <w:color w:val="auto"/>
              </w:rPr>
            </w:pP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w w:val="89"/>
              </w:rPr>
              <w:t>345,000</w:t>
            </w:r>
          </w:p>
        </w:tc>
        <w:tc>
          <w:tcPr>
            <w:tcW w:w="22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13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(6,187)</w:t>
            </w:r>
          </w:p>
        </w:tc>
        <w:tc>
          <w:tcPr>
            <w:tcW w:w="0" w:type="dxa"/>
            <w:vAlign w:val="bottom"/>
          </w:tcPr>
          <w:p>
            <w:pPr>
              <w:spacing w:after="0"/>
              <w:rPr>
                <w:sz w:val="1"/>
                <w:szCs w:val="1"/>
                <w:color w:val="auto"/>
              </w:rPr>
            </w:pPr>
          </w:p>
        </w:tc>
      </w:tr>
      <w:tr>
        <w:trPr>
          <w:trHeight w:val="215"/>
        </w:trPr>
        <w:tc>
          <w:tcPr>
            <w:tcW w:w="5080" w:type="dxa"/>
            <w:vAlign w:val="bottom"/>
            <w:gridSpan w:val="2"/>
          </w:tcPr>
          <w:p>
            <w:pPr>
              <w:spacing w:after="0"/>
              <w:rPr>
                <w:sz w:val="20"/>
                <w:szCs w:val="20"/>
                <w:color w:val="auto"/>
              </w:rPr>
            </w:pPr>
            <w:r>
              <w:rPr>
                <w:rFonts w:ascii="Arial" w:cs="Arial" w:eastAsia="Arial" w:hAnsi="Arial"/>
                <w:sz w:val="18"/>
                <w:szCs w:val="18"/>
                <w:color w:val="auto"/>
              </w:rPr>
              <w:t>Senior unsecured notes - 6.50%, due February 15, 2029</w:t>
            </w:r>
          </w:p>
        </w:tc>
        <w:tc>
          <w:tcPr>
            <w:tcW w:w="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080" w:type="dxa"/>
            <w:vAlign w:val="bottom"/>
            <w:gridSpan w:val="2"/>
          </w:tcPr>
          <w:p>
            <w:pPr>
              <w:spacing w:after="0"/>
              <w:rPr>
                <w:sz w:val="20"/>
                <w:szCs w:val="20"/>
                <w:color w:val="auto"/>
              </w:rPr>
            </w:pPr>
            <w:r>
              <w:rPr>
                <w:rFonts w:ascii="Arial" w:cs="Arial" w:eastAsia="Arial" w:hAnsi="Arial"/>
                <w:sz w:val="18"/>
                <w:szCs w:val="18"/>
                <w:color w:val="auto"/>
              </w:rPr>
              <w:t>(discount is based on imputed interest rate of 6.83%)</w:t>
            </w:r>
          </w:p>
        </w:tc>
        <w:tc>
          <w:tcPr>
            <w:tcW w:w="2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1,110,000</w:t>
            </w: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40" w:type="dxa"/>
            <w:vAlign w:val="bottom"/>
            <w:gridSpan w:val="3"/>
          </w:tcPr>
          <w:p>
            <w:pPr>
              <w:jc w:val="right"/>
              <w:ind w:right="80"/>
              <w:spacing w:after="0"/>
              <w:rPr>
                <w:sz w:val="20"/>
                <w:szCs w:val="20"/>
                <w:color w:val="auto"/>
              </w:rPr>
            </w:pPr>
            <w:r>
              <w:rPr>
                <w:rFonts w:ascii="Arial" w:cs="Arial" w:eastAsia="Arial" w:hAnsi="Arial"/>
                <w:sz w:val="18"/>
                <w:szCs w:val="18"/>
                <w:color w:val="auto"/>
              </w:rPr>
              <w:t>(20,000)</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gridSpan w:val="3"/>
          </w:tcPr>
          <w:p>
            <w:pPr>
              <w:jc w:val="right"/>
              <w:spacing w:after="0"/>
              <w:rPr>
                <w:sz w:val="20"/>
                <w:szCs w:val="20"/>
                <w:color w:val="auto"/>
              </w:rPr>
            </w:pPr>
            <w:r>
              <w:rPr>
                <w:rFonts w:ascii="Arial" w:cs="Arial" w:eastAsia="Arial" w:hAnsi="Arial"/>
                <w:sz w:val="18"/>
                <w:szCs w:val="18"/>
                <w:color w:val="auto"/>
              </w:rPr>
              <w:t>1,110,000</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gridSpan w:val="2"/>
          </w:tcPr>
          <w:p>
            <w:pPr>
              <w:jc w:val="right"/>
              <w:ind w:right="40"/>
              <w:spacing w:after="0"/>
              <w:rPr>
                <w:sz w:val="20"/>
                <w:szCs w:val="20"/>
                <w:color w:val="auto"/>
              </w:rPr>
            </w:pPr>
            <w:r>
              <w:rPr>
                <w:rFonts w:ascii="Arial" w:cs="Arial" w:eastAsia="Arial" w:hAnsi="Arial"/>
                <w:sz w:val="18"/>
                <w:szCs w:val="18"/>
                <w:color w:val="auto"/>
              </w:rPr>
              <w:t>(20,797)</w:t>
            </w:r>
          </w:p>
        </w:tc>
        <w:tc>
          <w:tcPr>
            <w:tcW w:w="0" w:type="dxa"/>
            <w:vAlign w:val="bottom"/>
          </w:tcPr>
          <w:p>
            <w:pPr>
              <w:spacing w:after="0"/>
              <w:rPr>
                <w:sz w:val="1"/>
                <w:szCs w:val="1"/>
                <w:color w:val="auto"/>
              </w:rPr>
            </w:pPr>
          </w:p>
        </w:tc>
      </w:tr>
      <w:tr>
        <w:trPr>
          <w:trHeight w:val="215"/>
        </w:trPr>
        <w:tc>
          <w:tcPr>
            <w:tcW w:w="508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Senior unsecured notes - 6.00% due January 15, 2030</w:t>
            </w:r>
          </w:p>
        </w:tc>
        <w:tc>
          <w:tcPr>
            <w:tcW w:w="240" w:type="dxa"/>
            <w:vAlign w:val="bottom"/>
            <w:shd w:val="clear" w:color="auto" w:fill="CFF0FC"/>
          </w:tcPr>
          <w:p>
            <w:pPr>
              <w:spacing w:after="0"/>
              <w:rPr>
                <w:sz w:val="18"/>
                <w:szCs w:val="18"/>
                <w:color w:val="auto"/>
              </w:rPr>
            </w:pPr>
          </w:p>
        </w:tc>
        <w:tc>
          <w:tcPr>
            <w:tcW w:w="110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92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60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2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08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(discount is based on imputed interest rate of 6.27%)</w:t>
            </w:r>
          </w:p>
        </w:tc>
        <w:tc>
          <w:tcPr>
            <w:tcW w:w="240" w:type="dxa"/>
            <w:vAlign w:val="bottom"/>
            <w:shd w:val="clear" w:color="auto" w:fill="CFF0FC"/>
          </w:tcPr>
          <w:p>
            <w:pPr>
              <w:spacing w:after="0"/>
              <w:rPr>
                <w:sz w:val="20"/>
                <w:szCs w:val="20"/>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700,000</w:t>
            </w:r>
          </w:p>
        </w:tc>
        <w:tc>
          <w:tcPr>
            <w:tcW w:w="22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1240" w:type="dxa"/>
            <w:vAlign w:val="bottom"/>
            <w:gridSpan w:val="3"/>
            <w:shd w:val="clear" w:color="auto" w:fill="CFF0FC"/>
          </w:tcPr>
          <w:p>
            <w:pPr>
              <w:jc w:val="right"/>
              <w:ind w:right="80"/>
              <w:spacing w:after="0"/>
              <w:rPr>
                <w:sz w:val="20"/>
                <w:szCs w:val="20"/>
                <w:color w:val="auto"/>
              </w:rPr>
            </w:pPr>
            <w:r>
              <w:rPr>
                <w:rFonts w:ascii="Arial" w:cs="Arial" w:eastAsia="Arial" w:hAnsi="Arial"/>
                <w:sz w:val="18"/>
                <w:szCs w:val="18"/>
                <w:color w:val="auto"/>
              </w:rPr>
              <w:t>(11,407)</w:t>
            </w:r>
          </w:p>
        </w:tc>
        <w:tc>
          <w:tcPr>
            <w:tcW w:w="10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600" w:type="dxa"/>
            <w:vAlign w:val="bottom"/>
            <w:shd w:val="clear" w:color="auto" w:fill="CFF0FC"/>
          </w:tcPr>
          <w:p>
            <w:pPr>
              <w:spacing w:after="0"/>
              <w:rPr>
                <w:sz w:val="20"/>
                <w:szCs w:val="20"/>
                <w:color w:val="auto"/>
              </w:rPr>
            </w:pPr>
          </w:p>
        </w:tc>
        <w:tc>
          <w:tcPr>
            <w:tcW w:w="6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w w:val="89"/>
              </w:rPr>
              <w:t>700,000</w:t>
            </w:r>
          </w:p>
        </w:tc>
        <w:tc>
          <w:tcPr>
            <w:tcW w:w="22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13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(11,689)</w:t>
            </w:r>
          </w:p>
        </w:tc>
        <w:tc>
          <w:tcPr>
            <w:tcW w:w="0" w:type="dxa"/>
            <w:vAlign w:val="bottom"/>
          </w:tcPr>
          <w:p>
            <w:pPr>
              <w:spacing w:after="0"/>
              <w:rPr>
                <w:sz w:val="1"/>
                <w:szCs w:val="1"/>
                <w:color w:val="auto"/>
              </w:rPr>
            </w:pPr>
          </w:p>
        </w:tc>
      </w:tr>
      <w:tr>
        <w:trPr>
          <w:trHeight w:val="215"/>
        </w:trPr>
        <w:tc>
          <w:tcPr>
            <w:tcW w:w="5080" w:type="dxa"/>
            <w:vAlign w:val="bottom"/>
            <w:gridSpan w:val="2"/>
          </w:tcPr>
          <w:p>
            <w:pPr>
              <w:spacing w:after="0"/>
              <w:rPr>
                <w:sz w:val="20"/>
                <w:szCs w:val="20"/>
                <w:color w:val="auto"/>
              </w:rPr>
            </w:pPr>
            <w:r>
              <w:rPr>
                <w:rFonts w:ascii="Arial" w:cs="Arial" w:eastAsia="Arial" w:hAnsi="Arial"/>
                <w:sz w:val="18"/>
                <w:szCs w:val="18"/>
                <w:color w:val="auto"/>
                <w:w w:val="93"/>
              </w:rPr>
              <w:t>Senior secured revolving credit facility, variable rate, due December</w:t>
            </w:r>
          </w:p>
        </w:tc>
        <w:tc>
          <w:tcPr>
            <w:tcW w:w="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960" w:type="dxa"/>
            <w:vAlign w:val="bottom"/>
          </w:tcPr>
          <w:p>
            <w:pPr>
              <w:spacing w:after="0"/>
              <w:rPr>
                <w:sz w:val="20"/>
                <w:szCs w:val="20"/>
                <w:color w:val="auto"/>
              </w:rPr>
            </w:pPr>
            <w:r>
              <w:rPr>
                <w:rFonts w:ascii="Arial" w:cs="Arial" w:eastAsia="Arial" w:hAnsi="Arial"/>
                <w:sz w:val="18"/>
                <w:szCs w:val="18"/>
                <w:color w:val="auto"/>
              </w:rPr>
              <w:t>10, 2024</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225,000</w:t>
            </w: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40" w:type="dxa"/>
            <w:vAlign w:val="bottom"/>
            <w:gridSpan w:val="3"/>
          </w:tcPr>
          <w:p>
            <w:pPr>
              <w:jc w:val="right"/>
              <w:ind w:right="80"/>
              <w:spacing w:after="0"/>
              <w:rPr>
                <w:sz w:val="20"/>
                <w:szCs w:val="20"/>
                <w:color w:val="auto"/>
              </w:rPr>
            </w:pPr>
            <w:r>
              <w:rPr>
                <w:rFonts w:ascii="Arial" w:cs="Arial" w:eastAsia="Arial" w:hAnsi="Arial"/>
                <w:sz w:val="18"/>
                <w:szCs w:val="18"/>
                <w:color w:val="auto"/>
              </w:rPr>
              <w:t>(4,947)</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w w:val="89"/>
              </w:rPr>
              <w:t>200,000</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gridSpan w:val="2"/>
          </w:tcPr>
          <w:p>
            <w:pPr>
              <w:jc w:val="right"/>
              <w:ind w:right="40"/>
              <w:spacing w:after="0"/>
              <w:rPr>
                <w:sz w:val="20"/>
                <w:szCs w:val="20"/>
                <w:color w:val="auto"/>
              </w:rPr>
            </w:pPr>
            <w:r>
              <w:rPr>
                <w:rFonts w:ascii="Arial" w:cs="Arial" w:eastAsia="Arial" w:hAnsi="Arial"/>
                <w:sz w:val="18"/>
                <w:szCs w:val="18"/>
                <w:color w:val="auto"/>
              </w:rPr>
              <w:t>(5,493)</w:t>
            </w:r>
          </w:p>
        </w:tc>
        <w:tc>
          <w:tcPr>
            <w:tcW w:w="0" w:type="dxa"/>
            <w:vAlign w:val="bottom"/>
          </w:tcPr>
          <w:p>
            <w:pPr>
              <w:spacing w:after="0"/>
              <w:rPr>
                <w:sz w:val="1"/>
                <w:szCs w:val="1"/>
                <w:color w:val="auto"/>
              </w:rPr>
            </w:pPr>
          </w:p>
        </w:tc>
      </w:tr>
      <w:tr>
        <w:trPr>
          <w:trHeight w:val="20"/>
        </w:trPr>
        <w:tc>
          <w:tcPr>
            <w:tcW w:w="5080" w:type="dxa"/>
            <w:vAlign w:val="bottom"/>
            <w:gridSpan w:val="2"/>
            <w:vMerge w:val="restart"/>
            <w:shd w:val="clear" w:color="auto" w:fill="CFF0FC"/>
          </w:tcPr>
          <w:p>
            <w:pPr>
              <w:ind w:left="140"/>
              <w:spacing w:after="0"/>
              <w:rPr>
                <w:sz w:val="20"/>
                <w:szCs w:val="20"/>
                <w:color w:val="auto"/>
              </w:rPr>
            </w:pPr>
            <w:r>
              <w:rPr>
                <w:rFonts w:ascii="Arial" w:cs="Arial" w:eastAsia="Arial" w:hAnsi="Arial"/>
                <w:sz w:val="18"/>
                <w:szCs w:val="18"/>
                <w:color w:val="auto"/>
              </w:rPr>
              <w:t>Total</w:t>
            </w:r>
          </w:p>
        </w:tc>
        <w:tc>
          <w:tcPr>
            <w:tcW w:w="24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100" w:type="dxa"/>
            <w:vAlign w:val="bottom"/>
            <w:gridSpan w:val="2"/>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220" w:type="dxa"/>
            <w:vAlign w:val="bottom"/>
            <w:gridSpan w:val="3"/>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5080" w:type="dxa"/>
            <w:vAlign w:val="bottom"/>
            <w:gridSpan w:val="2"/>
            <w:vMerge w:val="continue"/>
            <w:shd w:val="clear" w:color="auto" w:fill="CFF0FC"/>
          </w:tcPr>
          <w:p>
            <w:pPr>
              <w:spacing w:after="0"/>
              <w:rPr>
                <w:sz w:val="20"/>
                <w:szCs w:val="20"/>
                <w:color w:val="auto"/>
              </w:rPr>
            </w:pP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5,200,000</w:t>
            </w:r>
          </w:p>
        </w:tc>
        <w:tc>
          <w:tcPr>
            <w:tcW w:w="220" w:type="dxa"/>
            <w:vAlign w:val="bottom"/>
            <w:shd w:val="clear" w:color="auto" w:fill="CFF0FC"/>
          </w:tcPr>
          <w:p>
            <w:pPr>
              <w:spacing w:after="0"/>
              <w:rPr>
                <w:sz w:val="20"/>
                <w:szCs w:val="20"/>
                <w:color w:val="auto"/>
              </w:rPr>
            </w:pP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240" w:type="dxa"/>
            <w:vAlign w:val="bottom"/>
            <w:gridSpan w:val="3"/>
            <w:shd w:val="clear" w:color="auto" w:fill="CFF0FC"/>
          </w:tcPr>
          <w:p>
            <w:pPr>
              <w:jc w:val="right"/>
              <w:ind w:right="80"/>
              <w:spacing w:after="0"/>
              <w:rPr>
                <w:sz w:val="20"/>
                <w:szCs w:val="20"/>
                <w:color w:val="auto"/>
              </w:rPr>
            </w:pPr>
            <w:r>
              <w:rPr>
                <w:rFonts w:ascii="Arial" w:cs="Arial" w:eastAsia="Arial" w:hAnsi="Arial"/>
                <w:sz w:val="18"/>
                <w:szCs w:val="18"/>
                <w:color w:val="auto"/>
              </w:rPr>
              <w:t>(79,719)</w:t>
            </w:r>
          </w:p>
        </w:tc>
        <w:tc>
          <w:tcPr>
            <w:tcW w:w="220" w:type="dxa"/>
            <w:vAlign w:val="bottom"/>
            <w:gridSpan w:val="2"/>
            <w:shd w:val="clear" w:color="auto" w:fill="CFF0FC"/>
          </w:tcPr>
          <w:p>
            <w:pPr>
              <w:ind w:left="100"/>
              <w:spacing w:after="0"/>
              <w:rPr>
                <w:sz w:val="20"/>
                <w:szCs w:val="20"/>
                <w:color w:val="auto"/>
              </w:rPr>
            </w:pPr>
            <w:r>
              <w:rPr>
                <w:rFonts w:ascii="Arial" w:cs="Arial" w:eastAsia="Arial" w:hAnsi="Arial"/>
                <w:sz w:val="18"/>
                <w:szCs w:val="18"/>
                <w:color w:val="auto"/>
                <w:w w:val="99"/>
              </w:rPr>
              <w:t>$</w:t>
            </w:r>
          </w:p>
        </w:tc>
        <w:tc>
          <w:tcPr>
            <w:tcW w:w="122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rPr>
              <w:t>5,175,000</w:t>
            </w:r>
          </w:p>
        </w:tc>
        <w:tc>
          <w:tcPr>
            <w:tcW w:w="3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(84,463)</w:t>
            </w:r>
          </w:p>
        </w:tc>
        <w:tc>
          <w:tcPr>
            <w:tcW w:w="0" w:type="dxa"/>
            <w:vAlign w:val="bottom"/>
          </w:tcPr>
          <w:p>
            <w:pPr>
              <w:spacing w:after="0"/>
              <w:rPr>
                <w:sz w:val="1"/>
                <w:szCs w:val="1"/>
                <w:color w:val="auto"/>
              </w:rPr>
            </w:pPr>
          </w:p>
        </w:tc>
      </w:tr>
      <w:tr>
        <w:trPr>
          <w:trHeight w:val="20"/>
        </w:trPr>
        <w:tc>
          <w:tcPr>
            <w:tcW w:w="496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80"/>
        <w:spacing w:after="0" w:line="269" w:lineRule="auto"/>
        <w:rPr>
          <w:sz w:val="20"/>
          <w:szCs w:val="20"/>
          <w:color w:val="auto"/>
        </w:rPr>
      </w:pPr>
      <w:r>
        <w:rPr>
          <w:rFonts w:ascii="Arial" w:cs="Arial" w:eastAsia="Arial" w:hAnsi="Arial"/>
          <w:sz w:val="17"/>
          <w:szCs w:val="17"/>
          <w:color w:val="auto"/>
        </w:rPr>
        <w:t>At March 31, 2022, notes and other debt included the following: (i) $225.0 million under the Revolving Credit Facility (as defined below) pursuant to the credit agreement by and among Uniti Group LP, Uniti Group Finance 2019 Inc. and CSL Capital, LLC (the “Borrowers”), the guarantors and lenders party thereto and Bank of America, N.A., as administrative agent and collateral agent (the “Credit Agreement”); (ii) $2.25 billion aggregate principal amount of 7.875% Senior Secured Notes due 2025 (the “2025 Secured Notes”); (iii) $570.0 million aggregate principal amount of 4.75% Senior Secured Notes due 2028 (the “2028 Secured Notes”); (iv) $1.11 billion aggregate principal amount of 6.50% Senior Notes due February 15, 2029 (the “2029 Notes”); and (v) $345.0 million aggregate principal amount of 4.00% Exchangeable Senior Notes due June 15, 2024 (the “Exchangeable Notes”); and (vi) $700.0 million aggregate principal amount of 6.00% Senior Unsecured Notes due January 15, 2030 (the “2030 Notes” and collectively with the 2025 Secured Notes, the 2028 Secured Notes, the 2029 Notes and the Exchangeable Notes, the “Notes”). Until our net leverage ratio is below 5.75 : 1.00, our 2025 Secured Notes limit our ability to make cash distributions to our shareholders in amounts exceeding 90% of our good faith estimate, as of the date on which the first quarterly dividend for the relevant year is declared, of our REIT taxable income for such year, determined without regard to the dividends paid deduction and excluding any capital gains. The terms of the Notes are as described in the Company’s Annual Report on Form 10-K for the year ended December 31, 2021.</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Credit Agreement</w:t>
      </w:r>
    </w:p>
    <w:p>
      <w:pPr>
        <w:spacing w:after="0" w:line="225" w:lineRule="exact"/>
        <w:rPr>
          <w:sz w:val="20"/>
          <w:szCs w:val="20"/>
          <w:color w:val="auto"/>
        </w:rPr>
      </w:pPr>
    </w:p>
    <w:p>
      <w:pPr>
        <w:ind w:right="320"/>
        <w:spacing w:after="0" w:line="263" w:lineRule="auto"/>
        <w:rPr>
          <w:sz w:val="20"/>
          <w:szCs w:val="20"/>
          <w:color w:val="auto"/>
        </w:rPr>
      </w:pPr>
      <w:r>
        <w:rPr>
          <w:rFonts w:ascii="Arial" w:cs="Arial" w:eastAsia="Arial" w:hAnsi="Arial"/>
          <w:sz w:val="18"/>
          <w:szCs w:val="18"/>
          <w:color w:val="auto"/>
        </w:rPr>
        <w:t>The Borrowers are party to the Credit Agreement, which provides for a $500 million revolving credit facility that will mature on December 10, 2024 (the “Revolving Credit Facility”) and provides us with the ability to obtain revolving loans as well as swingline loans and letters of credit from time to time. All obligations under the Credit Agreement are guaranteed by (i) the Company and (ii) certain of</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20" w:name="page21"/>
    <w:bookmarkEnd w:id="2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color w:val="auto"/>
        </w:rPr>
        <w:t>the Operating Partnership’s subsidiaries (the “Subsidiary Guarantors”) and are secured by substantially all of the assets of the Borrowers and the Subsidiary Guarantors.</w:t>
      </w:r>
    </w:p>
    <w:p>
      <w:pPr>
        <w:spacing w:after="0" w:line="170" w:lineRule="exact"/>
        <w:rPr>
          <w:sz w:val="20"/>
          <w:szCs w:val="20"/>
          <w:color w:val="auto"/>
        </w:rPr>
      </w:pPr>
    </w:p>
    <w:p>
      <w:pPr>
        <w:ind w:right="20"/>
        <w:spacing w:after="0" w:line="269" w:lineRule="auto"/>
        <w:rPr>
          <w:sz w:val="20"/>
          <w:szCs w:val="20"/>
          <w:color w:val="auto"/>
        </w:rPr>
      </w:pPr>
      <w:r>
        <w:rPr>
          <w:rFonts w:ascii="Arial" w:cs="Arial" w:eastAsia="Arial" w:hAnsi="Arial"/>
          <w:sz w:val="17"/>
          <w:szCs w:val="17"/>
          <w:color w:val="auto"/>
        </w:rPr>
        <w:t>The Borrowers are subject to customary covenants under the Credit Agreement, including an obligation to maintain a consolidated secured leverage ratio, as defined in the Credit Agreement, not to exceed 5.00 to 1.00. We are permitted, subject to customary conditions, to incur other indebtedness, so long as, on a pro forma basis after giving effect to any such indebtedness, our consolidated total leverage ratio, as defined in the Credit Agreement, does not exceed 6.50 to 1.00 and, if such debt is secured, our consolidated secured leverage ratio, as defined in the Credit Agreement, does not exceed 4.00 to 1.00. In addition, the Credit Agreement contains customary events of default, including a cross default provision whereby the failure of the Borrowers or certain of their subsidiaries to make payments under other debt obligations, or the occurrence of certain events affecting those other borrowing arrangements, could trigger an obligation to repay any amounts outstanding under the Credit Agreement. In particular, a repayment obligation could be triggered if (i) the Borrowers or certain of their subsidiaries fail to make a payment when due of any principal or interest on any other indebtedness aggregating $75.0 million or more, or (ii) an event occurs that causes, or would permit the holders of any other indebtedness aggregating $75.0 million or more to cause, such indebtedness to become due prior to its stated maturity. As of March 31, 2022, the Borrowers were in compliance with all of the covenants under the Credit Agreement.</w:t>
      </w:r>
    </w:p>
    <w:p>
      <w:pPr>
        <w:spacing w:after="0" w:line="182" w:lineRule="exact"/>
        <w:rPr>
          <w:sz w:val="20"/>
          <w:szCs w:val="20"/>
          <w:color w:val="auto"/>
        </w:rPr>
      </w:pPr>
    </w:p>
    <w:p>
      <w:pPr>
        <w:spacing w:after="0" w:line="263" w:lineRule="auto"/>
        <w:rPr>
          <w:sz w:val="20"/>
          <w:szCs w:val="20"/>
          <w:color w:val="auto"/>
        </w:rPr>
      </w:pPr>
      <w:r>
        <w:rPr>
          <w:rFonts w:ascii="Arial" w:cs="Arial" w:eastAsia="Arial" w:hAnsi="Arial"/>
          <w:sz w:val="18"/>
          <w:szCs w:val="18"/>
          <w:color w:val="auto"/>
        </w:rPr>
        <w:t>A termination of either Windstream Lease would result in an “event of default” under the Credit Agreement if a replacement lease is not entered into within ninety (90) calendar days and we do not maintain pro forma compliance with a consolidated secured leverage ratio, as defined in the Credit Agreement, of 5.00 to 1.00.</w:t>
      </w:r>
    </w:p>
    <w:p>
      <w:pPr>
        <w:spacing w:after="0" w:line="184"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Borrowings under the Revolving Credit Facility bear interest at a rate equal to either a base rate plus an applicable margin ranging from 2.75% to 3.50% or a eurodollar rate plus an applicable margin ranging from 3.75% to 4.50%, in each case, calculated in a customary manner and determined based on our consolidated secured leverage ratio. We are required to pay a quarterly commitment fee under the Revolving Credit Facility equal to 0.50% of the average amount of unused commitments during the applicable quarter (subject to a step-down to 0.40% per annum of the average amount of unused commitments during the applicable quarter upon achievement of a consolidated secured leverage ratio not to exceed a certain level), as well as quarterly letter of credit fees equal to the product of (A) the applicable margin with respect to eurodollar borrowings and (B) the average amount available to be drawn under outstanding letters of credit during such quarter.</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Deferred Financing Cost</w:t>
      </w:r>
    </w:p>
    <w:p>
      <w:pPr>
        <w:spacing w:after="0" w:line="225"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Deferred financing costs were incurred in connection with the issuance of the Notes and the Revolving Credit Facility. These costs are amortized using the effective interest method over the term of the related indebtedness and are included in interest expense in our Condensed Consolidated Statements of Income (Loss). For the three months ended March 31, 2022 and 2021, we recognized $4.3 million and $4.1 million, respectively, of non-cash interest expense related to the amortization of deferred financing costs.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 Earnings Per Share</w:t>
      </w:r>
    </w:p>
    <w:p>
      <w:pPr>
        <w:spacing w:after="0" w:line="229" w:lineRule="exact"/>
        <w:rPr>
          <w:sz w:val="20"/>
          <w:szCs w:val="20"/>
          <w:color w:val="auto"/>
        </w:rPr>
      </w:pPr>
    </w:p>
    <w:p>
      <w:pPr>
        <w:ind w:right="40"/>
        <w:spacing w:after="0" w:line="263" w:lineRule="auto"/>
        <w:rPr>
          <w:sz w:val="20"/>
          <w:szCs w:val="20"/>
          <w:color w:val="auto"/>
        </w:rPr>
      </w:pPr>
      <w:r>
        <w:rPr>
          <w:rFonts w:ascii="Arial" w:cs="Arial" w:eastAsia="Arial" w:hAnsi="Arial"/>
          <w:sz w:val="18"/>
          <w:szCs w:val="18"/>
          <w:color w:val="auto"/>
        </w:rPr>
        <w:t xml:space="preserve">Our time-based restricted stock awards are considered participating securities as they receive non-forfeitable rights to dividends at the same rate as common stock. As participating securities, we included these instruments in the computation of earnings per share under the two-class method described in FASB ASC 260, </w:t>
      </w:r>
      <w:r>
        <w:rPr>
          <w:rFonts w:ascii="Arial" w:cs="Arial" w:eastAsia="Arial" w:hAnsi="Arial"/>
          <w:sz w:val="18"/>
          <w:szCs w:val="18"/>
          <w:i w:val="1"/>
          <w:iCs w:val="1"/>
          <w:color w:val="auto"/>
        </w:rPr>
        <w:t>Earnings per Share</w:t>
      </w:r>
      <w:r>
        <w:rPr>
          <w:rFonts w:ascii="Arial" w:cs="Arial" w:eastAsia="Arial" w:hAnsi="Arial"/>
          <w:sz w:val="18"/>
          <w:szCs w:val="18"/>
          <w:color w:val="auto"/>
        </w:rPr>
        <w:t xml:space="preserve"> (“ASC 260”).</w:t>
      </w:r>
    </w:p>
    <w:p>
      <w:pPr>
        <w:spacing w:after="0" w:line="184" w:lineRule="exact"/>
        <w:rPr>
          <w:sz w:val="20"/>
          <w:szCs w:val="20"/>
          <w:color w:val="auto"/>
        </w:rPr>
      </w:pPr>
    </w:p>
    <w:p>
      <w:pPr>
        <w:jc w:val="both"/>
        <w:ind w:right="40"/>
        <w:spacing w:after="0" w:line="308" w:lineRule="auto"/>
        <w:rPr>
          <w:sz w:val="20"/>
          <w:szCs w:val="20"/>
          <w:color w:val="auto"/>
        </w:rPr>
      </w:pPr>
      <w:r>
        <w:rPr>
          <w:rFonts w:ascii="Arial" w:cs="Arial" w:eastAsia="Arial" w:hAnsi="Arial"/>
          <w:sz w:val="17"/>
          <w:szCs w:val="17"/>
          <w:color w:val="auto"/>
        </w:rPr>
        <w:t>We also have outstanding performance-based restricted stock units that contain forfeitable rights to receive dividends. Therefore, the awards are considered non-participating restrictive shares and are not dilutive under the two-class method until performance conditions are met.</w:t>
      </w:r>
    </w:p>
    <w:p>
      <w:pPr>
        <w:spacing w:after="0" w:line="146" w:lineRule="exact"/>
        <w:rPr>
          <w:sz w:val="20"/>
          <w:szCs w:val="20"/>
          <w:color w:val="auto"/>
        </w:rPr>
      </w:pPr>
    </w:p>
    <w:p>
      <w:pPr>
        <w:jc w:val="both"/>
        <w:ind w:right="40"/>
        <w:spacing w:after="0" w:line="275" w:lineRule="auto"/>
        <w:rPr>
          <w:rFonts w:ascii="Arial" w:cs="Arial" w:eastAsia="Arial" w:hAnsi="Arial"/>
          <w:sz w:val="17"/>
          <w:szCs w:val="17"/>
          <w:color w:val="auto"/>
        </w:rPr>
      </w:pPr>
      <w:r>
        <w:rPr>
          <w:rFonts w:ascii="Arial" w:cs="Arial" w:eastAsia="Arial" w:hAnsi="Arial"/>
          <w:sz w:val="17"/>
          <w:szCs w:val="17"/>
          <w:color w:val="auto"/>
        </w:rPr>
        <w:t>The dilutive effect of the Exchangeable Notes is calculated by using the “if-converted” method. This assumes an add-back of interest, net of income taxes, to net income attributable to shareholders as if the securities were converted at the beginning of the reporting period (or at time of issuance, if later) and the resulting common shares included in number of weighted average shares. The dilutive effect of the Warrants (</w:t>
      </w:r>
      <w:hyperlink w:anchor="page17">
        <w:r>
          <w:rPr>
            <w:rFonts w:ascii="Arial" w:cs="Arial" w:eastAsia="Arial" w:hAnsi="Arial"/>
            <w:sz w:val="17"/>
            <w:szCs w:val="17"/>
            <w:u w:val="single" w:color="auto"/>
            <w:color w:val="0000EE"/>
          </w:rPr>
          <w:t>see Note</w:t>
        </w:r>
        <w:r>
          <w:rPr>
            <w:rFonts w:ascii="Arial" w:cs="Arial" w:eastAsia="Arial" w:hAnsi="Arial"/>
            <w:sz w:val="17"/>
            <w:szCs w:val="17"/>
            <w:u w:val="single" w:color="auto"/>
            <w:color w:val="auto"/>
          </w:rPr>
          <w:t xml:space="preserve"> </w:t>
        </w:r>
      </w:hyperlink>
      <w:r>
        <w:rPr>
          <w:rFonts w:ascii="Arial" w:cs="Arial" w:eastAsia="Arial" w:hAnsi="Arial"/>
          <w:sz w:val="17"/>
          <w:szCs w:val="17"/>
          <w:u w:val="single" w:color="auto"/>
          <w:color w:val="auto"/>
        </w:rPr>
        <w:t>8</w:t>
      </w:r>
      <w:r>
        <w:rPr>
          <w:rFonts w:ascii="Arial" w:cs="Arial" w:eastAsia="Arial" w:hAnsi="Arial"/>
          <w:sz w:val="17"/>
          <w:szCs w:val="17"/>
          <w:color w:val="auto"/>
        </w:rPr>
        <w:t>) is calculated using the treasury-stock method. During the three months ended March 31, 2022 and 2021, the Warrants were excluded from diluted shares outstanding because the exercise price exceeded the average market price of our common stock for the reporting period.</w:t>
      </w: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125" w:right="35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sets forth the computation of basic and diluted earnings per share under the two-class method:</w:t>
      </w:r>
    </w:p>
    <w:p>
      <w:pPr>
        <w:spacing w:after="0" w:line="200" w:lineRule="exact"/>
        <w:rPr>
          <w:sz w:val="20"/>
          <w:szCs w:val="20"/>
          <w:color w:val="auto"/>
        </w:rPr>
      </w:pPr>
    </w:p>
    <w:p>
      <w:pPr>
        <w:spacing w:after="0" w:line="35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700" w:type="dxa"/>
            <w:vAlign w:val="bottom"/>
            <w:gridSpan w:val="2"/>
            <w:vMerge w:val="restart"/>
          </w:tcPr>
          <w:p>
            <w:pPr>
              <w:spacing w:after="0"/>
              <w:rPr>
                <w:sz w:val="20"/>
                <w:szCs w:val="20"/>
                <w:color w:val="auto"/>
              </w:rPr>
            </w:pPr>
            <w:r>
              <w:rPr>
                <w:rFonts w:ascii="Arial" w:cs="Arial" w:eastAsia="Arial" w:hAnsi="Arial"/>
                <w:sz w:val="14"/>
                <w:szCs w:val="14"/>
                <w:color w:val="auto"/>
              </w:rPr>
              <w:t>(Thousands, except per share data)</w:t>
            </w:r>
          </w:p>
        </w:tc>
        <w:tc>
          <w:tcPr>
            <w:tcW w:w="500" w:type="dxa"/>
            <w:vAlign w:val="bottom"/>
            <w:tcBorders>
              <w:bottom w:val="single" w:sz="8" w:color="auto"/>
            </w:tcBorders>
          </w:tcPr>
          <w:p>
            <w:pPr>
              <w:spacing w:after="0"/>
              <w:rPr>
                <w:sz w:val="14"/>
                <w:szCs w:val="14"/>
                <w:color w:val="auto"/>
              </w:rPr>
            </w:pPr>
          </w:p>
        </w:tc>
        <w:tc>
          <w:tcPr>
            <w:tcW w:w="272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Three Months Ended March 31,</w:t>
            </w:r>
          </w:p>
        </w:tc>
        <w:tc>
          <w:tcPr>
            <w:tcW w:w="12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6700" w:type="dxa"/>
            <w:vAlign w:val="bottom"/>
            <w:gridSpan w:val="2"/>
            <w:vMerge w:val="continue"/>
          </w:tcPr>
          <w:p>
            <w:pPr>
              <w:spacing w:after="0"/>
              <w:rPr>
                <w:sz w:val="13"/>
                <w:szCs w:val="13"/>
                <w:color w:val="auto"/>
              </w:rPr>
            </w:pPr>
          </w:p>
        </w:tc>
        <w:tc>
          <w:tcPr>
            <w:tcW w:w="500" w:type="dxa"/>
            <w:vAlign w:val="bottom"/>
          </w:tcPr>
          <w:p>
            <w:pPr>
              <w:spacing w:after="0"/>
              <w:rPr>
                <w:sz w:val="13"/>
                <w:szCs w:val="13"/>
                <w:color w:val="auto"/>
              </w:rPr>
            </w:pPr>
          </w:p>
        </w:tc>
        <w:tc>
          <w:tcPr>
            <w:tcW w:w="1560" w:type="dxa"/>
            <w:vAlign w:val="bottom"/>
          </w:tcPr>
          <w:p>
            <w:pPr>
              <w:jc w:val="right"/>
              <w:ind w:right="794"/>
              <w:spacing w:after="0" w:line="155" w:lineRule="exact"/>
              <w:rPr>
                <w:sz w:val="20"/>
                <w:szCs w:val="20"/>
                <w:color w:val="auto"/>
              </w:rPr>
            </w:pPr>
            <w:r>
              <w:rPr>
                <w:rFonts w:ascii="Arial" w:cs="Arial" w:eastAsia="Arial" w:hAnsi="Arial"/>
                <w:sz w:val="14"/>
                <w:szCs w:val="14"/>
                <w:b w:val="1"/>
                <w:bCs w:val="1"/>
                <w:color w:val="auto"/>
              </w:rPr>
              <w:t>2022</w:t>
            </w: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20" w:type="dxa"/>
            <w:vAlign w:val="bottom"/>
          </w:tcPr>
          <w:p>
            <w:pPr>
              <w:jc w:val="right"/>
              <w:ind w:right="812"/>
              <w:spacing w:after="0" w:line="155" w:lineRule="exact"/>
              <w:rPr>
                <w:sz w:val="20"/>
                <w:szCs w:val="20"/>
                <w:color w:val="auto"/>
              </w:rPr>
            </w:pPr>
            <w:r>
              <w:rPr>
                <w:rFonts w:ascii="Arial" w:cs="Arial" w:eastAsia="Arial" w:hAnsi="Arial"/>
                <w:sz w:val="14"/>
                <w:szCs w:val="14"/>
                <w:b w:val="1"/>
                <w:bCs w:val="1"/>
                <w:color w:val="auto"/>
                <w:w w:val="96"/>
              </w:rPr>
              <w:t>2021</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7"/>
        </w:trPr>
        <w:tc>
          <w:tcPr>
            <w:tcW w:w="652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Basic earnings per share:</w:t>
            </w:r>
          </w:p>
        </w:tc>
        <w:tc>
          <w:tcPr>
            <w:tcW w:w="180" w:type="dxa"/>
            <w:vAlign w:val="bottom"/>
            <w:tcBorders>
              <w:top w:val="single" w:sz="8" w:color="CFF0FC"/>
            </w:tcBorders>
            <w:shd w:val="clear" w:color="auto" w:fill="CFF0FC"/>
          </w:tcPr>
          <w:p>
            <w:pPr>
              <w:spacing w:after="0"/>
              <w:rPr>
                <w:sz w:val="20"/>
                <w:szCs w:val="20"/>
                <w:color w:val="auto"/>
              </w:rPr>
            </w:pPr>
          </w:p>
        </w:tc>
        <w:tc>
          <w:tcPr>
            <w:tcW w:w="500" w:type="dxa"/>
            <w:vAlign w:val="bottom"/>
            <w:tcBorders>
              <w:top w:val="single" w:sz="8" w:color="auto"/>
            </w:tcBorders>
            <w:shd w:val="clear" w:color="auto" w:fill="CFF0FC"/>
          </w:tcPr>
          <w:p>
            <w:pPr>
              <w:spacing w:after="0"/>
              <w:rPr>
                <w:sz w:val="20"/>
                <w:szCs w:val="20"/>
                <w:color w:val="auto"/>
              </w:rPr>
            </w:pPr>
          </w:p>
        </w:tc>
        <w:tc>
          <w:tcPr>
            <w:tcW w:w="1560" w:type="dxa"/>
            <w:vAlign w:val="bottom"/>
            <w:tcBorders>
              <w:top w:val="single" w:sz="8" w:color="auto"/>
            </w:tcBorders>
            <w:shd w:val="clear" w:color="auto" w:fill="CFF0FC"/>
          </w:tcPr>
          <w:p>
            <w:pPr>
              <w:spacing w:after="0"/>
              <w:rPr>
                <w:sz w:val="20"/>
                <w:szCs w:val="20"/>
                <w:color w:val="auto"/>
              </w:rPr>
            </w:pPr>
          </w:p>
        </w:tc>
        <w:tc>
          <w:tcPr>
            <w:tcW w:w="180" w:type="dxa"/>
            <w:vAlign w:val="bottom"/>
            <w:tcBorders>
              <w:top w:val="single" w:sz="8" w:color="CFF0FC"/>
            </w:tcBorders>
            <w:shd w:val="clear" w:color="auto" w:fill="CFF0FC"/>
          </w:tcPr>
          <w:p>
            <w:pPr>
              <w:spacing w:after="0"/>
              <w:rPr>
                <w:sz w:val="20"/>
                <w:szCs w:val="20"/>
                <w:color w:val="auto"/>
              </w:rPr>
            </w:pPr>
          </w:p>
        </w:tc>
        <w:tc>
          <w:tcPr>
            <w:tcW w:w="120" w:type="dxa"/>
            <w:vAlign w:val="bottom"/>
            <w:tcBorders>
              <w:top w:val="single" w:sz="8" w:color="CFF0FC"/>
            </w:tcBorders>
            <w:shd w:val="clear" w:color="auto" w:fill="CFF0FC"/>
          </w:tcPr>
          <w:p>
            <w:pPr>
              <w:spacing w:after="0"/>
              <w:rPr>
                <w:sz w:val="20"/>
                <w:szCs w:val="20"/>
                <w:color w:val="auto"/>
              </w:rPr>
            </w:pPr>
          </w:p>
        </w:tc>
        <w:tc>
          <w:tcPr>
            <w:tcW w:w="860" w:type="dxa"/>
            <w:vAlign w:val="bottom"/>
            <w:tcBorders>
              <w:top w:val="single" w:sz="8" w:color="auto"/>
            </w:tcBorders>
            <w:shd w:val="clear" w:color="auto" w:fill="CFF0FC"/>
          </w:tcPr>
          <w:p>
            <w:pPr>
              <w:spacing w:after="0"/>
              <w:rPr>
                <w:sz w:val="20"/>
                <w:szCs w:val="20"/>
                <w:color w:val="auto"/>
              </w:rPr>
            </w:pPr>
          </w:p>
        </w:tc>
        <w:tc>
          <w:tcPr>
            <w:tcW w:w="1220" w:type="dxa"/>
            <w:vAlign w:val="bottom"/>
            <w:tcBorders>
              <w:top w:val="single" w:sz="8" w:color="auto"/>
            </w:tcBorders>
            <w:shd w:val="clear" w:color="auto" w:fill="CFF0FC"/>
          </w:tcPr>
          <w:p>
            <w:pPr>
              <w:spacing w:after="0"/>
              <w:rPr>
                <w:sz w:val="20"/>
                <w:szCs w:val="20"/>
                <w:color w:val="auto"/>
              </w:rPr>
            </w:pPr>
          </w:p>
        </w:tc>
        <w:tc>
          <w:tcPr>
            <w:tcW w:w="100" w:type="dxa"/>
            <w:vAlign w:val="bottom"/>
            <w:tcBorders>
              <w:top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6700" w:type="dxa"/>
            <w:vAlign w:val="bottom"/>
            <w:gridSpan w:val="2"/>
          </w:tcPr>
          <w:p>
            <w:pPr>
              <w:spacing w:after="0"/>
              <w:rPr>
                <w:sz w:val="20"/>
                <w:szCs w:val="20"/>
                <w:color w:val="auto"/>
              </w:rPr>
            </w:pPr>
            <w:r>
              <w:rPr>
                <w:rFonts w:ascii="Arial" w:cs="Arial" w:eastAsia="Arial" w:hAnsi="Arial"/>
                <w:sz w:val="18"/>
                <w:szCs w:val="18"/>
                <w:color w:val="auto"/>
              </w:rPr>
              <w:t>Numerator:</w:t>
            </w:r>
          </w:p>
        </w:tc>
        <w:tc>
          <w:tcPr>
            <w:tcW w:w="50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70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Net income (loss) attributable to shareholders</w:t>
            </w:r>
          </w:p>
        </w:tc>
        <w:tc>
          <w:tcPr>
            <w:tcW w:w="500" w:type="dxa"/>
            <w:vAlign w:val="bottom"/>
            <w:shd w:val="clear" w:color="auto" w:fill="CFF0FC"/>
          </w:tcPr>
          <w:p>
            <w:pPr>
              <w:jc w:val="right"/>
              <w:ind w:right="310"/>
              <w:spacing w:after="0"/>
              <w:rPr>
                <w:sz w:val="20"/>
                <w:szCs w:val="20"/>
                <w:color w:val="auto"/>
              </w:rPr>
            </w:pPr>
            <w:r>
              <w:rPr>
                <w:rFonts w:ascii="Arial" w:cs="Arial" w:eastAsia="Arial" w:hAnsi="Arial"/>
                <w:sz w:val="18"/>
                <w:szCs w:val="18"/>
                <w:color w:val="auto"/>
                <w:w w:val="79"/>
              </w:rPr>
              <w:t>$</w:t>
            </w:r>
          </w:p>
        </w:tc>
        <w:tc>
          <w:tcPr>
            <w:tcW w:w="15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52,730</w:t>
            </w:r>
          </w:p>
        </w:tc>
        <w:tc>
          <w:tcPr>
            <w:tcW w:w="18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670"/>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(4,438)</w:t>
            </w:r>
          </w:p>
        </w:tc>
        <w:tc>
          <w:tcPr>
            <w:tcW w:w="0" w:type="dxa"/>
            <w:vAlign w:val="bottom"/>
          </w:tcPr>
          <w:p>
            <w:pPr>
              <w:spacing w:after="0"/>
              <w:rPr>
                <w:sz w:val="1"/>
                <w:szCs w:val="1"/>
                <w:color w:val="auto"/>
              </w:rPr>
            </w:pPr>
          </w:p>
        </w:tc>
      </w:tr>
      <w:tr>
        <w:trPr>
          <w:trHeight w:val="229"/>
        </w:trPr>
        <w:tc>
          <w:tcPr>
            <w:tcW w:w="6700" w:type="dxa"/>
            <w:vAlign w:val="bottom"/>
            <w:gridSpan w:val="2"/>
          </w:tcPr>
          <w:p>
            <w:pPr>
              <w:ind w:left="380"/>
              <w:spacing w:after="0"/>
              <w:rPr>
                <w:sz w:val="20"/>
                <w:szCs w:val="20"/>
                <w:color w:val="auto"/>
              </w:rPr>
            </w:pPr>
            <w:r>
              <w:rPr>
                <w:rFonts w:ascii="Arial" w:cs="Arial" w:eastAsia="Arial" w:hAnsi="Arial"/>
                <w:sz w:val="18"/>
                <w:szCs w:val="18"/>
                <w:color w:val="auto"/>
              </w:rPr>
              <w:t>Less: Income allocated to participating securities</w:t>
            </w:r>
          </w:p>
        </w:tc>
        <w:tc>
          <w:tcPr>
            <w:tcW w:w="500" w:type="dxa"/>
            <w:vAlign w:val="bottom"/>
          </w:tcPr>
          <w:p>
            <w:pPr>
              <w:spacing w:after="0"/>
              <w:rPr>
                <w:sz w:val="19"/>
                <w:szCs w:val="19"/>
                <w:color w:val="auto"/>
              </w:rPr>
            </w:pPr>
          </w:p>
        </w:tc>
        <w:tc>
          <w:tcPr>
            <w:tcW w:w="1740" w:type="dxa"/>
            <w:vAlign w:val="bottom"/>
            <w:gridSpan w:val="2"/>
          </w:tcPr>
          <w:p>
            <w:pPr>
              <w:jc w:val="right"/>
              <w:ind w:right="120"/>
              <w:spacing w:after="0"/>
              <w:rPr>
                <w:sz w:val="20"/>
                <w:szCs w:val="20"/>
                <w:color w:val="auto"/>
              </w:rPr>
            </w:pPr>
            <w:r>
              <w:rPr>
                <w:rFonts w:ascii="Arial" w:cs="Arial" w:eastAsia="Arial" w:hAnsi="Arial"/>
                <w:sz w:val="18"/>
                <w:szCs w:val="18"/>
                <w:color w:val="auto"/>
              </w:rPr>
              <w:t>(331)</w:t>
            </w: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320" w:type="dxa"/>
            <w:vAlign w:val="bottom"/>
            <w:gridSpan w:val="2"/>
          </w:tcPr>
          <w:p>
            <w:pPr>
              <w:jc w:val="right"/>
              <w:ind w:right="40"/>
              <w:spacing w:after="0"/>
              <w:rPr>
                <w:sz w:val="20"/>
                <w:szCs w:val="20"/>
                <w:color w:val="auto"/>
              </w:rPr>
            </w:pPr>
            <w:r>
              <w:rPr>
                <w:rFonts w:ascii="Arial" w:cs="Arial" w:eastAsia="Arial" w:hAnsi="Arial"/>
                <w:sz w:val="18"/>
                <w:szCs w:val="18"/>
                <w:color w:val="auto"/>
              </w:rPr>
              <w:t>(248)</w:t>
            </w:r>
          </w:p>
        </w:tc>
        <w:tc>
          <w:tcPr>
            <w:tcW w:w="0" w:type="dxa"/>
            <w:vAlign w:val="bottom"/>
          </w:tcPr>
          <w:p>
            <w:pPr>
              <w:spacing w:after="0"/>
              <w:rPr>
                <w:sz w:val="1"/>
                <w:szCs w:val="1"/>
                <w:color w:val="auto"/>
              </w:rPr>
            </w:pPr>
          </w:p>
        </w:tc>
      </w:tr>
      <w:tr>
        <w:trPr>
          <w:trHeight w:val="230"/>
        </w:trPr>
        <w:tc>
          <w:tcPr>
            <w:tcW w:w="6700" w:type="dxa"/>
            <w:vAlign w:val="bottom"/>
            <w:gridSpan w:val="2"/>
            <w:shd w:val="clear" w:color="auto" w:fill="CFF0FC"/>
          </w:tcPr>
          <w:p>
            <w:pPr>
              <w:ind w:left="620"/>
              <w:spacing w:after="0"/>
              <w:rPr>
                <w:sz w:val="20"/>
                <w:szCs w:val="20"/>
                <w:color w:val="auto"/>
              </w:rPr>
            </w:pPr>
            <w:r>
              <w:rPr>
                <w:rFonts w:ascii="Arial" w:cs="Arial" w:eastAsia="Arial" w:hAnsi="Arial"/>
                <w:sz w:val="18"/>
                <w:szCs w:val="18"/>
                <w:color w:val="auto"/>
              </w:rPr>
              <w:t>Dividends declared on convertible preferred stock</w:t>
            </w:r>
          </w:p>
        </w:tc>
        <w:tc>
          <w:tcPr>
            <w:tcW w:w="500" w:type="dxa"/>
            <w:vAlign w:val="bottom"/>
            <w:shd w:val="clear" w:color="auto" w:fill="CFF0FC"/>
          </w:tcPr>
          <w:p>
            <w:pPr>
              <w:spacing w:after="0"/>
              <w:rPr>
                <w:sz w:val="19"/>
                <w:szCs w:val="19"/>
                <w:color w:val="auto"/>
              </w:rPr>
            </w:pPr>
          </w:p>
        </w:tc>
        <w:tc>
          <w:tcPr>
            <w:tcW w:w="174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(5)</w:t>
            </w:r>
          </w:p>
        </w:tc>
        <w:tc>
          <w:tcPr>
            <w:tcW w:w="12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13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23"/>
        </w:trPr>
        <w:tc>
          <w:tcPr>
            <w:tcW w:w="6700" w:type="dxa"/>
            <w:vAlign w:val="bottom"/>
            <w:gridSpan w:val="2"/>
          </w:tcPr>
          <w:p>
            <w:pPr>
              <w:ind w:left="260"/>
              <w:spacing w:after="0"/>
              <w:rPr>
                <w:sz w:val="20"/>
                <w:szCs w:val="20"/>
                <w:color w:val="auto"/>
              </w:rPr>
            </w:pPr>
            <w:r>
              <w:rPr>
                <w:rFonts w:ascii="Arial" w:cs="Arial" w:eastAsia="Arial" w:hAnsi="Arial"/>
                <w:sz w:val="18"/>
                <w:szCs w:val="18"/>
                <w:color w:val="auto"/>
              </w:rPr>
              <w:t>Net income (loss) attributable to common shares</w:t>
            </w:r>
          </w:p>
        </w:tc>
        <w:tc>
          <w:tcPr>
            <w:tcW w:w="500" w:type="dxa"/>
            <w:vAlign w:val="bottom"/>
            <w:tcBorders>
              <w:top w:val="single" w:sz="8" w:color="auto"/>
            </w:tcBorders>
          </w:tcPr>
          <w:p>
            <w:pPr>
              <w:jc w:val="right"/>
              <w:ind w:right="310"/>
              <w:spacing w:after="0"/>
              <w:rPr>
                <w:sz w:val="20"/>
                <w:szCs w:val="20"/>
                <w:color w:val="auto"/>
              </w:rPr>
            </w:pPr>
            <w:r>
              <w:rPr>
                <w:rFonts w:ascii="Arial" w:cs="Arial" w:eastAsia="Arial" w:hAnsi="Arial"/>
                <w:sz w:val="18"/>
                <w:szCs w:val="18"/>
                <w:color w:val="auto"/>
                <w:w w:val="79"/>
              </w:rPr>
              <w:t>$</w:t>
            </w:r>
          </w:p>
        </w:tc>
        <w:tc>
          <w:tcPr>
            <w:tcW w:w="1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52,394</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tcBorders>
              <w:top w:val="single" w:sz="8" w:color="auto"/>
            </w:tcBorders>
          </w:tcPr>
          <w:p>
            <w:pPr>
              <w:jc w:val="right"/>
              <w:ind w:right="670"/>
              <w:spacing w:after="0"/>
              <w:rPr>
                <w:sz w:val="20"/>
                <w:szCs w:val="20"/>
                <w:color w:val="auto"/>
              </w:rPr>
            </w:pPr>
            <w:r>
              <w:rPr>
                <w:rFonts w:ascii="Arial" w:cs="Arial" w:eastAsia="Arial" w:hAnsi="Arial"/>
                <w:sz w:val="18"/>
                <w:szCs w:val="18"/>
                <w:color w:val="auto"/>
                <w:w w:val="79"/>
              </w:rPr>
              <w:t>$</w:t>
            </w: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(4,689)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70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Denominator:</w:t>
            </w:r>
          </w:p>
        </w:tc>
        <w:tc>
          <w:tcPr>
            <w:tcW w:w="500" w:type="dxa"/>
            <w:vAlign w:val="bottom"/>
            <w:shd w:val="clear" w:color="auto" w:fill="CFF0FC"/>
          </w:tcPr>
          <w:p>
            <w:pPr>
              <w:spacing w:after="0"/>
              <w:rPr>
                <w:sz w:val="19"/>
                <w:szCs w:val="19"/>
                <w:color w:val="auto"/>
              </w:rPr>
            </w:pPr>
          </w:p>
        </w:tc>
        <w:tc>
          <w:tcPr>
            <w:tcW w:w="15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700" w:type="dxa"/>
            <w:vAlign w:val="bottom"/>
            <w:tcBorders>
              <w:bottom w:val="single" w:sz="8" w:color="CFF0FC"/>
            </w:tcBorders>
            <w:gridSpan w:val="2"/>
          </w:tcPr>
          <w:p>
            <w:pPr>
              <w:ind w:left="260"/>
              <w:spacing w:after="0"/>
              <w:rPr>
                <w:sz w:val="20"/>
                <w:szCs w:val="20"/>
                <w:color w:val="auto"/>
              </w:rPr>
            </w:pPr>
            <w:r>
              <w:rPr>
                <w:rFonts w:ascii="Arial" w:cs="Arial" w:eastAsia="Arial" w:hAnsi="Arial"/>
                <w:sz w:val="18"/>
                <w:szCs w:val="18"/>
                <w:color w:val="auto"/>
              </w:rPr>
              <w:t>Basic weighted-average common shares outstanding</w:t>
            </w:r>
          </w:p>
        </w:tc>
        <w:tc>
          <w:tcPr>
            <w:tcW w:w="50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235,046</w:t>
            </w:r>
          </w:p>
        </w:tc>
        <w:tc>
          <w:tcPr>
            <w:tcW w:w="18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231,469</w:t>
            </w:r>
          </w:p>
        </w:tc>
        <w:tc>
          <w:tcPr>
            <w:tcW w:w="10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700" w:type="dxa"/>
            <w:vAlign w:val="bottom"/>
            <w:tcBorders>
              <w:bottom w:val="single" w:sz="8" w:color="CFF0FC"/>
            </w:tcBorders>
            <w:gridSpan w:val="2"/>
            <w:shd w:val="clear" w:color="auto" w:fill="CFF0FC"/>
          </w:tcPr>
          <w:p>
            <w:pPr>
              <w:spacing w:after="0"/>
              <w:rPr>
                <w:sz w:val="20"/>
                <w:szCs w:val="20"/>
                <w:color w:val="auto"/>
              </w:rPr>
            </w:pPr>
            <w:r>
              <w:rPr>
                <w:rFonts w:ascii="Arial" w:cs="Arial" w:eastAsia="Arial" w:hAnsi="Arial"/>
                <w:sz w:val="18"/>
                <w:szCs w:val="18"/>
                <w:color w:val="auto"/>
              </w:rPr>
              <w:t>Basic earnings (loss) per common share</w:t>
            </w:r>
          </w:p>
        </w:tc>
        <w:tc>
          <w:tcPr>
            <w:tcW w:w="500" w:type="dxa"/>
            <w:vAlign w:val="bottom"/>
            <w:tcBorders>
              <w:bottom w:val="single" w:sz="8" w:color="auto"/>
            </w:tcBorders>
            <w:shd w:val="clear" w:color="auto" w:fill="CFF0FC"/>
          </w:tcPr>
          <w:p>
            <w:pPr>
              <w:jc w:val="right"/>
              <w:ind w:right="310"/>
              <w:spacing w:after="0"/>
              <w:rPr>
                <w:sz w:val="20"/>
                <w:szCs w:val="20"/>
                <w:color w:val="auto"/>
              </w:rPr>
            </w:pPr>
            <w:r>
              <w:rPr>
                <w:rFonts w:ascii="Arial" w:cs="Arial" w:eastAsia="Arial" w:hAnsi="Arial"/>
                <w:sz w:val="18"/>
                <w:szCs w:val="18"/>
                <w:color w:val="auto"/>
                <w:w w:val="79"/>
              </w:rPr>
              <w:t>$</w:t>
            </w:r>
          </w:p>
        </w:tc>
        <w:tc>
          <w:tcPr>
            <w:tcW w:w="15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0.22</w:t>
            </w:r>
          </w:p>
        </w:tc>
        <w:tc>
          <w:tcPr>
            <w:tcW w:w="180" w:type="dxa"/>
            <w:vAlign w:val="bottom"/>
            <w:tcBorders>
              <w:bottom w:val="single" w:sz="8" w:color="CFF0FC"/>
            </w:tcBorders>
            <w:shd w:val="clear" w:color="auto" w:fill="CFF0FC"/>
          </w:tcPr>
          <w:p>
            <w:pPr>
              <w:spacing w:after="0"/>
              <w:rPr>
                <w:sz w:val="19"/>
                <w:szCs w:val="19"/>
                <w:color w:val="auto"/>
              </w:rPr>
            </w:pPr>
          </w:p>
        </w:tc>
        <w:tc>
          <w:tcPr>
            <w:tcW w:w="120" w:type="dxa"/>
            <w:vAlign w:val="bottom"/>
            <w:tcBorders>
              <w:bottom w:val="single" w:sz="8" w:color="CFF0FC"/>
            </w:tcBorders>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jc w:val="right"/>
              <w:ind w:right="67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(0.02)</w:t>
            </w:r>
          </w:p>
        </w:tc>
        <w:tc>
          <w:tcPr>
            <w:tcW w:w="10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5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6700" w:type="dxa"/>
            <w:vAlign w:val="bottom"/>
            <w:gridSpan w:val="2"/>
            <w:vMerge w:val="restart"/>
          </w:tcPr>
          <w:p>
            <w:pPr>
              <w:spacing w:after="0"/>
              <w:rPr>
                <w:sz w:val="20"/>
                <w:szCs w:val="20"/>
                <w:color w:val="auto"/>
              </w:rPr>
            </w:pPr>
            <w:r>
              <w:rPr>
                <w:rFonts w:ascii="Arial" w:cs="Arial" w:eastAsia="Arial" w:hAnsi="Arial"/>
                <w:sz w:val="14"/>
                <w:szCs w:val="14"/>
                <w:color w:val="auto"/>
              </w:rPr>
              <w:t>(Thousands, except per share data)</w:t>
            </w:r>
          </w:p>
        </w:tc>
        <w:tc>
          <w:tcPr>
            <w:tcW w:w="500" w:type="dxa"/>
            <w:vAlign w:val="bottom"/>
            <w:tcBorders>
              <w:bottom w:val="single" w:sz="8" w:color="auto"/>
            </w:tcBorders>
          </w:tcPr>
          <w:p>
            <w:pPr>
              <w:spacing w:after="0"/>
              <w:rPr>
                <w:sz w:val="24"/>
                <w:szCs w:val="24"/>
                <w:color w:val="auto"/>
              </w:rPr>
            </w:pPr>
          </w:p>
        </w:tc>
        <w:tc>
          <w:tcPr>
            <w:tcW w:w="272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Three Months Ended March 31,</w:t>
            </w:r>
          </w:p>
        </w:tc>
        <w:tc>
          <w:tcPr>
            <w:tcW w:w="12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6700" w:type="dxa"/>
            <w:vAlign w:val="bottom"/>
            <w:gridSpan w:val="2"/>
            <w:vMerge w:val="continue"/>
          </w:tcPr>
          <w:p>
            <w:pPr>
              <w:spacing w:after="0"/>
              <w:rPr>
                <w:sz w:val="13"/>
                <w:szCs w:val="13"/>
                <w:color w:val="auto"/>
              </w:rPr>
            </w:pPr>
          </w:p>
        </w:tc>
        <w:tc>
          <w:tcPr>
            <w:tcW w:w="500" w:type="dxa"/>
            <w:vAlign w:val="bottom"/>
          </w:tcPr>
          <w:p>
            <w:pPr>
              <w:spacing w:after="0"/>
              <w:rPr>
                <w:sz w:val="13"/>
                <w:szCs w:val="13"/>
                <w:color w:val="auto"/>
              </w:rPr>
            </w:pPr>
          </w:p>
        </w:tc>
        <w:tc>
          <w:tcPr>
            <w:tcW w:w="1560" w:type="dxa"/>
            <w:vAlign w:val="bottom"/>
          </w:tcPr>
          <w:p>
            <w:pPr>
              <w:jc w:val="right"/>
              <w:ind w:right="794"/>
              <w:spacing w:after="0" w:line="155" w:lineRule="exact"/>
              <w:rPr>
                <w:sz w:val="20"/>
                <w:szCs w:val="20"/>
                <w:color w:val="auto"/>
              </w:rPr>
            </w:pPr>
            <w:r>
              <w:rPr>
                <w:rFonts w:ascii="Arial" w:cs="Arial" w:eastAsia="Arial" w:hAnsi="Arial"/>
                <w:sz w:val="14"/>
                <w:szCs w:val="14"/>
                <w:b w:val="1"/>
                <w:bCs w:val="1"/>
                <w:color w:val="auto"/>
              </w:rPr>
              <w:t>2022</w:t>
            </w: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20" w:type="dxa"/>
            <w:vAlign w:val="bottom"/>
          </w:tcPr>
          <w:p>
            <w:pPr>
              <w:jc w:val="right"/>
              <w:ind w:right="812"/>
              <w:spacing w:after="0" w:line="155" w:lineRule="exact"/>
              <w:rPr>
                <w:sz w:val="20"/>
                <w:szCs w:val="20"/>
                <w:color w:val="auto"/>
              </w:rPr>
            </w:pPr>
            <w:r>
              <w:rPr>
                <w:rFonts w:ascii="Arial" w:cs="Arial" w:eastAsia="Arial" w:hAnsi="Arial"/>
                <w:sz w:val="14"/>
                <w:szCs w:val="14"/>
                <w:b w:val="1"/>
                <w:bCs w:val="1"/>
                <w:color w:val="auto"/>
                <w:w w:val="96"/>
              </w:rPr>
              <w:t>2021</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652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Diluted earnings per share:</w:t>
            </w:r>
          </w:p>
        </w:tc>
        <w:tc>
          <w:tcPr>
            <w:tcW w:w="180" w:type="dxa"/>
            <w:vAlign w:val="bottom"/>
            <w:tcBorders>
              <w:top w:val="single" w:sz="8" w:color="CFF0FC"/>
            </w:tcBorders>
            <w:shd w:val="clear" w:color="auto" w:fill="CFF0FC"/>
          </w:tcPr>
          <w:p>
            <w:pPr>
              <w:spacing w:after="0"/>
              <w:rPr>
                <w:sz w:val="19"/>
                <w:szCs w:val="19"/>
                <w:color w:val="auto"/>
              </w:rPr>
            </w:pPr>
          </w:p>
        </w:tc>
        <w:tc>
          <w:tcPr>
            <w:tcW w:w="500" w:type="dxa"/>
            <w:vAlign w:val="bottom"/>
            <w:tcBorders>
              <w:top w:val="single" w:sz="8" w:color="auto"/>
            </w:tcBorders>
            <w:shd w:val="clear" w:color="auto" w:fill="CFF0FC"/>
          </w:tcPr>
          <w:p>
            <w:pPr>
              <w:spacing w:after="0"/>
              <w:rPr>
                <w:sz w:val="19"/>
                <w:szCs w:val="19"/>
                <w:color w:val="auto"/>
              </w:rPr>
            </w:pPr>
          </w:p>
        </w:tc>
        <w:tc>
          <w:tcPr>
            <w:tcW w:w="156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860" w:type="dxa"/>
            <w:vAlign w:val="bottom"/>
            <w:tcBorders>
              <w:top w:val="single" w:sz="8" w:color="auto"/>
            </w:tcBorders>
            <w:shd w:val="clear" w:color="auto" w:fill="CFF0FC"/>
          </w:tcPr>
          <w:p>
            <w:pPr>
              <w:spacing w:after="0"/>
              <w:rPr>
                <w:sz w:val="19"/>
                <w:szCs w:val="19"/>
                <w:color w:val="auto"/>
              </w:rPr>
            </w:pPr>
          </w:p>
        </w:tc>
        <w:tc>
          <w:tcPr>
            <w:tcW w:w="12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700" w:type="dxa"/>
            <w:vAlign w:val="bottom"/>
            <w:gridSpan w:val="2"/>
          </w:tcPr>
          <w:p>
            <w:pPr>
              <w:spacing w:after="0"/>
              <w:rPr>
                <w:sz w:val="20"/>
                <w:szCs w:val="20"/>
                <w:color w:val="auto"/>
              </w:rPr>
            </w:pPr>
            <w:r>
              <w:rPr>
                <w:rFonts w:ascii="Arial" w:cs="Arial" w:eastAsia="Arial" w:hAnsi="Arial"/>
                <w:sz w:val="18"/>
                <w:szCs w:val="18"/>
                <w:color w:val="auto"/>
              </w:rPr>
              <w:t>Numerator:</w:t>
            </w:r>
          </w:p>
        </w:tc>
        <w:tc>
          <w:tcPr>
            <w:tcW w:w="50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70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Net income (loss) attributable to shareholders</w:t>
            </w:r>
          </w:p>
        </w:tc>
        <w:tc>
          <w:tcPr>
            <w:tcW w:w="500" w:type="dxa"/>
            <w:vAlign w:val="bottom"/>
            <w:shd w:val="clear" w:color="auto" w:fill="CFF0FC"/>
          </w:tcPr>
          <w:p>
            <w:pPr>
              <w:jc w:val="right"/>
              <w:ind w:right="310"/>
              <w:spacing w:after="0"/>
              <w:rPr>
                <w:sz w:val="20"/>
                <w:szCs w:val="20"/>
                <w:color w:val="auto"/>
              </w:rPr>
            </w:pPr>
            <w:r>
              <w:rPr>
                <w:rFonts w:ascii="Arial" w:cs="Arial" w:eastAsia="Arial" w:hAnsi="Arial"/>
                <w:sz w:val="18"/>
                <w:szCs w:val="18"/>
                <w:color w:val="auto"/>
                <w:w w:val="79"/>
              </w:rPr>
              <w:t>$</w:t>
            </w:r>
          </w:p>
        </w:tc>
        <w:tc>
          <w:tcPr>
            <w:tcW w:w="15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52,730</w:t>
            </w:r>
          </w:p>
        </w:tc>
        <w:tc>
          <w:tcPr>
            <w:tcW w:w="18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670"/>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(4,438)</w:t>
            </w:r>
          </w:p>
        </w:tc>
        <w:tc>
          <w:tcPr>
            <w:tcW w:w="0" w:type="dxa"/>
            <w:vAlign w:val="bottom"/>
          </w:tcPr>
          <w:p>
            <w:pPr>
              <w:spacing w:after="0"/>
              <w:rPr>
                <w:sz w:val="1"/>
                <w:szCs w:val="1"/>
                <w:color w:val="auto"/>
              </w:rPr>
            </w:pPr>
          </w:p>
        </w:tc>
      </w:tr>
      <w:tr>
        <w:trPr>
          <w:trHeight w:val="229"/>
        </w:trPr>
        <w:tc>
          <w:tcPr>
            <w:tcW w:w="6700" w:type="dxa"/>
            <w:vAlign w:val="bottom"/>
            <w:gridSpan w:val="2"/>
          </w:tcPr>
          <w:p>
            <w:pPr>
              <w:ind w:left="380"/>
              <w:spacing w:after="0"/>
              <w:rPr>
                <w:sz w:val="20"/>
                <w:szCs w:val="20"/>
                <w:color w:val="auto"/>
              </w:rPr>
            </w:pPr>
            <w:r>
              <w:rPr>
                <w:rFonts w:ascii="Arial" w:cs="Arial" w:eastAsia="Arial" w:hAnsi="Arial"/>
                <w:sz w:val="18"/>
                <w:szCs w:val="18"/>
                <w:color w:val="auto"/>
              </w:rPr>
              <w:t>Less: Income allocated to participating securities</w:t>
            </w:r>
          </w:p>
        </w:tc>
        <w:tc>
          <w:tcPr>
            <w:tcW w:w="500" w:type="dxa"/>
            <w:vAlign w:val="bottom"/>
          </w:tcPr>
          <w:p>
            <w:pPr>
              <w:spacing w:after="0"/>
              <w:rPr>
                <w:sz w:val="19"/>
                <w:szCs w:val="19"/>
                <w:color w:val="auto"/>
              </w:rPr>
            </w:pPr>
          </w:p>
        </w:tc>
        <w:tc>
          <w:tcPr>
            <w:tcW w:w="1740" w:type="dxa"/>
            <w:vAlign w:val="bottom"/>
            <w:gridSpan w:val="2"/>
          </w:tcPr>
          <w:p>
            <w:pPr>
              <w:jc w:val="right"/>
              <w:ind w:right="120"/>
              <w:spacing w:after="0"/>
              <w:rPr>
                <w:sz w:val="20"/>
                <w:szCs w:val="20"/>
                <w:color w:val="auto"/>
              </w:rPr>
            </w:pPr>
            <w:r>
              <w:rPr>
                <w:rFonts w:ascii="Arial" w:cs="Arial" w:eastAsia="Arial" w:hAnsi="Arial"/>
                <w:sz w:val="18"/>
                <w:szCs w:val="18"/>
                <w:color w:val="auto"/>
              </w:rPr>
              <w:t>(331)</w:t>
            </w: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320" w:type="dxa"/>
            <w:vAlign w:val="bottom"/>
            <w:gridSpan w:val="2"/>
          </w:tcPr>
          <w:p>
            <w:pPr>
              <w:jc w:val="right"/>
              <w:ind w:right="40"/>
              <w:spacing w:after="0"/>
              <w:rPr>
                <w:sz w:val="20"/>
                <w:szCs w:val="20"/>
                <w:color w:val="auto"/>
              </w:rPr>
            </w:pPr>
            <w:r>
              <w:rPr>
                <w:rFonts w:ascii="Arial" w:cs="Arial" w:eastAsia="Arial" w:hAnsi="Arial"/>
                <w:sz w:val="18"/>
                <w:szCs w:val="18"/>
                <w:color w:val="auto"/>
              </w:rPr>
              <w:t>(248)</w:t>
            </w:r>
          </w:p>
        </w:tc>
        <w:tc>
          <w:tcPr>
            <w:tcW w:w="0" w:type="dxa"/>
            <w:vAlign w:val="bottom"/>
          </w:tcPr>
          <w:p>
            <w:pPr>
              <w:spacing w:after="0"/>
              <w:rPr>
                <w:sz w:val="1"/>
                <w:szCs w:val="1"/>
                <w:color w:val="auto"/>
              </w:rPr>
            </w:pPr>
          </w:p>
        </w:tc>
      </w:tr>
      <w:tr>
        <w:trPr>
          <w:trHeight w:val="230"/>
        </w:trPr>
        <w:tc>
          <w:tcPr>
            <w:tcW w:w="6700" w:type="dxa"/>
            <w:vAlign w:val="bottom"/>
            <w:gridSpan w:val="2"/>
            <w:shd w:val="clear" w:color="auto" w:fill="CFF0FC"/>
          </w:tcPr>
          <w:p>
            <w:pPr>
              <w:ind w:left="620"/>
              <w:spacing w:after="0"/>
              <w:rPr>
                <w:sz w:val="20"/>
                <w:szCs w:val="20"/>
                <w:color w:val="auto"/>
              </w:rPr>
            </w:pPr>
            <w:r>
              <w:rPr>
                <w:rFonts w:ascii="Arial" w:cs="Arial" w:eastAsia="Arial" w:hAnsi="Arial"/>
                <w:sz w:val="18"/>
                <w:szCs w:val="18"/>
                <w:color w:val="auto"/>
              </w:rPr>
              <w:t>Dividends declared on convertible preferred stock</w:t>
            </w:r>
          </w:p>
        </w:tc>
        <w:tc>
          <w:tcPr>
            <w:tcW w:w="500" w:type="dxa"/>
            <w:vAlign w:val="bottom"/>
            <w:shd w:val="clear" w:color="auto" w:fill="CFF0FC"/>
          </w:tcPr>
          <w:p>
            <w:pPr>
              <w:spacing w:after="0"/>
              <w:rPr>
                <w:sz w:val="19"/>
                <w:szCs w:val="19"/>
                <w:color w:val="auto"/>
              </w:rPr>
            </w:pPr>
          </w:p>
        </w:tc>
        <w:tc>
          <w:tcPr>
            <w:tcW w:w="174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(5)</w:t>
            </w:r>
          </w:p>
        </w:tc>
        <w:tc>
          <w:tcPr>
            <w:tcW w:w="12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13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29"/>
        </w:trPr>
        <w:tc>
          <w:tcPr>
            <w:tcW w:w="6700" w:type="dxa"/>
            <w:vAlign w:val="bottom"/>
            <w:tcBorders>
              <w:bottom w:val="single" w:sz="8" w:color="CFF0FC"/>
            </w:tcBorders>
            <w:gridSpan w:val="2"/>
          </w:tcPr>
          <w:p>
            <w:pPr>
              <w:ind w:left="620"/>
              <w:spacing w:after="0"/>
              <w:rPr>
                <w:sz w:val="20"/>
                <w:szCs w:val="20"/>
                <w:color w:val="auto"/>
              </w:rPr>
            </w:pPr>
            <w:r>
              <w:rPr>
                <w:rFonts w:ascii="Arial" w:cs="Arial" w:eastAsia="Arial" w:hAnsi="Arial"/>
                <w:sz w:val="18"/>
                <w:szCs w:val="18"/>
                <w:color w:val="auto"/>
              </w:rPr>
              <w:t>Impact on if-converted dilutive securities</w:t>
            </w:r>
          </w:p>
        </w:tc>
        <w:tc>
          <w:tcPr>
            <w:tcW w:w="50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2,994</w:t>
            </w:r>
          </w:p>
        </w:tc>
        <w:tc>
          <w:tcPr>
            <w:tcW w:w="18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70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Net income (loss) attributable to common shares</w:t>
            </w:r>
          </w:p>
        </w:tc>
        <w:tc>
          <w:tcPr>
            <w:tcW w:w="500" w:type="dxa"/>
            <w:vAlign w:val="bottom"/>
            <w:shd w:val="clear" w:color="auto" w:fill="CFF0FC"/>
          </w:tcPr>
          <w:p>
            <w:pPr>
              <w:jc w:val="right"/>
              <w:ind w:right="310"/>
              <w:spacing w:after="0"/>
              <w:rPr>
                <w:sz w:val="20"/>
                <w:szCs w:val="20"/>
                <w:color w:val="auto"/>
              </w:rPr>
            </w:pPr>
            <w:r>
              <w:rPr>
                <w:rFonts w:ascii="Arial" w:cs="Arial" w:eastAsia="Arial" w:hAnsi="Arial"/>
                <w:sz w:val="18"/>
                <w:szCs w:val="18"/>
                <w:color w:val="auto"/>
                <w:w w:val="79"/>
              </w:rPr>
              <w:t>$</w:t>
            </w:r>
          </w:p>
        </w:tc>
        <w:tc>
          <w:tcPr>
            <w:tcW w:w="15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55,388</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60" w:type="dxa"/>
            <w:vAlign w:val="bottom"/>
            <w:shd w:val="clear" w:color="auto" w:fill="CFF0FC"/>
          </w:tcPr>
          <w:p>
            <w:pPr>
              <w:jc w:val="right"/>
              <w:ind w:right="670"/>
              <w:spacing w:after="0"/>
              <w:rPr>
                <w:sz w:val="20"/>
                <w:szCs w:val="20"/>
                <w:color w:val="auto"/>
              </w:rPr>
            </w:pPr>
            <w:r>
              <w:rPr>
                <w:rFonts w:ascii="Arial" w:cs="Arial" w:eastAsia="Arial" w:hAnsi="Arial"/>
                <w:sz w:val="18"/>
                <w:szCs w:val="18"/>
                <w:color w:val="auto"/>
                <w:w w:val="79"/>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(4,689)</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700" w:type="dxa"/>
            <w:vAlign w:val="bottom"/>
            <w:gridSpan w:val="2"/>
          </w:tcPr>
          <w:p>
            <w:pPr>
              <w:spacing w:after="0"/>
              <w:rPr>
                <w:sz w:val="20"/>
                <w:szCs w:val="20"/>
                <w:color w:val="auto"/>
              </w:rPr>
            </w:pPr>
            <w:r>
              <w:rPr>
                <w:rFonts w:ascii="Arial" w:cs="Arial" w:eastAsia="Arial" w:hAnsi="Arial"/>
                <w:sz w:val="18"/>
                <w:szCs w:val="18"/>
                <w:color w:val="auto"/>
              </w:rPr>
              <w:t>Denominator:</w:t>
            </w:r>
          </w:p>
        </w:tc>
        <w:tc>
          <w:tcPr>
            <w:tcW w:w="50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70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Basic weighted-average common shares outstanding</w:t>
            </w:r>
          </w:p>
        </w:tc>
        <w:tc>
          <w:tcPr>
            <w:tcW w:w="500" w:type="dxa"/>
            <w:vAlign w:val="bottom"/>
            <w:shd w:val="clear" w:color="auto" w:fill="CFF0FC"/>
          </w:tcPr>
          <w:p>
            <w:pPr>
              <w:spacing w:after="0"/>
              <w:rPr>
                <w:sz w:val="19"/>
                <w:szCs w:val="19"/>
                <w:color w:val="auto"/>
              </w:rPr>
            </w:pPr>
          </w:p>
        </w:tc>
        <w:tc>
          <w:tcPr>
            <w:tcW w:w="15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235,046</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231,469</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700" w:type="dxa"/>
            <w:vAlign w:val="bottom"/>
            <w:gridSpan w:val="2"/>
          </w:tcPr>
          <w:p>
            <w:pPr>
              <w:ind w:left="380"/>
              <w:spacing w:after="0"/>
              <w:rPr>
                <w:sz w:val="20"/>
                <w:szCs w:val="20"/>
                <w:color w:val="auto"/>
              </w:rPr>
            </w:pPr>
            <w:r>
              <w:rPr>
                <w:rFonts w:ascii="Arial" w:cs="Arial" w:eastAsia="Arial" w:hAnsi="Arial"/>
                <w:sz w:val="18"/>
                <w:szCs w:val="18"/>
                <w:color w:val="auto"/>
              </w:rPr>
              <w:t>Effect of dilutive non-participating securities</w:t>
            </w:r>
          </w:p>
        </w:tc>
        <w:tc>
          <w:tcPr>
            <w:tcW w:w="500" w:type="dxa"/>
            <w:vAlign w:val="bottom"/>
          </w:tcPr>
          <w:p>
            <w:pPr>
              <w:spacing w:after="0"/>
              <w:rPr>
                <w:sz w:val="19"/>
                <w:szCs w:val="19"/>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1,226</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700" w:type="dxa"/>
            <w:vAlign w:val="bottom"/>
            <w:gridSpan w:val="2"/>
            <w:shd w:val="clear" w:color="auto" w:fill="CFF0FC"/>
          </w:tcPr>
          <w:p>
            <w:pPr>
              <w:ind w:left="380"/>
              <w:spacing w:after="0"/>
              <w:rPr>
                <w:sz w:val="20"/>
                <w:szCs w:val="20"/>
                <w:color w:val="auto"/>
              </w:rPr>
            </w:pPr>
            <w:r>
              <w:rPr>
                <w:rFonts w:ascii="Arial" w:cs="Arial" w:eastAsia="Arial" w:hAnsi="Arial"/>
                <w:sz w:val="18"/>
                <w:szCs w:val="18"/>
                <w:color w:val="auto"/>
              </w:rPr>
              <w:t>Impact on if-converted dilutive securities</w:t>
            </w:r>
          </w:p>
        </w:tc>
        <w:tc>
          <w:tcPr>
            <w:tcW w:w="500" w:type="dxa"/>
            <w:vAlign w:val="bottom"/>
            <w:tcBorders>
              <w:bottom w:val="single" w:sz="8" w:color="auto"/>
            </w:tcBorders>
            <w:shd w:val="clear" w:color="auto" w:fill="CFF0FC"/>
          </w:tcPr>
          <w:p>
            <w:pPr>
              <w:spacing w:after="0"/>
              <w:rPr>
                <w:sz w:val="19"/>
                <w:szCs w:val="19"/>
                <w:color w:val="auto"/>
              </w:rPr>
            </w:pPr>
          </w:p>
        </w:tc>
        <w:tc>
          <w:tcPr>
            <w:tcW w:w="15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31,032</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700" w:type="dxa"/>
            <w:vAlign w:val="bottom"/>
            <w:tcBorders>
              <w:bottom w:val="single" w:sz="8" w:color="CFF0FC"/>
            </w:tcBorders>
            <w:gridSpan w:val="2"/>
          </w:tcPr>
          <w:p>
            <w:pPr>
              <w:ind w:left="260"/>
              <w:spacing w:after="0"/>
              <w:rPr>
                <w:sz w:val="20"/>
                <w:szCs w:val="20"/>
                <w:color w:val="auto"/>
              </w:rPr>
            </w:pPr>
            <w:r>
              <w:rPr>
                <w:rFonts w:ascii="Arial" w:cs="Arial" w:eastAsia="Arial" w:hAnsi="Arial"/>
                <w:sz w:val="18"/>
                <w:szCs w:val="18"/>
                <w:color w:val="auto"/>
              </w:rPr>
              <w:t>Weighted-average shares for dilutive earnings per common share</w:t>
            </w:r>
          </w:p>
        </w:tc>
        <w:tc>
          <w:tcPr>
            <w:tcW w:w="50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267,304</w:t>
            </w:r>
          </w:p>
        </w:tc>
        <w:tc>
          <w:tcPr>
            <w:tcW w:w="18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231,469</w:t>
            </w:r>
          </w:p>
        </w:tc>
        <w:tc>
          <w:tcPr>
            <w:tcW w:w="10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700" w:type="dxa"/>
            <w:vAlign w:val="bottom"/>
            <w:tcBorders>
              <w:bottom w:val="single" w:sz="8" w:color="CFF0FC"/>
            </w:tcBorders>
            <w:gridSpan w:val="2"/>
            <w:shd w:val="clear" w:color="auto" w:fill="CFF0FC"/>
          </w:tcPr>
          <w:p>
            <w:pPr>
              <w:spacing w:after="0"/>
              <w:rPr>
                <w:sz w:val="20"/>
                <w:szCs w:val="20"/>
                <w:color w:val="auto"/>
              </w:rPr>
            </w:pPr>
            <w:r>
              <w:rPr>
                <w:rFonts w:ascii="Arial" w:cs="Arial" w:eastAsia="Arial" w:hAnsi="Arial"/>
                <w:sz w:val="18"/>
                <w:szCs w:val="18"/>
                <w:color w:val="auto"/>
              </w:rPr>
              <w:t>Dilutive earnings (loss) per common share</w:t>
            </w:r>
          </w:p>
        </w:tc>
        <w:tc>
          <w:tcPr>
            <w:tcW w:w="500" w:type="dxa"/>
            <w:vAlign w:val="bottom"/>
            <w:tcBorders>
              <w:bottom w:val="single" w:sz="8" w:color="auto"/>
            </w:tcBorders>
            <w:shd w:val="clear" w:color="auto" w:fill="CFF0FC"/>
          </w:tcPr>
          <w:p>
            <w:pPr>
              <w:jc w:val="right"/>
              <w:ind w:right="310"/>
              <w:spacing w:after="0"/>
              <w:rPr>
                <w:sz w:val="20"/>
                <w:szCs w:val="20"/>
                <w:color w:val="auto"/>
              </w:rPr>
            </w:pPr>
            <w:r>
              <w:rPr>
                <w:rFonts w:ascii="Arial" w:cs="Arial" w:eastAsia="Arial" w:hAnsi="Arial"/>
                <w:sz w:val="18"/>
                <w:szCs w:val="18"/>
                <w:color w:val="auto"/>
                <w:w w:val="79"/>
              </w:rPr>
              <w:t>$</w:t>
            </w:r>
          </w:p>
        </w:tc>
        <w:tc>
          <w:tcPr>
            <w:tcW w:w="15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0.21</w:t>
            </w:r>
          </w:p>
        </w:tc>
        <w:tc>
          <w:tcPr>
            <w:tcW w:w="180" w:type="dxa"/>
            <w:vAlign w:val="bottom"/>
            <w:tcBorders>
              <w:bottom w:val="single" w:sz="8" w:color="CFF0FC"/>
            </w:tcBorders>
            <w:shd w:val="clear" w:color="auto" w:fill="CFF0FC"/>
          </w:tcPr>
          <w:p>
            <w:pPr>
              <w:spacing w:after="0"/>
              <w:rPr>
                <w:sz w:val="19"/>
                <w:szCs w:val="19"/>
                <w:color w:val="auto"/>
              </w:rPr>
            </w:pPr>
          </w:p>
        </w:tc>
        <w:tc>
          <w:tcPr>
            <w:tcW w:w="120" w:type="dxa"/>
            <w:vAlign w:val="bottom"/>
            <w:tcBorders>
              <w:bottom w:val="single" w:sz="8" w:color="CFF0FC"/>
            </w:tcBorders>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jc w:val="right"/>
              <w:ind w:right="67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(0.02)</w:t>
            </w:r>
          </w:p>
        </w:tc>
        <w:tc>
          <w:tcPr>
            <w:tcW w:w="10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5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right="600"/>
        <w:spacing w:after="0" w:line="277" w:lineRule="auto"/>
        <w:rPr>
          <w:sz w:val="20"/>
          <w:szCs w:val="20"/>
          <w:color w:val="auto"/>
        </w:rPr>
      </w:pPr>
      <w:r>
        <w:rPr>
          <w:rFonts w:ascii="Arial" w:cs="Arial" w:eastAsia="Arial" w:hAnsi="Arial"/>
          <w:sz w:val="18"/>
          <w:szCs w:val="18"/>
          <w:color w:val="auto"/>
        </w:rPr>
        <w:t>For the three months ended March 31, 2021, 30,052,433 potential common shares related to the Exchangeable Notes and 762,355 non-participating securities were excluded from the computation of earnings per share, as their effect would have been anti-dilutive.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12. Segment Information</w:t>
      </w:r>
    </w:p>
    <w:p>
      <w:pPr>
        <w:spacing w:after="0" w:line="229"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Our management, including our chief executive officer, who is our chief operating decision maker, manages our operations as two reportable segments, in addition to our corporate operations, which include:</w:t>
      </w:r>
    </w:p>
    <w:p>
      <w:pPr>
        <w:spacing w:after="0" w:line="170"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i w:val="1"/>
          <w:iCs w:val="1"/>
          <w:u w:val="single" w:color="auto"/>
          <w:color w:val="auto"/>
        </w:rPr>
        <w:t>Leasing</w:t>
      </w:r>
      <w:r>
        <w:rPr>
          <w:rFonts w:ascii="Arial" w:cs="Arial" w:eastAsia="Arial" w:hAnsi="Arial"/>
          <w:sz w:val="18"/>
          <w:szCs w:val="18"/>
          <w:color w:val="auto"/>
        </w:rPr>
        <w:t>: Represents the operations of our leasing business, Uniti Leasing, which is engaged in the acquisition and construction of mission-critical</w:t>
      </w:r>
      <w:r>
        <w:rPr>
          <w:rFonts w:ascii="Arial" w:cs="Arial" w:eastAsia="Arial" w:hAnsi="Arial"/>
          <w:sz w:val="18"/>
          <w:szCs w:val="18"/>
          <w:i w:val="1"/>
          <w:iCs w:val="1"/>
          <w:color w:val="auto"/>
        </w:rPr>
        <w:t xml:space="preserve"> </w:t>
      </w:r>
      <w:r>
        <w:rPr>
          <w:rFonts w:ascii="Arial" w:cs="Arial" w:eastAsia="Arial" w:hAnsi="Arial"/>
          <w:sz w:val="18"/>
          <w:szCs w:val="18"/>
          <w:color w:val="auto"/>
        </w:rPr>
        <w:t>communications assets and leasing them to anchor customers on either an exclusive or shared-tenant basis, in addition to the leasing of dark fiber on our existing dark fiber network assets that we either constructed or acquired. While the Leasing segment represents our REIT operations, certain aspects of the Leasing segment are also operated through taxable REIT subsidiaries.</w:t>
      </w:r>
    </w:p>
    <w:p>
      <w:pPr>
        <w:spacing w:after="0" w:line="187"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i w:val="1"/>
          <w:iCs w:val="1"/>
          <w:u w:val="single" w:color="auto"/>
          <w:color w:val="auto"/>
        </w:rPr>
        <w:t>Fiber Infrastructure</w:t>
      </w:r>
      <w:r>
        <w:rPr>
          <w:rFonts w:ascii="Arial" w:cs="Arial" w:eastAsia="Arial" w:hAnsi="Arial"/>
          <w:sz w:val="18"/>
          <w:szCs w:val="18"/>
          <w:color w:val="auto"/>
        </w:rPr>
        <w:t>: Represents the operations of our fiber business, Uniti Fiber, which is a leading provider of infrastructure solutions, including cell site</w:t>
      </w:r>
      <w:r>
        <w:rPr>
          <w:rFonts w:ascii="Arial" w:cs="Arial" w:eastAsia="Arial" w:hAnsi="Arial"/>
          <w:sz w:val="18"/>
          <w:szCs w:val="18"/>
          <w:i w:val="1"/>
          <w:iCs w:val="1"/>
          <w:color w:val="auto"/>
        </w:rPr>
        <w:t xml:space="preserve"> </w:t>
      </w:r>
      <w:r>
        <w:rPr>
          <w:rFonts w:ascii="Arial" w:cs="Arial" w:eastAsia="Arial" w:hAnsi="Arial"/>
          <w:sz w:val="18"/>
          <w:szCs w:val="18"/>
          <w:color w:val="auto"/>
        </w:rPr>
        <w:t>backhaul and dark fiber, to the telecommunications industry.</w:t>
      </w: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22" w:name="page23"/>
    <w:bookmarkEnd w:id="2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ind w:right="720"/>
        <w:spacing w:after="0" w:line="342" w:lineRule="auto"/>
        <w:rPr>
          <w:sz w:val="20"/>
          <w:szCs w:val="20"/>
          <w:color w:val="auto"/>
        </w:rPr>
      </w:pPr>
      <w:r>
        <w:rPr>
          <w:rFonts w:ascii="Arial" w:cs="Arial" w:eastAsia="Arial" w:hAnsi="Arial"/>
          <w:sz w:val="16"/>
          <w:szCs w:val="16"/>
          <w:i w:val="1"/>
          <w:iCs w:val="1"/>
          <w:u w:val="single" w:color="auto"/>
          <w:color w:val="auto"/>
        </w:rPr>
        <w:t>Corporate</w:t>
      </w:r>
      <w:r>
        <w:rPr>
          <w:rFonts w:ascii="Arial" w:cs="Arial" w:eastAsia="Arial" w:hAnsi="Arial"/>
          <w:sz w:val="16"/>
          <w:szCs w:val="16"/>
          <w:i w:val="1"/>
          <w:iCs w:val="1"/>
          <w:color w:val="auto"/>
        </w:rPr>
        <w:t xml:space="preserve">: </w:t>
      </w:r>
      <w:r>
        <w:rPr>
          <w:rFonts w:ascii="Arial" w:cs="Arial" w:eastAsia="Arial" w:hAnsi="Arial"/>
          <w:sz w:val="16"/>
          <w:szCs w:val="16"/>
          <w:color w:val="auto"/>
        </w:rPr>
        <w:t>Represents our corporate office and shared service functions. Certain costs and expenses, primarily related to headcount, insurance,</w:t>
      </w:r>
      <w:r>
        <w:rPr>
          <w:rFonts w:ascii="Arial" w:cs="Arial" w:eastAsia="Arial" w:hAnsi="Arial"/>
          <w:sz w:val="16"/>
          <w:szCs w:val="16"/>
          <w:i w:val="1"/>
          <w:iCs w:val="1"/>
          <w:color w:val="auto"/>
        </w:rPr>
        <w:t xml:space="preserve"> </w:t>
      </w:r>
      <w:r>
        <w:rPr>
          <w:rFonts w:ascii="Arial" w:cs="Arial" w:eastAsia="Arial" w:hAnsi="Arial"/>
          <w:sz w:val="16"/>
          <w:szCs w:val="16"/>
          <w:color w:val="auto"/>
        </w:rPr>
        <w:t>professional fees and similar charges, that are directly attributable to operations of our business segments are allocated to the respective segments.</w:t>
      </w:r>
    </w:p>
    <w:p>
      <w:pPr>
        <w:spacing w:after="0" w:line="124"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Management evaluates the performance of each segment using Adjusted EBITDA, which is a segment performance measure we define as net income determined in accordance with GAAP, before interest expense, provision for income taxes, depreciation and amortization, stock-based compensation expense and the impact, which may be recurring in nature, of transaction and integration related costs, costs associated with Windstream’s bankruptcy, costs associated with litigation claims made against us, costs associated with the implementation of our enterprise resource planning system, executive severance costs, costs related to the settlement with Windstream, amortization of non-cash rights-of-use assets, the write off of unamortized deferred financing costs, costs incurred as a result of the early repayment of debt, including early tender and redemption premiums and costs associated with the termination of related hedging activities, gains or losses on dispositions, changes in the fair value of contingent consideration and financial instruments, and other similar or infrequent items (although we may not have had such charges in the periods presented). Adjusted EBITDA includes adjustments to reflect the Company’s share of Adjusted EBITDA from unconsolidated entities. The Company believes that net income, as defined by GAAP, is the most appropriate earnings metric; however, we believe that Adjusted EBITDA serves as a useful supplement to net income because it allows investors, analysts and management to evaluate the performance of our segments in a manner that is comparable period over period. Adjusted EBITDA should not be considered as an alternative to net income as determined in accordance with GAAP.</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color w:val="auto"/>
        </w:rPr>
        <w:t>Selected financial data related to our segments is presented below for the three months ended March 31, 2022 and 2021:</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0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520" w:type="dxa"/>
            <w:vAlign w:val="bottom"/>
            <w:tcBorders>
              <w:bottom w:val="single" w:sz="8" w:color="auto"/>
            </w:tcBorders>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40" w:type="dxa"/>
            <w:vAlign w:val="bottom"/>
            <w:tcBorders>
              <w:bottom w:val="single" w:sz="8" w:color="auto"/>
            </w:tcBorders>
            <w:gridSpan w:val="5"/>
          </w:tcPr>
          <w:p>
            <w:pPr>
              <w:jc w:val="right"/>
              <w:ind w:right="940"/>
              <w:spacing w:after="0"/>
              <w:rPr>
                <w:sz w:val="20"/>
                <w:szCs w:val="20"/>
                <w:color w:val="auto"/>
              </w:rPr>
            </w:pPr>
            <w:r>
              <w:rPr>
                <w:rFonts w:ascii="Arial" w:cs="Arial" w:eastAsia="Arial" w:hAnsi="Arial"/>
                <w:sz w:val="18"/>
                <w:szCs w:val="18"/>
                <w:b w:val="1"/>
                <w:bCs w:val="1"/>
                <w:color w:val="auto"/>
                <w:w w:val="98"/>
              </w:rPr>
              <w:t>Three Months Ended March 31, 2022</w:t>
            </w:r>
          </w:p>
        </w:tc>
        <w:tc>
          <w:tcPr>
            <w:tcW w:w="22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5"/>
        </w:trPr>
        <w:tc>
          <w:tcPr>
            <w:tcW w:w="30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80" w:type="dxa"/>
            <w:vAlign w:val="bottom"/>
          </w:tcPr>
          <w:p>
            <w:pPr>
              <w:jc w:val="center"/>
              <w:ind w:right="150"/>
              <w:spacing w:after="0" w:line="205" w:lineRule="exact"/>
              <w:rPr>
                <w:sz w:val="20"/>
                <w:szCs w:val="20"/>
                <w:color w:val="auto"/>
              </w:rPr>
            </w:pPr>
            <w:r>
              <w:rPr>
                <w:rFonts w:ascii="Arial" w:cs="Arial" w:eastAsia="Arial" w:hAnsi="Arial"/>
                <w:sz w:val="18"/>
                <w:szCs w:val="18"/>
                <w:b w:val="1"/>
                <w:bCs w:val="1"/>
                <w:color w:val="auto"/>
                <w:w w:val="91"/>
              </w:rPr>
              <w:t>Subtotal of</w:t>
            </w: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91"/>
              </w:rPr>
              <w:t>Reportable</w:t>
            </w:r>
          </w:p>
        </w:tc>
        <w:tc>
          <w:tcPr>
            <w:tcW w:w="0" w:type="dxa"/>
            <w:vAlign w:val="bottom"/>
          </w:tcPr>
          <w:p>
            <w:pPr>
              <w:spacing w:after="0"/>
              <w:rPr>
                <w:sz w:val="1"/>
                <w:szCs w:val="1"/>
                <w:color w:val="auto"/>
              </w:rPr>
            </w:pPr>
          </w:p>
        </w:tc>
      </w:tr>
      <w:tr>
        <w:trPr>
          <w:trHeight w:val="234"/>
        </w:trPr>
        <w:tc>
          <w:tcPr>
            <w:tcW w:w="3160" w:type="dxa"/>
            <w:vAlign w:val="bottom"/>
            <w:gridSpan w:val="2"/>
          </w:tcPr>
          <w:p>
            <w:pPr>
              <w:spacing w:after="0"/>
              <w:rPr>
                <w:sz w:val="20"/>
                <w:szCs w:val="20"/>
                <w:color w:val="auto"/>
              </w:rPr>
            </w:pPr>
            <w:r>
              <w:rPr>
                <w:rFonts w:ascii="Arial" w:cs="Arial" w:eastAsia="Arial" w:hAnsi="Arial"/>
                <w:sz w:val="18"/>
                <w:szCs w:val="18"/>
                <w:color w:val="auto"/>
              </w:rPr>
              <w:t>(Thousands)</w:t>
            </w:r>
          </w:p>
        </w:tc>
        <w:tc>
          <w:tcPr>
            <w:tcW w:w="380" w:type="dxa"/>
            <w:vAlign w:val="bottom"/>
          </w:tcPr>
          <w:p>
            <w:pPr>
              <w:spacing w:after="0"/>
              <w:rPr>
                <w:sz w:val="20"/>
                <w:szCs w:val="20"/>
                <w:color w:val="auto"/>
              </w:rPr>
            </w:pPr>
          </w:p>
        </w:tc>
        <w:tc>
          <w:tcPr>
            <w:tcW w:w="1520" w:type="dxa"/>
            <w:vAlign w:val="bottom"/>
          </w:tcPr>
          <w:p>
            <w:pPr>
              <w:jc w:val="right"/>
              <w:ind w:right="570"/>
              <w:spacing w:after="0"/>
              <w:rPr>
                <w:sz w:val="20"/>
                <w:szCs w:val="20"/>
                <w:color w:val="auto"/>
              </w:rPr>
            </w:pPr>
            <w:r>
              <w:rPr>
                <w:rFonts w:ascii="Arial" w:cs="Arial" w:eastAsia="Arial" w:hAnsi="Arial"/>
                <w:sz w:val="18"/>
                <w:szCs w:val="18"/>
                <w:b w:val="1"/>
                <w:bCs w:val="1"/>
                <w:color w:val="auto"/>
              </w:rPr>
              <w:t>Leasing</w:t>
            </w:r>
          </w:p>
        </w:tc>
        <w:tc>
          <w:tcPr>
            <w:tcW w:w="2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140" w:type="dxa"/>
            <w:vAlign w:val="bottom"/>
            <w:gridSpan w:val="2"/>
          </w:tcPr>
          <w:p>
            <w:pPr>
              <w:ind w:left="60"/>
              <w:spacing w:after="0"/>
              <w:rPr>
                <w:sz w:val="20"/>
                <w:szCs w:val="20"/>
                <w:color w:val="auto"/>
              </w:rPr>
            </w:pPr>
            <w:r>
              <w:rPr>
                <w:rFonts w:ascii="Arial" w:cs="Arial" w:eastAsia="Arial" w:hAnsi="Arial"/>
                <w:sz w:val="18"/>
                <w:szCs w:val="18"/>
                <w:b w:val="1"/>
                <w:bCs w:val="1"/>
                <w:color w:val="auto"/>
              </w:rPr>
              <w:t>Fiber Infrastructure</w:t>
            </w:r>
          </w:p>
        </w:tc>
        <w:tc>
          <w:tcPr>
            <w:tcW w:w="240" w:type="dxa"/>
            <w:vAlign w:val="bottom"/>
          </w:tcPr>
          <w:p>
            <w:pPr>
              <w:spacing w:after="0"/>
              <w:rPr>
                <w:sz w:val="20"/>
                <w:szCs w:val="20"/>
                <w:color w:val="auto"/>
              </w:rPr>
            </w:pPr>
          </w:p>
        </w:tc>
        <w:tc>
          <w:tcPr>
            <w:tcW w:w="1660" w:type="dxa"/>
            <w:vAlign w:val="bottom"/>
            <w:gridSpan w:val="2"/>
          </w:tcPr>
          <w:p>
            <w:pPr>
              <w:jc w:val="right"/>
              <w:ind w:right="700"/>
              <w:spacing w:after="0"/>
              <w:rPr>
                <w:sz w:val="20"/>
                <w:szCs w:val="20"/>
                <w:color w:val="auto"/>
              </w:rPr>
            </w:pPr>
            <w:r>
              <w:rPr>
                <w:rFonts w:ascii="Arial" w:cs="Arial" w:eastAsia="Arial" w:hAnsi="Arial"/>
                <w:sz w:val="18"/>
                <w:szCs w:val="18"/>
                <w:b w:val="1"/>
                <w:bCs w:val="1"/>
                <w:color w:val="auto"/>
              </w:rPr>
              <w:t>Corporate</w:t>
            </w:r>
          </w:p>
        </w:tc>
        <w:tc>
          <w:tcPr>
            <w:tcW w:w="220" w:type="dxa"/>
            <w:vAlign w:val="bottom"/>
          </w:tcPr>
          <w:p>
            <w:pPr>
              <w:spacing w:after="0"/>
              <w:rPr>
                <w:sz w:val="20"/>
                <w:szCs w:val="20"/>
                <w:color w:val="auto"/>
              </w:rPr>
            </w:pPr>
          </w:p>
        </w:tc>
        <w:tc>
          <w:tcPr>
            <w:tcW w:w="15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5"/>
              </w:rPr>
              <w:t>Segments</w:t>
            </w:r>
          </w:p>
        </w:tc>
        <w:tc>
          <w:tcPr>
            <w:tcW w:w="0" w:type="dxa"/>
            <w:vAlign w:val="bottom"/>
          </w:tcPr>
          <w:p>
            <w:pPr>
              <w:spacing w:after="0"/>
              <w:rPr>
                <w:sz w:val="1"/>
                <w:szCs w:val="1"/>
                <w:color w:val="auto"/>
              </w:rPr>
            </w:pPr>
          </w:p>
        </w:tc>
      </w:tr>
      <w:tr>
        <w:trPr>
          <w:trHeight w:val="223"/>
        </w:trPr>
        <w:tc>
          <w:tcPr>
            <w:tcW w:w="30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Revenues</w:t>
            </w:r>
          </w:p>
        </w:tc>
        <w:tc>
          <w:tcPr>
            <w:tcW w:w="160" w:type="dxa"/>
            <w:vAlign w:val="bottom"/>
            <w:tcBorders>
              <w:top w:val="single" w:sz="8" w:color="CFF0FC"/>
            </w:tcBorders>
            <w:shd w:val="clear" w:color="auto" w:fill="CFF0FC"/>
          </w:tcPr>
          <w:p>
            <w:pPr>
              <w:spacing w:after="0"/>
              <w:rPr>
                <w:sz w:val="19"/>
                <w:szCs w:val="19"/>
                <w:color w:val="auto"/>
              </w:rPr>
            </w:pPr>
          </w:p>
        </w:tc>
        <w:tc>
          <w:tcPr>
            <w:tcW w:w="380" w:type="dxa"/>
            <w:vAlign w:val="bottom"/>
            <w:tcBorders>
              <w:top w:val="single" w:sz="8" w:color="auto"/>
            </w:tcBorders>
            <w:shd w:val="clear" w:color="auto" w:fill="CFF0FC"/>
          </w:tcPr>
          <w:p>
            <w:pPr>
              <w:jc w:val="right"/>
              <w:ind w:right="190"/>
              <w:spacing w:after="0"/>
              <w:rPr>
                <w:sz w:val="20"/>
                <w:szCs w:val="20"/>
                <w:color w:val="auto"/>
              </w:rPr>
            </w:pPr>
            <w:r>
              <w:rPr>
                <w:rFonts w:ascii="Arial" w:cs="Arial" w:eastAsia="Arial" w:hAnsi="Arial"/>
                <w:sz w:val="18"/>
                <w:szCs w:val="18"/>
                <w:color w:val="auto"/>
                <w:w w:val="79"/>
              </w:rPr>
              <w:t>$</w:t>
            </w:r>
          </w:p>
        </w:tc>
        <w:tc>
          <w:tcPr>
            <w:tcW w:w="15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204,641</w:t>
            </w:r>
          </w:p>
        </w:tc>
        <w:tc>
          <w:tcPr>
            <w:tcW w:w="28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8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73,393</w:t>
            </w:r>
          </w:p>
        </w:tc>
        <w:tc>
          <w:tcPr>
            <w:tcW w:w="28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3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30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jc w:val="right"/>
              <w:ind w:right="67"/>
              <w:spacing w:after="0"/>
              <w:rPr>
                <w:sz w:val="20"/>
                <w:szCs w:val="20"/>
                <w:color w:val="auto"/>
              </w:rPr>
            </w:pPr>
            <w:r>
              <w:rPr>
                <w:rFonts w:ascii="Arial" w:cs="Arial" w:eastAsia="Arial" w:hAnsi="Arial"/>
                <w:sz w:val="15"/>
                <w:szCs w:val="15"/>
                <w:color w:val="auto"/>
                <w:w w:val="71"/>
              </w:rPr>
              <w:t>$</w:t>
            </w:r>
          </w:p>
        </w:tc>
        <w:tc>
          <w:tcPr>
            <w:tcW w:w="13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278,034</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0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16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Adjusted EBITDA</w:t>
            </w:r>
          </w:p>
        </w:tc>
        <w:tc>
          <w:tcPr>
            <w:tcW w:w="380" w:type="dxa"/>
            <w:vAlign w:val="bottom"/>
            <w:shd w:val="clear" w:color="auto" w:fill="CFF0FC"/>
          </w:tcPr>
          <w:p>
            <w:pPr>
              <w:jc w:val="right"/>
              <w:ind w:right="190"/>
              <w:spacing w:after="0"/>
              <w:rPr>
                <w:sz w:val="20"/>
                <w:szCs w:val="20"/>
                <w:color w:val="auto"/>
              </w:rPr>
            </w:pPr>
            <w:r>
              <w:rPr>
                <w:rFonts w:ascii="Arial" w:cs="Arial" w:eastAsia="Arial" w:hAnsi="Arial"/>
                <w:sz w:val="18"/>
                <w:szCs w:val="18"/>
                <w:color w:val="auto"/>
                <w:w w:val="79"/>
              </w:rPr>
              <w:t>$</w:t>
            </w:r>
          </w:p>
        </w:tc>
        <w:tc>
          <w:tcPr>
            <w:tcW w:w="15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198,973</w:t>
            </w:r>
          </w:p>
        </w:tc>
        <w:tc>
          <w:tcPr>
            <w:tcW w:w="4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31,459</w:t>
            </w:r>
          </w:p>
        </w:tc>
        <w:tc>
          <w:tcPr>
            <w:tcW w:w="28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66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(5,643)</w:t>
            </w:r>
          </w:p>
        </w:tc>
        <w:tc>
          <w:tcPr>
            <w:tcW w:w="220" w:type="dxa"/>
            <w:vAlign w:val="bottom"/>
            <w:shd w:val="clear" w:color="auto" w:fill="CFF0FC"/>
          </w:tcPr>
          <w:p>
            <w:pPr>
              <w:jc w:val="right"/>
              <w:ind w:right="67"/>
              <w:spacing w:after="0"/>
              <w:rPr>
                <w:sz w:val="20"/>
                <w:szCs w:val="20"/>
                <w:color w:val="auto"/>
              </w:rPr>
            </w:pPr>
            <w:r>
              <w:rPr>
                <w:rFonts w:ascii="Arial" w:cs="Arial" w:eastAsia="Arial" w:hAnsi="Arial"/>
                <w:sz w:val="15"/>
                <w:szCs w:val="15"/>
                <w:color w:val="auto"/>
                <w:w w:val="71"/>
              </w:rPr>
              <w:t>$</w:t>
            </w: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224,789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60" w:type="dxa"/>
            <w:vAlign w:val="bottom"/>
            <w:gridSpan w:val="2"/>
          </w:tcPr>
          <w:p>
            <w:pPr>
              <w:spacing w:after="0"/>
              <w:rPr>
                <w:sz w:val="20"/>
                <w:szCs w:val="20"/>
                <w:color w:val="auto"/>
              </w:rPr>
            </w:pPr>
            <w:r>
              <w:rPr>
                <w:rFonts w:ascii="Arial" w:cs="Arial" w:eastAsia="Arial" w:hAnsi="Arial"/>
                <w:sz w:val="18"/>
                <w:szCs w:val="18"/>
                <w:color w:val="auto"/>
              </w:rPr>
              <w:t>Less:</w:t>
            </w:r>
          </w:p>
        </w:tc>
        <w:tc>
          <w:tcPr>
            <w:tcW w:w="38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16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rPr>
              <w:t>Interest expense</w:t>
            </w:r>
          </w:p>
        </w:tc>
        <w:tc>
          <w:tcPr>
            <w:tcW w:w="380" w:type="dxa"/>
            <w:vAlign w:val="bottom"/>
            <w:shd w:val="clear" w:color="auto" w:fill="CFF0FC"/>
          </w:tcPr>
          <w:p>
            <w:pPr>
              <w:spacing w:after="0"/>
              <w:rPr>
                <w:sz w:val="19"/>
                <w:szCs w:val="19"/>
                <w:color w:val="auto"/>
              </w:rPr>
            </w:pPr>
          </w:p>
        </w:tc>
        <w:tc>
          <w:tcPr>
            <w:tcW w:w="15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86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3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96,172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60" w:type="dxa"/>
            <w:vAlign w:val="bottom"/>
            <w:gridSpan w:val="2"/>
          </w:tcPr>
          <w:p>
            <w:pPr>
              <w:ind w:left="140"/>
              <w:spacing w:after="0"/>
              <w:rPr>
                <w:sz w:val="20"/>
                <w:szCs w:val="20"/>
                <w:color w:val="auto"/>
              </w:rPr>
            </w:pPr>
            <w:r>
              <w:rPr>
                <w:rFonts w:ascii="Arial" w:cs="Arial" w:eastAsia="Arial" w:hAnsi="Arial"/>
                <w:sz w:val="18"/>
                <w:szCs w:val="18"/>
                <w:color w:val="auto"/>
              </w:rPr>
              <w:t>Depreciation and amortization</w:t>
            </w:r>
          </w:p>
        </w:tc>
        <w:tc>
          <w:tcPr>
            <w:tcW w:w="38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Arial" w:cs="Arial" w:eastAsia="Arial" w:hAnsi="Arial"/>
                <w:sz w:val="18"/>
                <w:szCs w:val="18"/>
                <w:color w:val="auto"/>
              </w:rPr>
              <w:t>42,102</w:t>
            </w:r>
          </w:p>
        </w:tc>
        <w:tc>
          <w:tcPr>
            <w:tcW w:w="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60" w:type="dxa"/>
            <w:vAlign w:val="bottom"/>
          </w:tcPr>
          <w:p>
            <w:pPr>
              <w:jc w:val="right"/>
              <w:spacing w:after="0"/>
              <w:rPr>
                <w:sz w:val="20"/>
                <w:szCs w:val="20"/>
                <w:color w:val="auto"/>
              </w:rPr>
            </w:pPr>
            <w:r>
              <w:rPr>
                <w:rFonts w:ascii="Arial" w:cs="Arial" w:eastAsia="Arial" w:hAnsi="Arial"/>
                <w:sz w:val="18"/>
                <w:szCs w:val="18"/>
                <w:color w:val="auto"/>
              </w:rPr>
              <w:t>29,319</w:t>
            </w: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36</w:t>
            </w: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71,457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6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rPr>
              <w:t>Other, net</w:t>
            </w:r>
          </w:p>
        </w:tc>
        <w:tc>
          <w:tcPr>
            <w:tcW w:w="380" w:type="dxa"/>
            <w:vAlign w:val="bottom"/>
            <w:shd w:val="clear" w:color="auto" w:fill="CFF0FC"/>
          </w:tcPr>
          <w:p>
            <w:pPr>
              <w:spacing w:after="0"/>
              <w:rPr>
                <w:sz w:val="19"/>
                <w:szCs w:val="19"/>
                <w:color w:val="auto"/>
              </w:rPr>
            </w:pPr>
          </w:p>
        </w:tc>
        <w:tc>
          <w:tcPr>
            <w:tcW w:w="15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86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3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361</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60" w:type="dxa"/>
            <w:vAlign w:val="bottom"/>
            <w:gridSpan w:val="2"/>
          </w:tcPr>
          <w:p>
            <w:pPr>
              <w:ind w:left="140"/>
              <w:spacing w:after="0"/>
              <w:rPr>
                <w:sz w:val="20"/>
                <w:szCs w:val="20"/>
                <w:color w:val="auto"/>
              </w:rPr>
            </w:pPr>
            <w:r>
              <w:rPr>
                <w:rFonts w:ascii="Arial" w:cs="Arial" w:eastAsia="Arial" w:hAnsi="Arial"/>
                <w:sz w:val="18"/>
                <w:szCs w:val="18"/>
                <w:color w:val="auto"/>
              </w:rPr>
              <w:t>Transaction related and other costs</w:t>
            </w:r>
          </w:p>
        </w:tc>
        <w:tc>
          <w:tcPr>
            <w:tcW w:w="38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1,714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16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rPr>
              <w:t>Stock-based compensation</w:t>
            </w:r>
          </w:p>
        </w:tc>
        <w:tc>
          <w:tcPr>
            <w:tcW w:w="380" w:type="dxa"/>
            <w:vAlign w:val="bottom"/>
            <w:shd w:val="clear" w:color="auto" w:fill="CFF0FC"/>
          </w:tcPr>
          <w:p>
            <w:pPr>
              <w:spacing w:after="0"/>
              <w:rPr>
                <w:sz w:val="19"/>
                <w:szCs w:val="19"/>
                <w:color w:val="auto"/>
              </w:rPr>
            </w:pPr>
          </w:p>
        </w:tc>
        <w:tc>
          <w:tcPr>
            <w:tcW w:w="15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86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3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3,312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60" w:type="dxa"/>
            <w:vAlign w:val="bottom"/>
            <w:gridSpan w:val="2"/>
          </w:tcPr>
          <w:p>
            <w:pPr>
              <w:ind w:left="140"/>
              <w:spacing w:after="0"/>
              <w:rPr>
                <w:sz w:val="20"/>
                <w:szCs w:val="20"/>
                <w:color w:val="auto"/>
              </w:rPr>
            </w:pPr>
            <w:r>
              <w:rPr>
                <w:rFonts w:ascii="Arial" w:cs="Arial" w:eastAsia="Arial" w:hAnsi="Arial"/>
                <w:sz w:val="18"/>
                <w:szCs w:val="18"/>
                <w:color w:val="auto"/>
              </w:rPr>
              <w:t>Income tax benefit</w:t>
            </w:r>
          </w:p>
        </w:tc>
        <w:tc>
          <w:tcPr>
            <w:tcW w:w="38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00" w:type="dxa"/>
            <w:vAlign w:val="bottom"/>
            <w:gridSpan w:val="2"/>
          </w:tcPr>
          <w:p>
            <w:pPr>
              <w:jc w:val="right"/>
              <w:ind w:right="60"/>
              <w:spacing w:after="0"/>
              <w:rPr>
                <w:sz w:val="20"/>
                <w:szCs w:val="20"/>
                <w:color w:val="auto"/>
              </w:rPr>
            </w:pPr>
            <w:r>
              <w:rPr>
                <w:rFonts w:ascii="Arial" w:cs="Arial" w:eastAsia="Arial" w:hAnsi="Arial"/>
                <w:sz w:val="18"/>
                <w:szCs w:val="18"/>
                <w:color w:val="auto"/>
              </w:rPr>
              <w:t>(2,071)</w:t>
            </w:r>
          </w:p>
        </w:tc>
        <w:tc>
          <w:tcPr>
            <w:tcW w:w="0" w:type="dxa"/>
            <w:vAlign w:val="bottom"/>
          </w:tcPr>
          <w:p>
            <w:pPr>
              <w:spacing w:after="0"/>
              <w:rPr>
                <w:sz w:val="1"/>
                <w:szCs w:val="1"/>
                <w:color w:val="auto"/>
              </w:rPr>
            </w:pPr>
          </w:p>
        </w:tc>
      </w:tr>
      <w:tr>
        <w:trPr>
          <w:trHeight w:val="215"/>
        </w:trPr>
        <w:tc>
          <w:tcPr>
            <w:tcW w:w="316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rPr>
              <w:t>Adjustments for equity in earnings</w:t>
            </w:r>
          </w:p>
        </w:tc>
        <w:tc>
          <w:tcPr>
            <w:tcW w:w="380" w:type="dxa"/>
            <w:vAlign w:val="bottom"/>
            <w:shd w:val="clear" w:color="auto" w:fill="CFF0FC"/>
          </w:tcPr>
          <w:p>
            <w:pPr>
              <w:spacing w:after="0"/>
              <w:rPr>
                <w:sz w:val="18"/>
                <w:szCs w:val="18"/>
                <w:color w:val="auto"/>
              </w:rPr>
            </w:pPr>
          </w:p>
        </w:tc>
        <w:tc>
          <w:tcPr>
            <w:tcW w:w="15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86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80" w:type="dxa"/>
            <w:vAlign w:val="bottom"/>
            <w:vMerge w:val="restart"/>
            <w:shd w:val="clear" w:color="auto" w:fill="CFF0FC"/>
          </w:tcPr>
          <w:p>
            <w:pPr>
              <w:jc w:val="right"/>
              <w:spacing w:after="0"/>
              <w:rPr>
                <w:sz w:val="20"/>
                <w:szCs w:val="20"/>
                <w:color w:val="auto"/>
              </w:rPr>
            </w:pPr>
            <w:r>
              <w:rPr>
                <w:rFonts w:ascii="Arial" w:cs="Arial" w:eastAsia="Arial" w:hAnsi="Arial"/>
                <w:sz w:val="18"/>
                <w:szCs w:val="18"/>
                <w:color w:val="auto"/>
              </w:rPr>
              <w:t>986</w:t>
            </w: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122"/>
        </w:trPr>
        <w:tc>
          <w:tcPr>
            <w:tcW w:w="3160" w:type="dxa"/>
            <w:vAlign w:val="bottom"/>
            <w:gridSpan w:val="2"/>
            <w:vMerge w:val="restart"/>
            <w:shd w:val="clear" w:color="auto" w:fill="CFF0FC"/>
          </w:tcPr>
          <w:p>
            <w:pPr>
              <w:ind w:left="140"/>
              <w:spacing w:after="0"/>
              <w:rPr>
                <w:sz w:val="20"/>
                <w:szCs w:val="20"/>
                <w:color w:val="auto"/>
              </w:rPr>
            </w:pPr>
            <w:r>
              <w:rPr>
                <w:rFonts w:ascii="Arial" w:cs="Arial" w:eastAsia="Arial" w:hAnsi="Arial"/>
                <w:sz w:val="18"/>
                <w:szCs w:val="18"/>
                <w:color w:val="auto"/>
              </w:rPr>
              <w:t>from unconsolidated entities</w:t>
            </w:r>
          </w:p>
        </w:tc>
        <w:tc>
          <w:tcPr>
            <w:tcW w:w="380" w:type="dxa"/>
            <w:vAlign w:val="bottom"/>
            <w:shd w:val="clear" w:color="auto" w:fill="CFF0FC"/>
          </w:tcPr>
          <w:p>
            <w:pPr>
              <w:spacing w:after="0"/>
              <w:rPr>
                <w:sz w:val="10"/>
                <w:szCs w:val="10"/>
                <w:color w:val="auto"/>
              </w:rPr>
            </w:pPr>
          </w:p>
        </w:tc>
        <w:tc>
          <w:tcPr>
            <w:tcW w:w="1520" w:type="dxa"/>
            <w:vAlign w:val="bottom"/>
            <w:shd w:val="clear" w:color="auto" w:fill="CFF0FC"/>
          </w:tcPr>
          <w:p>
            <w:pPr>
              <w:spacing w:after="0"/>
              <w:rPr>
                <w:sz w:val="10"/>
                <w:szCs w:val="10"/>
                <w:color w:val="auto"/>
              </w:rPr>
            </w:pPr>
          </w:p>
        </w:tc>
        <w:tc>
          <w:tcPr>
            <w:tcW w:w="280" w:type="dxa"/>
            <w:vAlign w:val="bottom"/>
            <w:shd w:val="clear" w:color="auto" w:fill="CFF0FC"/>
          </w:tcPr>
          <w:p>
            <w:pPr>
              <w:spacing w:after="0"/>
              <w:rPr>
                <w:sz w:val="10"/>
                <w:szCs w:val="10"/>
                <w:color w:val="auto"/>
              </w:rPr>
            </w:pPr>
          </w:p>
        </w:tc>
        <w:tc>
          <w:tcPr>
            <w:tcW w:w="140" w:type="dxa"/>
            <w:vAlign w:val="bottom"/>
            <w:shd w:val="clear" w:color="auto" w:fill="CFF0FC"/>
          </w:tcPr>
          <w:p>
            <w:pPr>
              <w:spacing w:after="0"/>
              <w:rPr>
                <w:sz w:val="10"/>
                <w:szCs w:val="10"/>
                <w:color w:val="auto"/>
              </w:rPr>
            </w:pPr>
          </w:p>
        </w:tc>
        <w:tc>
          <w:tcPr>
            <w:tcW w:w="1860" w:type="dxa"/>
            <w:vAlign w:val="bottom"/>
            <w:shd w:val="clear" w:color="auto" w:fill="CFF0FC"/>
          </w:tcPr>
          <w:p>
            <w:pPr>
              <w:spacing w:after="0"/>
              <w:rPr>
                <w:sz w:val="10"/>
                <w:szCs w:val="10"/>
                <w:color w:val="auto"/>
              </w:rPr>
            </w:pPr>
          </w:p>
        </w:tc>
        <w:tc>
          <w:tcPr>
            <w:tcW w:w="280" w:type="dxa"/>
            <w:vAlign w:val="bottom"/>
            <w:shd w:val="clear" w:color="auto" w:fill="CFF0FC"/>
          </w:tcPr>
          <w:p>
            <w:pPr>
              <w:spacing w:after="0"/>
              <w:rPr>
                <w:sz w:val="10"/>
                <w:szCs w:val="10"/>
                <w:color w:val="auto"/>
              </w:rPr>
            </w:pPr>
          </w:p>
        </w:tc>
        <w:tc>
          <w:tcPr>
            <w:tcW w:w="240" w:type="dxa"/>
            <w:vAlign w:val="bottom"/>
            <w:shd w:val="clear" w:color="auto" w:fill="CFF0FC"/>
          </w:tcPr>
          <w:p>
            <w:pPr>
              <w:spacing w:after="0"/>
              <w:rPr>
                <w:sz w:val="10"/>
                <w:szCs w:val="10"/>
                <w:color w:val="auto"/>
              </w:rPr>
            </w:pPr>
          </w:p>
        </w:tc>
        <w:tc>
          <w:tcPr>
            <w:tcW w:w="1360" w:type="dxa"/>
            <w:vAlign w:val="bottom"/>
            <w:shd w:val="clear" w:color="auto" w:fill="CFF0FC"/>
          </w:tcPr>
          <w:p>
            <w:pPr>
              <w:spacing w:after="0"/>
              <w:rPr>
                <w:sz w:val="10"/>
                <w:szCs w:val="10"/>
                <w:color w:val="auto"/>
              </w:rPr>
            </w:pPr>
          </w:p>
        </w:tc>
        <w:tc>
          <w:tcPr>
            <w:tcW w:w="300" w:type="dxa"/>
            <w:vAlign w:val="bottom"/>
            <w:shd w:val="clear" w:color="auto" w:fill="CFF0FC"/>
          </w:tcPr>
          <w:p>
            <w:pPr>
              <w:spacing w:after="0"/>
              <w:rPr>
                <w:sz w:val="10"/>
                <w:szCs w:val="10"/>
                <w:color w:val="auto"/>
              </w:rPr>
            </w:pPr>
          </w:p>
        </w:tc>
        <w:tc>
          <w:tcPr>
            <w:tcW w:w="220" w:type="dxa"/>
            <w:vAlign w:val="bottom"/>
            <w:shd w:val="clear" w:color="auto" w:fill="CFF0FC"/>
          </w:tcPr>
          <w:p>
            <w:pPr>
              <w:spacing w:after="0"/>
              <w:rPr>
                <w:sz w:val="10"/>
                <w:szCs w:val="10"/>
                <w:color w:val="auto"/>
              </w:rPr>
            </w:pPr>
          </w:p>
        </w:tc>
        <w:tc>
          <w:tcPr>
            <w:tcW w:w="1380" w:type="dxa"/>
            <w:vAlign w:val="bottom"/>
            <w:vMerge w:val="continue"/>
            <w:shd w:val="clear" w:color="auto" w:fill="CFF0FC"/>
          </w:tcPr>
          <w:p>
            <w:pPr>
              <w:spacing w:after="0"/>
              <w:rPr>
                <w:sz w:val="10"/>
                <w:szCs w:val="10"/>
                <w:color w:val="auto"/>
              </w:rPr>
            </w:pPr>
          </w:p>
        </w:tc>
        <w:tc>
          <w:tcPr>
            <w:tcW w:w="120" w:type="dxa"/>
            <w:vAlign w:val="bottom"/>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3160" w:type="dxa"/>
            <w:vAlign w:val="bottom"/>
            <w:gridSpan w:val="2"/>
            <w:vMerge w:val="continue"/>
            <w:shd w:val="clear" w:color="auto" w:fill="CFF0FC"/>
          </w:tcPr>
          <w:p>
            <w:pPr>
              <w:spacing w:after="0"/>
              <w:rPr>
                <w:sz w:val="9"/>
                <w:szCs w:val="9"/>
                <w:color w:val="auto"/>
              </w:rPr>
            </w:pPr>
          </w:p>
        </w:tc>
        <w:tc>
          <w:tcPr>
            <w:tcW w:w="380" w:type="dxa"/>
            <w:vAlign w:val="bottom"/>
            <w:shd w:val="clear" w:color="auto" w:fill="CFF0FC"/>
          </w:tcPr>
          <w:p>
            <w:pPr>
              <w:spacing w:after="0"/>
              <w:rPr>
                <w:sz w:val="9"/>
                <w:szCs w:val="9"/>
                <w:color w:val="auto"/>
              </w:rPr>
            </w:pPr>
          </w:p>
        </w:tc>
        <w:tc>
          <w:tcPr>
            <w:tcW w:w="1520" w:type="dxa"/>
            <w:vAlign w:val="bottom"/>
            <w:shd w:val="clear" w:color="auto" w:fill="CFF0FC"/>
          </w:tcPr>
          <w:p>
            <w:pPr>
              <w:spacing w:after="0"/>
              <w:rPr>
                <w:sz w:val="9"/>
                <w:szCs w:val="9"/>
                <w:color w:val="auto"/>
              </w:rPr>
            </w:pPr>
          </w:p>
        </w:tc>
        <w:tc>
          <w:tcPr>
            <w:tcW w:w="280" w:type="dxa"/>
            <w:vAlign w:val="bottom"/>
            <w:shd w:val="clear" w:color="auto" w:fill="CFF0FC"/>
          </w:tcPr>
          <w:p>
            <w:pPr>
              <w:spacing w:after="0"/>
              <w:rPr>
                <w:sz w:val="9"/>
                <w:szCs w:val="9"/>
                <w:color w:val="auto"/>
              </w:rPr>
            </w:pPr>
          </w:p>
        </w:tc>
        <w:tc>
          <w:tcPr>
            <w:tcW w:w="140" w:type="dxa"/>
            <w:vAlign w:val="bottom"/>
            <w:shd w:val="clear" w:color="auto" w:fill="CFF0FC"/>
          </w:tcPr>
          <w:p>
            <w:pPr>
              <w:spacing w:after="0"/>
              <w:rPr>
                <w:sz w:val="9"/>
                <w:szCs w:val="9"/>
                <w:color w:val="auto"/>
              </w:rPr>
            </w:pPr>
          </w:p>
        </w:tc>
        <w:tc>
          <w:tcPr>
            <w:tcW w:w="1860" w:type="dxa"/>
            <w:vAlign w:val="bottom"/>
            <w:shd w:val="clear" w:color="auto" w:fill="CFF0FC"/>
          </w:tcPr>
          <w:p>
            <w:pPr>
              <w:spacing w:after="0"/>
              <w:rPr>
                <w:sz w:val="9"/>
                <w:szCs w:val="9"/>
                <w:color w:val="auto"/>
              </w:rPr>
            </w:pPr>
          </w:p>
        </w:tc>
        <w:tc>
          <w:tcPr>
            <w:tcW w:w="280" w:type="dxa"/>
            <w:vAlign w:val="bottom"/>
            <w:shd w:val="clear" w:color="auto" w:fill="CFF0FC"/>
          </w:tcPr>
          <w:p>
            <w:pPr>
              <w:spacing w:after="0"/>
              <w:rPr>
                <w:sz w:val="9"/>
                <w:szCs w:val="9"/>
                <w:color w:val="auto"/>
              </w:rPr>
            </w:pPr>
          </w:p>
        </w:tc>
        <w:tc>
          <w:tcPr>
            <w:tcW w:w="240" w:type="dxa"/>
            <w:vAlign w:val="bottom"/>
            <w:shd w:val="clear" w:color="auto" w:fill="CFF0FC"/>
          </w:tcPr>
          <w:p>
            <w:pPr>
              <w:spacing w:after="0"/>
              <w:rPr>
                <w:sz w:val="9"/>
                <w:szCs w:val="9"/>
                <w:color w:val="auto"/>
              </w:rPr>
            </w:pPr>
          </w:p>
        </w:tc>
        <w:tc>
          <w:tcPr>
            <w:tcW w:w="1360" w:type="dxa"/>
            <w:vAlign w:val="bottom"/>
            <w:shd w:val="clear" w:color="auto" w:fill="CFF0FC"/>
          </w:tcPr>
          <w:p>
            <w:pPr>
              <w:spacing w:after="0"/>
              <w:rPr>
                <w:sz w:val="9"/>
                <w:szCs w:val="9"/>
                <w:color w:val="auto"/>
              </w:rPr>
            </w:pPr>
          </w:p>
        </w:tc>
        <w:tc>
          <w:tcPr>
            <w:tcW w:w="300" w:type="dxa"/>
            <w:vAlign w:val="bottom"/>
            <w:shd w:val="clear" w:color="auto" w:fill="CFF0FC"/>
          </w:tcPr>
          <w:p>
            <w:pPr>
              <w:spacing w:after="0"/>
              <w:rPr>
                <w:sz w:val="9"/>
                <w:szCs w:val="9"/>
                <w:color w:val="auto"/>
              </w:rPr>
            </w:pPr>
          </w:p>
        </w:tc>
        <w:tc>
          <w:tcPr>
            <w:tcW w:w="220" w:type="dxa"/>
            <w:vAlign w:val="bottom"/>
            <w:tcBorders>
              <w:bottom w:val="single" w:sz="8" w:color="auto"/>
            </w:tcBorders>
            <w:shd w:val="clear" w:color="auto" w:fill="CFF0FC"/>
          </w:tcPr>
          <w:p>
            <w:pPr>
              <w:spacing w:after="0"/>
              <w:rPr>
                <w:sz w:val="9"/>
                <w:szCs w:val="9"/>
                <w:color w:val="auto"/>
              </w:rPr>
            </w:pPr>
          </w:p>
        </w:tc>
        <w:tc>
          <w:tcPr>
            <w:tcW w:w="1380" w:type="dxa"/>
            <w:vAlign w:val="bottom"/>
            <w:tcBorders>
              <w:bottom w:val="single" w:sz="8" w:color="auto"/>
            </w:tcBorders>
            <w:shd w:val="clear" w:color="auto" w:fill="CFF0FC"/>
          </w:tcPr>
          <w:p>
            <w:pPr>
              <w:spacing w:after="0"/>
              <w:rPr>
                <w:sz w:val="9"/>
                <w:szCs w:val="9"/>
                <w:color w:val="auto"/>
              </w:rPr>
            </w:pPr>
          </w:p>
        </w:tc>
        <w:tc>
          <w:tcPr>
            <w:tcW w:w="120" w:type="dxa"/>
            <w:vAlign w:val="bottom"/>
            <w:shd w:val="clear" w:color="auto" w:fill="CFF0FC"/>
          </w:tcPr>
          <w:p>
            <w:pPr>
              <w:spacing w:after="0"/>
              <w:rPr>
                <w:sz w:val="9"/>
                <w:szCs w:val="9"/>
                <w:color w:val="auto"/>
              </w:rPr>
            </w:pPr>
          </w:p>
        </w:tc>
        <w:tc>
          <w:tcPr>
            <w:tcW w:w="0" w:type="dxa"/>
            <w:vAlign w:val="bottom"/>
          </w:tcPr>
          <w:p>
            <w:pPr>
              <w:spacing w:after="0"/>
              <w:rPr>
                <w:sz w:val="1"/>
                <w:szCs w:val="1"/>
                <w:color w:val="auto"/>
              </w:rPr>
            </w:pPr>
          </w:p>
        </w:tc>
      </w:tr>
      <w:tr>
        <w:trPr>
          <w:trHeight w:val="223"/>
        </w:trPr>
        <w:tc>
          <w:tcPr>
            <w:tcW w:w="3160" w:type="dxa"/>
            <w:vAlign w:val="bottom"/>
            <w:gridSpan w:val="2"/>
          </w:tcPr>
          <w:p>
            <w:pPr>
              <w:spacing w:after="0"/>
              <w:rPr>
                <w:sz w:val="20"/>
                <w:szCs w:val="20"/>
                <w:color w:val="auto"/>
              </w:rPr>
            </w:pPr>
            <w:r>
              <w:rPr>
                <w:rFonts w:ascii="Arial" w:cs="Arial" w:eastAsia="Arial" w:hAnsi="Arial"/>
                <w:sz w:val="18"/>
                <w:szCs w:val="18"/>
                <w:color w:val="auto"/>
              </w:rPr>
              <w:t>Net income</w:t>
            </w:r>
          </w:p>
        </w:tc>
        <w:tc>
          <w:tcPr>
            <w:tcW w:w="38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20" w:type="dxa"/>
            <w:vAlign w:val="bottom"/>
            <w:tcBorders>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52,858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0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60" w:type="dxa"/>
            <w:vAlign w:val="bottom"/>
            <w:vMerge w:val="restart"/>
          </w:tcPr>
          <w:p>
            <w:pPr>
              <w:jc w:val="right"/>
              <w:ind w:right="1530"/>
              <w:spacing w:after="0"/>
              <w:rPr>
                <w:sz w:val="20"/>
                <w:szCs w:val="20"/>
                <w:color w:val="auto"/>
              </w:rPr>
            </w:pPr>
            <w:r>
              <w:rPr>
                <w:rFonts w:ascii="Arial" w:cs="Arial" w:eastAsia="Arial" w:hAnsi="Arial"/>
                <w:sz w:val="18"/>
                <w:szCs w:val="18"/>
                <w:color w:val="auto"/>
              </w:rPr>
              <w:t>23</w:t>
            </w: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6"/>
        </w:trPr>
        <w:tc>
          <w:tcPr>
            <w:tcW w:w="30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6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300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380" w:type="dxa"/>
            <w:vAlign w:val="bottom"/>
            <w:tcBorders>
              <w:bottom w:val="single" w:sz="8" w:color="9A9A9A"/>
            </w:tcBorders>
          </w:tcPr>
          <w:p>
            <w:pPr>
              <w:spacing w:after="0"/>
              <w:rPr>
                <w:sz w:val="10"/>
                <w:szCs w:val="10"/>
                <w:color w:val="auto"/>
              </w:rPr>
            </w:pPr>
          </w:p>
        </w:tc>
        <w:tc>
          <w:tcPr>
            <w:tcW w:w="1520" w:type="dxa"/>
            <w:vAlign w:val="bottom"/>
            <w:tcBorders>
              <w:bottom w:val="single" w:sz="8" w:color="9A9A9A"/>
            </w:tcBorders>
          </w:tcPr>
          <w:p>
            <w:pPr>
              <w:spacing w:after="0"/>
              <w:rPr>
                <w:sz w:val="10"/>
                <w:szCs w:val="10"/>
                <w:color w:val="auto"/>
              </w:rPr>
            </w:pPr>
          </w:p>
        </w:tc>
        <w:tc>
          <w:tcPr>
            <w:tcW w:w="28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1860" w:type="dxa"/>
            <w:vAlign w:val="bottom"/>
            <w:tcBorders>
              <w:bottom w:val="single" w:sz="8" w:color="9A9A9A"/>
            </w:tcBorders>
          </w:tcPr>
          <w:p>
            <w:pPr>
              <w:spacing w:after="0"/>
              <w:rPr>
                <w:sz w:val="10"/>
                <w:szCs w:val="10"/>
                <w:color w:val="auto"/>
              </w:rPr>
            </w:pPr>
          </w:p>
        </w:tc>
        <w:tc>
          <w:tcPr>
            <w:tcW w:w="28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136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138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23" w:name="page24"/>
    <w:bookmarkEnd w:id="23"/>
    <w:tbl>
      <w:tblPr>
        <w:tblLayout w:type="fixed"/>
        <w:tblInd w:w="0" w:type="dxa"/>
        <w:tblCellMar>
          <w:top w:w="0" w:type="dxa"/>
          <w:left w:w="0" w:type="dxa"/>
          <w:bottom w:w="0" w:type="dxa"/>
          <w:right w:w="0" w:type="dxa"/>
        </w:tblCellMar>
      </w:tblPr>
      <w:tr>
        <w:trPr>
          <w:trHeight w:val="207"/>
        </w:trPr>
        <w:tc>
          <w:tcPr>
            <w:tcW w:w="3080" w:type="dxa"/>
            <w:vAlign w:val="bottom"/>
            <w:gridSpan w:val="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Table of Contents</w:t>
              </w:r>
            </w:hyperlink>
          </w:p>
        </w:tc>
        <w:tc>
          <w:tcPr>
            <w:tcW w:w="1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9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912"/>
        </w:trPr>
        <w:tc>
          <w:tcPr>
            <w:tcW w:w="1280" w:type="dxa"/>
            <w:vAlign w:val="bottom"/>
            <w:tcBorders>
              <w:top w:val="single" w:sz="8" w:color="0000EE"/>
            </w:tcBorders>
          </w:tcPr>
          <w:p>
            <w:pPr>
              <w:spacing w:after="0"/>
              <w:rPr>
                <w:sz w:val="24"/>
                <w:szCs w:val="24"/>
                <w:color w:val="auto"/>
              </w:rPr>
            </w:pPr>
          </w:p>
        </w:tc>
        <w:tc>
          <w:tcPr>
            <w:tcW w:w="18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4140" w:type="dxa"/>
            <w:vAlign w:val="bottom"/>
            <w:tcBorders>
              <w:bottom w:val="single" w:sz="8" w:color="auto"/>
            </w:tcBorders>
            <w:gridSpan w:val="5"/>
          </w:tcPr>
          <w:p>
            <w:pPr>
              <w:jc w:val="right"/>
              <w:ind w:right="860"/>
              <w:spacing w:after="0"/>
              <w:rPr>
                <w:sz w:val="20"/>
                <w:szCs w:val="20"/>
                <w:color w:val="auto"/>
              </w:rPr>
            </w:pPr>
            <w:r>
              <w:rPr>
                <w:rFonts w:ascii="Arial" w:cs="Arial" w:eastAsia="Arial" w:hAnsi="Arial"/>
                <w:sz w:val="18"/>
                <w:szCs w:val="18"/>
                <w:b w:val="1"/>
                <w:bCs w:val="1"/>
                <w:color w:val="auto"/>
              </w:rPr>
              <w:t>Three Months Ended March 31, 2021</w:t>
            </w:r>
          </w:p>
        </w:tc>
        <w:tc>
          <w:tcPr>
            <w:tcW w:w="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280" w:type="dxa"/>
            <w:vAlign w:val="bottom"/>
          </w:tcPr>
          <w:p>
            <w:pPr>
              <w:spacing w:after="0"/>
              <w:rPr>
                <w:sz w:val="17"/>
                <w:szCs w:val="17"/>
                <w:color w:val="auto"/>
              </w:rPr>
            </w:pPr>
          </w:p>
        </w:tc>
        <w:tc>
          <w:tcPr>
            <w:tcW w:w="18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9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20" w:type="dxa"/>
            <w:vAlign w:val="bottom"/>
          </w:tcPr>
          <w:p>
            <w:pPr>
              <w:jc w:val="right"/>
              <w:ind w:right="330"/>
              <w:spacing w:after="0" w:line="205" w:lineRule="exact"/>
              <w:rPr>
                <w:sz w:val="20"/>
                <w:szCs w:val="20"/>
                <w:color w:val="auto"/>
              </w:rPr>
            </w:pPr>
            <w:r>
              <w:rPr>
                <w:rFonts w:ascii="Arial" w:cs="Arial" w:eastAsia="Arial" w:hAnsi="Arial"/>
                <w:sz w:val="18"/>
                <w:szCs w:val="18"/>
                <w:b w:val="1"/>
                <w:bCs w:val="1"/>
                <w:color w:val="auto"/>
              </w:rPr>
              <w:t>Subtotal of</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080" w:type="dxa"/>
            <w:vAlign w:val="bottom"/>
            <w:gridSpan w:val="2"/>
          </w:tcPr>
          <w:p>
            <w:pPr>
              <w:spacing w:after="0"/>
              <w:rPr>
                <w:sz w:val="20"/>
                <w:szCs w:val="20"/>
                <w:color w:val="auto"/>
              </w:rPr>
            </w:pPr>
            <w:r>
              <w:rPr>
                <w:rFonts w:ascii="Arial" w:cs="Arial" w:eastAsia="Arial" w:hAnsi="Arial"/>
                <w:sz w:val="18"/>
                <w:szCs w:val="18"/>
                <w:color w:val="auto"/>
              </w:rPr>
              <w:t>(Thousands)</w:t>
            </w:r>
          </w:p>
        </w:tc>
        <w:tc>
          <w:tcPr>
            <w:tcW w:w="1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320" w:type="dxa"/>
            <w:vAlign w:val="bottom"/>
          </w:tcPr>
          <w:p>
            <w:pPr>
              <w:jc w:val="right"/>
              <w:ind w:right="430"/>
              <w:spacing w:after="0"/>
              <w:rPr>
                <w:sz w:val="20"/>
                <w:szCs w:val="20"/>
                <w:color w:val="auto"/>
              </w:rPr>
            </w:pPr>
            <w:r>
              <w:rPr>
                <w:rFonts w:ascii="Arial" w:cs="Arial" w:eastAsia="Arial" w:hAnsi="Arial"/>
                <w:sz w:val="18"/>
                <w:szCs w:val="18"/>
                <w:b w:val="1"/>
                <w:bCs w:val="1"/>
                <w:color w:val="auto"/>
              </w:rPr>
              <w:t>Leasing</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900" w:type="dxa"/>
            <w:vAlign w:val="bottom"/>
          </w:tcPr>
          <w:p>
            <w:pPr>
              <w:jc w:val="right"/>
              <w:ind w:right="170"/>
              <w:spacing w:after="0"/>
              <w:rPr>
                <w:sz w:val="20"/>
                <w:szCs w:val="20"/>
                <w:color w:val="auto"/>
              </w:rPr>
            </w:pPr>
            <w:r>
              <w:rPr>
                <w:rFonts w:ascii="Arial" w:cs="Arial" w:eastAsia="Arial" w:hAnsi="Arial"/>
                <w:sz w:val="18"/>
                <w:szCs w:val="18"/>
                <w:b w:val="1"/>
                <w:bCs w:val="1"/>
                <w:color w:val="auto"/>
                <w:w w:val="97"/>
              </w:rPr>
              <w:t>Fiber Infrastructure</w:t>
            </w: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700" w:type="dxa"/>
            <w:vAlign w:val="bottom"/>
            <w:gridSpan w:val="2"/>
          </w:tcPr>
          <w:p>
            <w:pPr>
              <w:jc w:val="right"/>
              <w:ind w:right="740"/>
              <w:spacing w:after="0"/>
              <w:rPr>
                <w:sz w:val="20"/>
                <w:szCs w:val="20"/>
                <w:color w:val="auto"/>
              </w:rPr>
            </w:pPr>
            <w:r>
              <w:rPr>
                <w:rFonts w:ascii="Arial" w:cs="Arial" w:eastAsia="Arial" w:hAnsi="Arial"/>
                <w:sz w:val="18"/>
                <w:szCs w:val="18"/>
                <w:b w:val="1"/>
                <w:bCs w:val="1"/>
                <w:color w:val="auto"/>
              </w:rPr>
              <w:t>Corporate</w:t>
            </w:r>
          </w:p>
        </w:tc>
        <w:tc>
          <w:tcPr>
            <w:tcW w:w="20" w:type="dxa"/>
            <w:vAlign w:val="bottom"/>
          </w:tcPr>
          <w:p>
            <w:pPr>
              <w:spacing w:after="0"/>
              <w:rPr>
                <w:sz w:val="20"/>
                <w:szCs w:val="20"/>
                <w:color w:val="auto"/>
              </w:rPr>
            </w:pPr>
          </w:p>
        </w:tc>
        <w:tc>
          <w:tcPr>
            <w:tcW w:w="1740" w:type="dxa"/>
            <w:vAlign w:val="bottom"/>
            <w:gridSpan w:val="3"/>
          </w:tcPr>
          <w:p>
            <w:pPr>
              <w:spacing w:after="0"/>
              <w:rPr>
                <w:sz w:val="20"/>
                <w:szCs w:val="20"/>
                <w:color w:val="auto"/>
              </w:rPr>
            </w:pPr>
            <w:r>
              <w:rPr>
                <w:rFonts w:ascii="Arial" w:cs="Arial" w:eastAsia="Arial" w:hAnsi="Arial"/>
                <w:sz w:val="18"/>
                <w:szCs w:val="18"/>
                <w:b w:val="1"/>
                <w:bCs w:val="1"/>
                <w:color w:val="auto"/>
                <w:w w:val="92"/>
              </w:rPr>
              <w:t>Reportable Segments</w:t>
            </w:r>
          </w:p>
        </w:tc>
        <w:tc>
          <w:tcPr>
            <w:tcW w:w="0" w:type="dxa"/>
            <w:vAlign w:val="bottom"/>
          </w:tcPr>
          <w:p>
            <w:pPr>
              <w:spacing w:after="0"/>
              <w:rPr>
                <w:sz w:val="1"/>
                <w:szCs w:val="1"/>
                <w:color w:val="auto"/>
              </w:rPr>
            </w:pPr>
          </w:p>
        </w:tc>
      </w:tr>
      <w:tr>
        <w:trPr>
          <w:trHeight w:val="223"/>
        </w:trPr>
        <w:tc>
          <w:tcPr>
            <w:tcW w:w="3080" w:type="dxa"/>
            <w:vAlign w:val="bottom"/>
            <w:tcBorders>
              <w:top w:val="single" w:sz="8" w:color="auto"/>
            </w:tcBorders>
            <w:gridSpan w:val="2"/>
            <w:shd w:val="clear" w:color="auto" w:fill="CFF0FC"/>
          </w:tcPr>
          <w:p>
            <w:pPr>
              <w:spacing w:after="0"/>
              <w:rPr>
                <w:sz w:val="20"/>
                <w:szCs w:val="20"/>
                <w:color w:val="auto"/>
              </w:rPr>
            </w:pPr>
            <w:r>
              <w:rPr>
                <w:rFonts w:ascii="Arial" w:cs="Arial" w:eastAsia="Arial" w:hAnsi="Arial"/>
                <w:sz w:val="18"/>
                <w:szCs w:val="18"/>
                <w:color w:val="auto"/>
              </w:rPr>
              <w:t>Revenues</w:t>
            </w:r>
          </w:p>
        </w:tc>
        <w:tc>
          <w:tcPr>
            <w:tcW w:w="180" w:type="dxa"/>
            <w:vAlign w:val="bottom"/>
            <w:tcBorders>
              <w:top w:val="single" w:sz="8" w:color="CFF0FC"/>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13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194,936</w:t>
            </w:r>
          </w:p>
        </w:tc>
        <w:tc>
          <w:tcPr>
            <w:tcW w:w="30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jc w:val="right"/>
              <w:ind w:right="7"/>
              <w:spacing w:after="0"/>
              <w:rPr>
                <w:sz w:val="20"/>
                <w:szCs w:val="20"/>
                <w:color w:val="auto"/>
              </w:rPr>
            </w:pPr>
            <w:r>
              <w:rPr>
                <w:rFonts w:ascii="Arial" w:cs="Arial" w:eastAsia="Arial" w:hAnsi="Arial"/>
                <w:sz w:val="15"/>
                <w:szCs w:val="15"/>
                <w:color w:val="auto"/>
                <w:w w:val="71"/>
              </w:rPr>
              <w:t>$</w:t>
            </w:r>
          </w:p>
        </w:tc>
        <w:tc>
          <w:tcPr>
            <w:tcW w:w="19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77,650</w:t>
            </w:r>
          </w:p>
        </w:tc>
        <w:tc>
          <w:tcPr>
            <w:tcW w:w="28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4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3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14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272,586</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280" w:type="dxa"/>
            <w:vAlign w:val="bottom"/>
          </w:tcPr>
          <w:p>
            <w:pPr>
              <w:spacing w:after="0"/>
              <w:rPr>
                <w:sz w:val="19"/>
                <w:szCs w:val="19"/>
                <w:color w:val="auto"/>
              </w:rPr>
            </w:pPr>
          </w:p>
        </w:tc>
        <w:tc>
          <w:tcPr>
            <w:tcW w:w="18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9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08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Adjusted EBITDA</w:t>
            </w:r>
          </w:p>
        </w:tc>
        <w:tc>
          <w:tcPr>
            <w:tcW w:w="480" w:type="dxa"/>
            <w:vAlign w:val="bottom"/>
            <w:gridSpan w:val="2"/>
            <w:shd w:val="clear" w:color="auto" w:fill="CFF0FC"/>
          </w:tcPr>
          <w:p>
            <w:pPr>
              <w:jc w:val="right"/>
              <w:ind w:right="110"/>
              <w:spacing w:after="0"/>
              <w:rPr>
                <w:sz w:val="20"/>
                <w:szCs w:val="20"/>
                <w:color w:val="auto"/>
              </w:rPr>
            </w:pPr>
            <w:r>
              <w:rPr>
                <w:rFonts w:ascii="Arial" w:cs="Arial" w:eastAsia="Arial" w:hAnsi="Arial"/>
                <w:sz w:val="18"/>
                <w:szCs w:val="18"/>
                <w:color w:val="auto"/>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191,497</w:t>
            </w:r>
          </w:p>
        </w:tc>
        <w:tc>
          <w:tcPr>
            <w:tcW w:w="460" w:type="dxa"/>
            <w:vAlign w:val="bottom"/>
            <w:gridSpan w:val="2"/>
            <w:shd w:val="clear" w:color="auto" w:fill="CFF0FC"/>
          </w:tcPr>
          <w:p>
            <w:pPr>
              <w:jc w:val="right"/>
              <w:ind w:right="7"/>
              <w:spacing w:after="0"/>
              <w:rPr>
                <w:sz w:val="20"/>
                <w:szCs w:val="20"/>
                <w:color w:val="auto"/>
              </w:rPr>
            </w:pPr>
            <w:r>
              <w:rPr>
                <w:rFonts w:ascii="Arial" w:cs="Arial" w:eastAsia="Arial" w:hAnsi="Arial"/>
                <w:sz w:val="18"/>
                <w:szCs w:val="18"/>
                <w:color w:val="auto"/>
              </w:rPr>
              <w:t>$</w:t>
            </w:r>
          </w:p>
        </w:tc>
        <w:tc>
          <w:tcPr>
            <w:tcW w:w="1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29,721</w:t>
            </w:r>
          </w:p>
        </w:tc>
        <w:tc>
          <w:tcPr>
            <w:tcW w:w="540" w:type="dxa"/>
            <w:vAlign w:val="bottom"/>
            <w:gridSpan w:val="2"/>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170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(6,970)</w:t>
            </w:r>
          </w:p>
        </w:tc>
        <w:tc>
          <w:tcPr>
            <w:tcW w:w="24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w:t>
            </w:r>
          </w:p>
        </w:tc>
        <w:tc>
          <w:tcPr>
            <w:tcW w:w="14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214,248</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080" w:type="dxa"/>
            <w:vAlign w:val="bottom"/>
            <w:gridSpan w:val="2"/>
          </w:tcPr>
          <w:p>
            <w:pPr>
              <w:spacing w:after="0"/>
              <w:rPr>
                <w:sz w:val="20"/>
                <w:szCs w:val="20"/>
                <w:color w:val="auto"/>
              </w:rPr>
            </w:pPr>
            <w:r>
              <w:rPr>
                <w:rFonts w:ascii="Arial" w:cs="Arial" w:eastAsia="Arial" w:hAnsi="Arial"/>
                <w:sz w:val="18"/>
                <w:szCs w:val="18"/>
                <w:color w:val="auto"/>
              </w:rPr>
              <w:t>Less:</w:t>
            </w:r>
          </w:p>
        </w:tc>
        <w:tc>
          <w:tcPr>
            <w:tcW w:w="1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9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08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rPr>
              <w:t>Interest expense</w:t>
            </w:r>
          </w:p>
        </w:tc>
        <w:tc>
          <w:tcPr>
            <w:tcW w:w="1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9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4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140,581</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080" w:type="dxa"/>
            <w:vAlign w:val="bottom"/>
            <w:gridSpan w:val="2"/>
          </w:tcPr>
          <w:p>
            <w:pPr>
              <w:ind w:left="140"/>
              <w:spacing w:after="0"/>
              <w:rPr>
                <w:sz w:val="20"/>
                <w:szCs w:val="20"/>
                <w:color w:val="auto"/>
              </w:rPr>
            </w:pPr>
            <w:r>
              <w:rPr>
                <w:rFonts w:ascii="Arial" w:cs="Arial" w:eastAsia="Arial" w:hAnsi="Arial"/>
                <w:sz w:val="18"/>
                <w:szCs w:val="18"/>
                <w:color w:val="auto"/>
              </w:rPr>
              <w:t>Depreciation and amortization</w:t>
            </w:r>
          </w:p>
        </w:tc>
        <w:tc>
          <w:tcPr>
            <w:tcW w:w="1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42,226</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28,670</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68</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70,964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08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rPr>
              <w:t>Other, net</w:t>
            </w:r>
          </w:p>
        </w:tc>
        <w:tc>
          <w:tcPr>
            <w:tcW w:w="1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9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4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1,318</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080" w:type="dxa"/>
            <w:vAlign w:val="bottom"/>
            <w:gridSpan w:val="2"/>
          </w:tcPr>
          <w:p>
            <w:pPr>
              <w:ind w:left="140"/>
              <w:spacing w:after="0"/>
              <w:rPr>
                <w:sz w:val="20"/>
                <w:szCs w:val="20"/>
                <w:color w:val="auto"/>
              </w:rPr>
            </w:pPr>
            <w:r>
              <w:rPr>
                <w:rFonts w:ascii="Arial" w:cs="Arial" w:eastAsia="Arial" w:hAnsi="Arial"/>
                <w:sz w:val="18"/>
                <w:szCs w:val="18"/>
                <w:color w:val="auto"/>
              </w:rPr>
              <w:t>Transaction related and other costs</w:t>
            </w:r>
          </w:p>
        </w:tc>
        <w:tc>
          <w:tcPr>
            <w:tcW w:w="1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9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4,137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08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rPr>
              <w:t>Stock-based compensation</w:t>
            </w:r>
          </w:p>
        </w:tc>
        <w:tc>
          <w:tcPr>
            <w:tcW w:w="1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9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4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3,335</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080" w:type="dxa"/>
            <w:vAlign w:val="bottom"/>
            <w:gridSpan w:val="2"/>
          </w:tcPr>
          <w:p>
            <w:pPr>
              <w:ind w:left="140"/>
              <w:spacing w:after="0"/>
              <w:rPr>
                <w:sz w:val="20"/>
                <w:szCs w:val="20"/>
                <w:color w:val="auto"/>
              </w:rPr>
            </w:pPr>
            <w:r>
              <w:rPr>
                <w:rFonts w:ascii="Arial" w:cs="Arial" w:eastAsia="Arial" w:hAnsi="Arial"/>
                <w:sz w:val="18"/>
                <w:szCs w:val="18"/>
                <w:color w:val="auto"/>
              </w:rPr>
              <w:t>Income tax benefit</w:t>
            </w:r>
          </w:p>
        </w:tc>
        <w:tc>
          <w:tcPr>
            <w:tcW w:w="1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9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20" w:type="dxa"/>
            <w:vAlign w:val="bottom"/>
            <w:gridSpan w:val="2"/>
          </w:tcPr>
          <w:p>
            <w:pPr>
              <w:jc w:val="right"/>
              <w:ind w:right="40"/>
              <w:spacing w:after="0"/>
              <w:rPr>
                <w:sz w:val="20"/>
                <w:szCs w:val="20"/>
                <w:color w:val="auto"/>
              </w:rPr>
            </w:pPr>
            <w:r>
              <w:rPr>
                <w:rFonts w:ascii="Arial" w:cs="Arial" w:eastAsia="Arial" w:hAnsi="Arial"/>
                <w:sz w:val="18"/>
                <w:szCs w:val="18"/>
                <w:color w:val="auto"/>
              </w:rPr>
              <w:t>(2,557)</w:t>
            </w:r>
          </w:p>
        </w:tc>
        <w:tc>
          <w:tcPr>
            <w:tcW w:w="0" w:type="dxa"/>
            <w:vAlign w:val="bottom"/>
          </w:tcPr>
          <w:p>
            <w:pPr>
              <w:spacing w:after="0"/>
              <w:rPr>
                <w:sz w:val="1"/>
                <w:szCs w:val="1"/>
                <w:color w:val="auto"/>
              </w:rPr>
            </w:pPr>
          </w:p>
        </w:tc>
      </w:tr>
      <w:tr>
        <w:trPr>
          <w:trHeight w:val="215"/>
        </w:trPr>
        <w:tc>
          <w:tcPr>
            <w:tcW w:w="308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w w:val="93"/>
              </w:rPr>
              <w:t>Adjustments for equity in earnings from</w:t>
            </w:r>
          </w:p>
        </w:tc>
        <w:tc>
          <w:tcPr>
            <w:tcW w:w="18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32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90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4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420" w:type="dxa"/>
            <w:vAlign w:val="bottom"/>
            <w:vMerge w:val="restart"/>
            <w:shd w:val="clear" w:color="auto" w:fill="CFF0FC"/>
          </w:tcPr>
          <w:p>
            <w:pPr>
              <w:jc w:val="right"/>
              <w:spacing w:after="0"/>
              <w:rPr>
                <w:sz w:val="20"/>
                <w:szCs w:val="20"/>
                <w:color w:val="auto"/>
              </w:rPr>
            </w:pPr>
            <w:r>
              <w:rPr>
                <w:rFonts w:ascii="Arial" w:cs="Arial" w:eastAsia="Arial" w:hAnsi="Arial"/>
                <w:sz w:val="18"/>
                <w:szCs w:val="18"/>
                <w:color w:val="auto"/>
              </w:rPr>
              <w:t>972</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122"/>
        </w:trPr>
        <w:tc>
          <w:tcPr>
            <w:tcW w:w="3080" w:type="dxa"/>
            <w:vAlign w:val="bottom"/>
            <w:gridSpan w:val="2"/>
            <w:vMerge w:val="restart"/>
            <w:shd w:val="clear" w:color="auto" w:fill="CFF0FC"/>
          </w:tcPr>
          <w:p>
            <w:pPr>
              <w:ind w:left="140"/>
              <w:spacing w:after="0"/>
              <w:rPr>
                <w:sz w:val="20"/>
                <w:szCs w:val="20"/>
                <w:color w:val="auto"/>
              </w:rPr>
            </w:pPr>
            <w:r>
              <w:rPr>
                <w:rFonts w:ascii="Arial" w:cs="Arial" w:eastAsia="Arial" w:hAnsi="Arial"/>
                <w:sz w:val="18"/>
                <w:szCs w:val="18"/>
                <w:color w:val="auto"/>
              </w:rPr>
              <w:t>unconsolidated entities</w:t>
            </w:r>
          </w:p>
        </w:tc>
        <w:tc>
          <w:tcPr>
            <w:tcW w:w="180" w:type="dxa"/>
            <w:vAlign w:val="bottom"/>
            <w:shd w:val="clear" w:color="auto" w:fill="CFF0FC"/>
          </w:tcPr>
          <w:p>
            <w:pPr>
              <w:spacing w:after="0"/>
              <w:rPr>
                <w:sz w:val="10"/>
                <w:szCs w:val="10"/>
                <w:color w:val="auto"/>
              </w:rPr>
            </w:pPr>
          </w:p>
        </w:tc>
        <w:tc>
          <w:tcPr>
            <w:tcW w:w="300" w:type="dxa"/>
            <w:vAlign w:val="bottom"/>
            <w:shd w:val="clear" w:color="auto" w:fill="CFF0FC"/>
          </w:tcPr>
          <w:p>
            <w:pPr>
              <w:spacing w:after="0"/>
              <w:rPr>
                <w:sz w:val="10"/>
                <w:szCs w:val="10"/>
                <w:color w:val="auto"/>
              </w:rPr>
            </w:pPr>
          </w:p>
        </w:tc>
        <w:tc>
          <w:tcPr>
            <w:tcW w:w="1320" w:type="dxa"/>
            <w:vAlign w:val="bottom"/>
            <w:shd w:val="clear" w:color="auto" w:fill="CFF0FC"/>
          </w:tcPr>
          <w:p>
            <w:pPr>
              <w:spacing w:after="0"/>
              <w:rPr>
                <w:sz w:val="10"/>
                <w:szCs w:val="10"/>
                <w:color w:val="auto"/>
              </w:rPr>
            </w:pPr>
          </w:p>
        </w:tc>
        <w:tc>
          <w:tcPr>
            <w:tcW w:w="300" w:type="dxa"/>
            <w:vAlign w:val="bottom"/>
            <w:shd w:val="clear" w:color="auto" w:fill="CFF0FC"/>
          </w:tcPr>
          <w:p>
            <w:pPr>
              <w:spacing w:after="0"/>
              <w:rPr>
                <w:sz w:val="10"/>
                <w:szCs w:val="10"/>
                <w:color w:val="auto"/>
              </w:rPr>
            </w:pPr>
          </w:p>
        </w:tc>
        <w:tc>
          <w:tcPr>
            <w:tcW w:w="160" w:type="dxa"/>
            <w:vAlign w:val="bottom"/>
            <w:shd w:val="clear" w:color="auto" w:fill="CFF0FC"/>
          </w:tcPr>
          <w:p>
            <w:pPr>
              <w:spacing w:after="0"/>
              <w:rPr>
                <w:sz w:val="10"/>
                <w:szCs w:val="10"/>
                <w:color w:val="auto"/>
              </w:rPr>
            </w:pPr>
          </w:p>
        </w:tc>
        <w:tc>
          <w:tcPr>
            <w:tcW w:w="1900" w:type="dxa"/>
            <w:vAlign w:val="bottom"/>
            <w:shd w:val="clear" w:color="auto" w:fill="CFF0FC"/>
          </w:tcPr>
          <w:p>
            <w:pPr>
              <w:spacing w:after="0"/>
              <w:rPr>
                <w:sz w:val="10"/>
                <w:szCs w:val="10"/>
                <w:color w:val="auto"/>
              </w:rPr>
            </w:pPr>
          </w:p>
        </w:tc>
        <w:tc>
          <w:tcPr>
            <w:tcW w:w="280" w:type="dxa"/>
            <w:vAlign w:val="bottom"/>
            <w:shd w:val="clear" w:color="auto" w:fill="CFF0FC"/>
          </w:tcPr>
          <w:p>
            <w:pPr>
              <w:spacing w:after="0"/>
              <w:rPr>
                <w:sz w:val="10"/>
                <w:szCs w:val="10"/>
                <w:color w:val="auto"/>
              </w:rPr>
            </w:pPr>
          </w:p>
        </w:tc>
        <w:tc>
          <w:tcPr>
            <w:tcW w:w="260" w:type="dxa"/>
            <w:vAlign w:val="bottom"/>
            <w:shd w:val="clear" w:color="auto" w:fill="CFF0FC"/>
          </w:tcPr>
          <w:p>
            <w:pPr>
              <w:spacing w:after="0"/>
              <w:rPr>
                <w:sz w:val="10"/>
                <w:szCs w:val="10"/>
                <w:color w:val="auto"/>
              </w:rPr>
            </w:pPr>
          </w:p>
        </w:tc>
        <w:tc>
          <w:tcPr>
            <w:tcW w:w="1400" w:type="dxa"/>
            <w:vAlign w:val="bottom"/>
            <w:shd w:val="clear" w:color="auto" w:fill="CFF0FC"/>
          </w:tcPr>
          <w:p>
            <w:pPr>
              <w:spacing w:after="0"/>
              <w:rPr>
                <w:sz w:val="10"/>
                <w:szCs w:val="10"/>
                <w:color w:val="auto"/>
              </w:rPr>
            </w:pPr>
          </w:p>
        </w:tc>
        <w:tc>
          <w:tcPr>
            <w:tcW w:w="300" w:type="dxa"/>
            <w:vAlign w:val="bottom"/>
            <w:shd w:val="clear" w:color="auto" w:fill="CFF0FC"/>
          </w:tcPr>
          <w:p>
            <w:pPr>
              <w:spacing w:after="0"/>
              <w:rPr>
                <w:sz w:val="10"/>
                <w:szCs w:val="10"/>
                <w:color w:val="auto"/>
              </w:rPr>
            </w:pPr>
          </w:p>
        </w:tc>
        <w:tc>
          <w:tcPr>
            <w:tcW w:w="20" w:type="dxa"/>
            <w:vAlign w:val="bottom"/>
            <w:shd w:val="clear" w:color="auto" w:fill="CFF0FC"/>
          </w:tcPr>
          <w:p>
            <w:pPr>
              <w:spacing w:after="0"/>
              <w:rPr>
                <w:sz w:val="10"/>
                <w:szCs w:val="10"/>
                <w:color w:val="auto"/>
              </w:rPr>
            </w:pPr>
          </w:p>
        </w:tc>
        <w:tc>
          <w:tcPr>
            <w:tcW w:w="220" w:type="dxa"/>
            <w:vAlign w:val="bottom"/>
            <w:shd w:val="clear" w:color="auto" w:fill="CFF0FC"/>
          </w:tcPr>
          <w:p>
            <w:pPr>
              <w:spacing w:after="0"/>
              <w:rPr>
                <w:sz w:val="10"/>
                <w:szCs w:val="10"/>
                <w:color w:val="auto"/>
              </w:rPr>
            </w:pPr>
          </w:p>
        </w:tc>
        <w:tc>
          <w:tcPr>
            <w:tcW w:w="1420" w:type="dxa"/>
            <w:vAlign w:val="bottom"/>
            <w:vMerge w:val="continue"/>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3080" w:type="dxa"/>
            <w:vAlign w:val="bottom"/>
            <w:gridSpan w:val="2"/>
            <w:vMerge w:val="continue"/>
            <w:shd w:val="clear" w:color="auto" w:fill="CFF0FC"/>
          </w:tcPr>
          <w:p>
            <w:pPr>
              <w:spacing w:after="0"/>
              <w:rPr>
                <w:sz w:val="9"/>
                <w:szCs w:val="9"/>
                <w:color w:val="auto"/>
              </w:rPr>
            </w:pPr>
          </w:p>
        </w:tc>
        <w:tc>
          <w:tcPr>
            <w:tcW w:w="180" w:type="dxa"/>
            <w:vAlign w:val="bottom"/>
            <w:shd w:val="clear" w:color="auto" w:fill="CFF0FC"/>
          </w:tcPr>
          <w:p>
            <w:pPr>
              <w:spacing w:after="0"/>
              <w:rPr>
                <w:sz w:val="9"/>
                <w:szCs w:val="9"/>
                <w:color w:val="auto"/>
              </w:rPr>
            </w:pPr>
          </w:p>
        </w:tc>
        <w:tc>
          <w:tcPr>
            <w:tcW w:w="300" w:type="dxa"/>
            <w:vAlign w:val="bottom"/>
            <w:shd w:val="clear" w:color="auto" w:fill="CFF0FC"/>
          </w:tcPr>
          <w:p>
            <w:pPr>
              <w:spacing w:after="0"/>
              <w:rPr>
                <w:sz w:val="9"/>
                <w:szCs w:val="9"/>
                <w:color w:val="auto"/>
              </w:rPr>
            </w:pPr>
          </w:p>
        </w:tc>
        <w:tc>
          <w:tcPr>
            <w:tcW w:w="1320" w:type="dxa"/>
            <w:vAlign w:val="bottom"/>
            <w:shd w:val="clear" w:color="auto" w:fill="CFF0FC"/>
          </w:tcPr>
          <w:p>
            <w:pPr>
              <w:spacing w:after="0"/>
              <w:rPr>
                <w:sz w:val="9"/>
                <w:szCs w:val="9"/>
                <w:color w:val="auto"/>
              </w:rPr>
            </w:pPr>
          </w:p>
        </w:tc>
        <w:tc>
          <w:tcPr>
            <w:tcW w:w="300" w:type="dxa"/>
            <w:vAlign w:val="bottom"/>
            <w:shd w:val="clear" w:color="auto" w:fill="CFF0FC"/>
          </w:tcPr>
          <w:p>
            <w:pPr>
              <w:spacing w:after="0"/>
              <w:rPr>
                <w:sz w:val="9"/>
                <w:szCs w:val="9"/>
                <w:color w:val="auto"/>
              </w:rPr>
            </w:pPr>
          </w:p>
        </w:tc>
        <w:tc>
          <w:tcPr>
            <w:tcW w:w="160" w:type="dxa"/>
            <w:vAlign w:val="bottom"/>
            <w:shd w:val="clear" w:color="auto" w:fill="CFF0FC"/>
          </w:tcPr>
          <w:p>
            <w:pPr>
              <w:spacing w:after="0"/>
              <w:rPr>
                <w:sz w:val="9"/>
                <w:szCs w:val="9"/>
                <w:color w:val="auto"/>
              </w:rPr>
            </w:pPr>
          </w:p>
        </w:tc>
        <w:tc>
          <w:tcPr>
            <w:tcW w:w="1900" w:type="dxa"/>
            <w:vAlign w:val="bottom"/>
            <w:shd w:val="clear" w:color="auto" w:fill="CFF0FC"/>
          </w:tcPr>
          <w:p>
            <w:pPr>
              <w:spacing w:after="0"/>
              <w:rPr>
                <w:sz w:val="9"/>
                <w:szCs w:val="9"/>
                <w:color w:val="auto"/>
              </w:rPr>
            </w:pPr>
          </w:p>
        </w:tc>
        <w:tc>
          <w:tcPr>
            <w:tcW w:w="280" w:type="dxa"/>
            <w:vAlign w:val="bottom"/>
            <w:shd w:val="clear" w:color="auto" w:fill="CFF0FC"/>
          </w:tcPr>
          <w:p>
            <w:pPr>
              <w:spacing w:after="0"/>
              <w:rPr>
                <w:sz w:val="9"/>
                <w:szCs w:val="9"/>
                <w:color w:val="auto"/>
              </w:rPr>
            </w:pPr>
          </w:p>
        </w:tc>
        <w:tc>
          <w:tcPr>
            <w:tcW w:w="260" w:type="dxa"/>
            <w:vAlign w:val="bottom"/>
            <w:shd w:val="clear" w:color="auto" w:fill="CFF0FC"/>
          </w:tcPr>
          <w:p>
            <w:pPr>
              <w:spacing w:after="0"/>
              <w:rPr>
                <w:sz w:val="9"/>
                <w:szCs w:val="9"/>
                <w:color w:val="auto"/>
              </w:rPr>
            </w:pPr>
          </w:p>
        </w:tc>
        <w:tc>
          <w:tcPr>
            <w:tcW w:w="1400" w:type="dxa"/>
            <w:vAlign w:val="bottom"/>
            <w:shd w:val="clear" w:color="auto" w:fill="CFF0FC"/>
          </w:tcPr>
          <w:p>
            <w:pPr>
              <w:spacing w:after="0"/>
              <w:rPr>
                <w:sz w:val="9"/>
                <w:szCs w:val="9"/>
                <w:color w:val="auto"/>
              </w:rPr>
            </w:pPr>
          </w:p>
        </w:tc>
        <w:tc>
          <w:tcPr>
            <w:tcW w:w="300" w:type="dxa"/>
            <w:vAlign w:val="bottom"/>
            <w:shd w:val="clear" w:color="auto" w:fill="CFF0FC"/>
          </w:tcPr>
          <w:p>
            <w:pPr>
              <w:spacing w:after="0"/>
              <w:rPr>
                <w:sz w:val="9"/>
                <w:szCs w:val="9"/>
                <w:color w:val="auto"/>
              </w:rPr>
            </w:pPr>
          </w:p>
        </w:tc>
        <w:tc>
          <w:tcPr>
            <w:tcW w:w="20" w:type="dxa"/>
            <w:vAlign w:val="bottom"/>
            <w:shd w:val="clear" w:color="auto" w:fill="CFF0FC"/>
          </w:tcPr>
          <w:p>
            <w:pPr>
              <w:spacing w:after="0"/>
              <w:rPr>
                <w:sz w:val="9"/>
                <w:szCs w:val="9"/>
                <w:color w:val="auto"/>
              </w:rPr>
            </w:pPr>
          </w:p>
        </w:tc>
        <w:tc>
          <w:tcPr>
            <w:tcW w:w="220" w:type="dxa"/>
            <w:vAlign w:val="bottom"/>
            <w:tcBorders>
              <w:bottom w:val="single" w:sz="8" w:color="auto"/>
            </w:tcBorders>
            <w:shd w:val="clear" w:color="auto" w:fill="CFF0FC"/>
          </w:tcPr>
          <w:p>
            <w:pPr>
              <w:spacing w:after="0"/>
              <w:rPr>
                <w:sz w:val="9"/>
                <w:szCs w:val="9"/>
                <w:color w:val="auto"/>
              </w:rPr>
            </w:pPr>
          </w:p>
        </w:tc>
        <w:tc>
          <w:tcPr>
            <w:tcW w:w="1420" w:type="dxa"/>
            <w:vAlign w:val="bottom"/>
            <w:tcBorders>
              <w:bottom w:val="single" w:sz="8" w:color="auto"/>
            </w:tcBorders>
            <w:shd w:val="clear" w:color="auto" w:fill="CFF0FC"/>
          </w:tcPr>
          <w:p>
            <w:pPr>
              <w:spacing w:after="0"/>
              <w:rPr>
                <w:sz w:val="9"/>
                <w:szCs w:val="9"/>
                <w:color w:val="auto"/>
              </w:rPr>
            </w:pPr>
          </w:p>
        </w:tc>
        <w:tc>
          <w:tcPr>
            <w:tcW w:w="100" w:type="dxa"/>
            <w:vAlign w:val="bottom"/>
            <w:shd w:val="clear" w:color="auto" w:fill="CFF0FC"/>
          </w:tcPr>
          <w:p>
            <w:pPr>
              <w:spacing w:after="0"/>
              <w:rPr>
                <w:sz w:val="9"/>
                <w:szCs w:val="9"/>
                <w:color w:val="auto"/>
              </w:rPr>
            </w:pPr>
          </w:p>
        </w:tc>
        <w:tc>
          <w:tcPr>
            <w:tcW w:w="0" w:type="dxa"/>
            <w:vAlign w:val="bottom"/>
          </w:tcPr>
          <w:p>
            <w:pPr>
              <w:spacing w:after="0"/>
              <w:rPr>
                <w:sz w:val="1"/>
                <w:szCs w:val="1"/>
                <w:color w:val="auto"/>
              </w:rPr>
            </w:pPr>
          </w:p>
        </w:tc>
      </w:tr>
      <w:tr>
        <w:trPr>
          <w:trHeight w:val="223"/>
        </w:trPr>
        <w:tc>
          <w:tcPr>
            <w:tcW w:w="3080" w:type="dxa"/>
            <w:vAlign w:val="bottom"/>
            <w:gridSpan w:val="2"/>
          </w:tcPr>
          <w:p>
            <w:pPr>
              <w:spacing w:after="0"/>
              <w:rPr>
                <w:sz w:val="20"/>
                <w:szCs w:val="20"/>
                <w:color w:val="auto"/>
              </w:rPr>
            </w:pPr>
            <w:r>
              <w:rPr>
                <w:rFonts w:ascii="Arial" w:cs="Arial" w:eastAsia="Arial" w:hAnsi="Arial"/>
                <w:sz w:val="18"/>
                <w:szCs w:val="18"/>
                <w:color w:val="auto"/>
              </w:rPr>
              <w:t>Net loss</w:t>
            </w:r>
          </w:p>
        </w:tc>
        <w:tc>
          <w:tcPr>
            <w:tcW w:w="1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9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(4,502)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28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13. Commitments and Contingencies</w:t>
      </w:r>
    </w:p>
    <w:p>
      <w:pPr>
        <w:spacing w:after="0" w:line="229" w:lineRule="exact"/>
        <w:rPr>
          <w:sz w:val="20"/>
          <w:szCs w:val="20"/>
          <w:color w:val="auto"/>
        </w:rPr>
      </w:pPr>
    </w:p>
    <w:p>
      <w:pPr>
        <w:jc w:val="both"/>
        <w:ind w:right="620"/>
        <w:spacing w:after="0" w:line="342" w:lineRule="auto"/>
        <w:rPr>
          <w:sz w:val="20"/>
          <w:szCs w:val="20"/>
          <w:color w:val="auto"/>
        </w:rPr>
      </w:pPr>
      <w:r>
        <w:rPr>
          <w:rFonts w:ascii="Arial" w:cs="Arial" w:eastAsia="Arial" w:hAnsi="Arial"/>
          <w:sz w:val="16"/>
          <w:szCs w:val="16"/>
          <w:color w:val="auto"/>
        </w:rPr>
        <w:t>In the ordinary course of our business, we are subject to claims and administrative proceedings, none of which we believe are material or would be expected to have, individually or in the aggregate, a material adverse effect on our business, financial condition, cash flows or results of operations.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Windstream Commitments</w:t>
      </w:r>
    </w:p>
    <w:p>
      <w:pPr>
        <w:spacing w:after="0" w:line="225" w:lineRule="exact"/>
        <w:rPr>
          <w:sz w:val="20"/>
          <w:szCs w:val="20"/>
          <w:color w:val="auto"/>
        </w:rPr>
      </w:pPr>
    </w:p>
    <w:p>
      <w:pPr>
        <w:ind w:right="120"/>
        <w:spacing w:after="0" w:line="279" w:lineRule="auto"/>
        <w:rPr>
          <w:sz w:val="20"/>
          <w:szCs w:val="20"/>
          <w:color w:val="auto"/>
        </w:rPr>
      </w:pPr>
      <w:r>
        <w:rPr>
          <w:rFonts w:ascii="Arial" w:cs="Arial" w:eastAsia="Arial" w:hAnsi="Arial"/>
          <w:sz w:val="17"/>
          <w:szCs w:val="17"/>
          <w:color w:val="auto"/>
        </w:rPr>
        <w:t>Following the consummation of our settlement agreement with Windstream, including entry into the Windstream Leases, we are obligated to make $490.1 million of cash payments to Windstream in equal installments over 20 consecutive quarters beginning in October 2020, and Uniti may prepay any installments due on or after the first anniversary of the settlement agreement (discounted at a 9% rate). On October 14, 2021, the Company prepaid four installments for a total of $92.9 million. As of March 31, 2022, the Company has made payments totaling $215.4 million.</w:t>
      </w:r>
    </w:p>
    <w:p>
      <w:pPr>
        <w:spacing w:after="0" w:line="171" w:lineRule="exact"/>
        <w:rPr>
          <w:sz w:val="20"/>
          <w:szCs w:val="20"/>
          <w:color w:val="auto"/>
        </w:rPr>
      </w:pPr>
    </w:p>
    <w:p>
      <w:pPr>
        <w:ind w:right="20"/>
        <w:spacing w:after="0" w:line="285" w:lineRule="auto"/>
        <w:rPr>
          <w:sz w:val="20"/>
          <w:szCs w:val="20"/>
          <w:color w:val="auto"/>
        </w:rPr>
      </w:pPr>
      <w:r>
        <w:rPr>
          <w:rFonts w:ascii="Arial" w:cs="Arial" w:eastAsia="Arial" w:hAnsi="Arial"/>
          <w:sz w:val="16"/>
          <w:szCs w:val="16"/>
          <w:color w:val="auto"/>
        </w:rPr>
        <w:t>Further, we are obligated to reimburse Windstream for up to an aggregate of $1.75 billion for certain growth capital improvements in long-term fiber and related assets made by Windstream (“Growth Capital Improvements”) through 2029. Uniti’s reimbursement commitment for Growth Capital Improvements does not require Uniti to reimburse Windstream for maintenance or repair expenditures (except for costs incurred for fiber replacements to the property leased under the competitive local exchange carrier master lease agreement, up to $70 million during the term), and each such reimbursement is subject to underwriting standards. Uniti’s total annual reimbursement commitments for the Growth Capital Improvements under both Windstream Leases (and under separate equipment loan facilities) were limited to $225 million per year in 2021, and are limited to $225 million per year in 2022 through 2024; $175 million per year in 2025 and 2026; and $125 million per year in 2027 through 2029. If the cost incurred by Windstream (or the successor tenant under a Windstream Lease) for Growth Capital Improvements in any calendar year exceeds the annual limit for such calendar year, Windstream (or such tenant, as the case may be) may submit such excess costs for reimbursement in any subsequent year and such excess costs shall be funded from the annual commitment amounts in such subsequent period. In addition, to the extent that reimbursements for Growth Capital Improvements funded in any calendar year during the term is less than the annual limit for such calendar year, the unfunded amount in any calendar year will carry-over and may be added to the annual limits for subsequent calendar years, subject to an annual limit of $250 million in any calendar year. During the three months ended March 31, 2022, Uniti reimbursed $48.2 million of Growth Capital Improvements, of which $29.0 million represented the reimbursement of capital improvements completed in 2021 that were previously classified as tenant funded capital improvements. Upon reimbursement, the Company reduced the unamortized portion of deferred revenue related to these capital improvements and capitalized the difference between the cash provided to Windstream and the unamortized deferred revenue as a lease incentive. This lease incentive, which is $0.9 million and reported within other assets on our Condensed Consolidated Balance Sheets as of March 31, 2022, will be amortized as a reduction to revenue over the initial term of the Windstream Leases.</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ind w:right="60"/>
        <w:spacing w:after="0" w:line="289" w:lineRule="auto"/>
        <w:rPr>
          <w:sz w:val="20"/>
          <w:szCs w:val="20"/>
          <w:color w:val="auto"/>
        </w:rPr>
      </w:pPr>
      <w:r>
        <w:rPr>
          <w:rFonts w:ascii="Arial" w:cs="Arial" w:eastAsia="Arial" w:hAnsi="Arial"/>
          <w:sz w:val="16"/>
          <w:szCs w:val="16"/>
          <w:color w:val="auto"/>
        </w:rPr>
        <w:t>Starting on the first anniversary of each installment of reimbursement for a Growth Capital Improvement, the rent payable by Windstream under the applicable Windstream Lease will increase by an amount equal to 8.0% (the “Rent Rate”) of such installment of reimbursement. The Rent Rate will thereafter increase to 100.5% of the prior Rent Rate on each anniversary of each reimbursement. In the event that the tenant’s interest in either Windstream Lease is transferred by Windstream under the terms thereof (unless transferred to the same transferee), or if Uniti transfers its interests as landlord under either Windstream Lease (unless to the same transferee), the reimbursement rights and obligations will be allocated between the ILEC MLA and the CLEC MLA by Windstream, provided that the maximum that may be allocated to the CLEC MLA following such transfer is $20 million per year. If Uniti fails to reimburse any Growth Capital Improvement reimbursement payment or equipment loan funding request as and when it is required to do so under the terms of the Windstream Leases, and such failure continues for thirty (30) days, then such unreimbursed amounts may be applied as an offset against the rent owed by Windstream under the Windstream Leases (and such amounts will thereafter be treated as if Uniti had reimbursed them).</w:t>
      </w:r>
    </w:p>
    <w:p>
      <w:pPr>
        <w:spacing w:after="0" w:line="166" w:lineRule="exact"/>
        <w:rPr>
          <w:sz w:val="20"/>
          <w:szCs w:val="20"/>
          <w:color w:val="auto"/>
        </w:rPr>
      </w:pPr>
    </w:p>
    <w:p>
      <w:pPr>
        <w:ind w:right="60"/>
        <w:spacing w:after="0" w:line="296" w:lineRule="auto"/>
        <w:rPr>
          <w:sz w:val="20"/>
          <w:szCs w:val="20"/>
          <w:color w:val="auto"/>
        </w:rPr>
      </w:pPr>
      <w:r>
        <w:rPr>
          <w:rFonts w:ascii="Arial" w:cs="Arial" w:eastAsia="Arial" w:hAnsi="Arial"/>
          <w:sz w:val="16"/>
          <w:szCs w:val="16"/>
          <w:color w:val="auto"/>
        </w:rPr>
        <w:t>Uniti and Windstream have entered into separate ILEC and CLEC Equipment Loan and Security Agreements (collectively “Equipment Loan Agreement”) in which Uniti will provide up to $125 million (limited to $25 million in any calendar year) of the $1.75 billion of Growth Capital Improvements commitments discussed above in the form of loans for Windstream to purchase equipment related to network upgrades or to be used in connection with the Windstream Leases. Interest on these loans will accrue at 8% from the date of the borrowing. All equipment financed through the Equipment Loan Agreement is the sole property of Windstream; however, Uniti will receive a first-lien security interest in the equipment purchased with the loans.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Other Litigation</w:t>
      </w:r>
    </w:p>
    <w:p>
      <w:pPr>
        <w:spacing w:after="0" w:line="225"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 xml:space="preserve">On July 3, 2019, SLF Holdings, LLC (“SLF”) filed a complaint against the Company, Uniti Fiber, and certain current and former officers of the Company (collectively, the “Defendants”) in the United States District Court for the Southern District of Alabama, in connection with Uniti Fiber’s purchase of Southern Light, LLC from SLF in July 2017. The complaint asserted claims for fraud and conspiracy, as well as claims under federal and Alabama securities laws, alleging that Defendants improperly failed to disclose to SLF the risk that the Spin-Off and entry into the Master Lease violated certain debt covenants of Windstream. On September 26, 2019, the action was transferred to United States District Court for the District of Delaware. On November 18, 2019, SLF filed an amended complaint, adding allegations that Defendants also failed to fully disclose the risk that the Master Lease purportedly could be recharacterized as a financing instead of a “true lease.” The amended complaint seeks compensatory and punitive damages, as well as reformation of the purchase agreement for the sale. On December 18, 2019, Defendants moved to dismiss the amended complaint in its entirety. That motion was fully briefed as of February 7, 2020, and a hearing on the motion was heard on May 12, 2020. On November 4, 2020, the court granted the Defendants’ motion and dismissed SLF’s amended complaint, in its entirety, with prejudice. On December 1, 2020, SLF filed a notice of appeal to the United States Court of Appeals for the Third Circuit from the district court’s dismissal order. The appeal was fully briefed on September 10, 2021. We have evaluated this matter under the guidance provided by ASC 450, </w:t>
      </w:r>
      <w:r>
        <w:rPr>
          <w:rFonts w:ascii="Arial" w:cs="Arial" w:eastAsia="Arial" w:hAnsi="Arial"/>
          <w:sz w:val="17"/>
          <w:szCs w:val="17"/>
          <w:i w:val="1"/>
          <w:iCs w:val="1"/>
          <w:color w:val="auto"/>
        </w:rPr>
        <w:t>Contingencies</w:t>
      </w:r>
      <w:r>
        <w:rPr>
          <w:rFonts w:ascii="Arial" w:cs="Arial" w:eastAsia="Arial" w:hAnsi="Arial"/>
          <w:sz w:val="17"/>
          <w:szCs w:val="17"/>
          <w:color w:val="auto"/>
        </w:rPr>
        <w:t xml:space="preserve"> (“ASC 450”), and as of the date of this Quarterly Report on Form 10-Q, we consider a loss not to be probable and are unable to estimate a reasonably possible range of loss; therefore, we have not recorded any liabilities associated with these claims in our Condensed Consolidated Balance Sheets.</w:t>
      </w:r>
    </w:p>
    <w:p>
      <w:pPr>
        <w:spacing w:after="0" w:line="184" w:lineRule="exact"/>
        <w:rPr>
          <w:sz w:val="20"/>
          <w:szCs w:val="20"/>
          <w:color w:val="auto"/>
        </w:rPr>
      </w:pPr>
    </w:p>
    <w:p>
      <w:pPr>
        <w:ind w:right="40"/>
        <w:spacing w:after="0" w:line="283" w:lineRule="auto"/>
        <w:rPr>
          <w:sz w:val="20"/>
          <w:szCs w:val="20"/>
          <w:color w:val="auto"/>
        </w:rPr>
      </w:pPr>
      <w:r>
        <w:rPr>
          <w:rFonts w:ascii="Arial" w:cs="Arial" w:eastAsia="Arial" w:hAnsi="Arial"/>
          <w:sz w:val="16"/>
          <w:szCs w:val="16"/>
          <w:color w:val="auto"/>
        </w:rPr>
        <w:t xml:space="preserve">Beginning on October 25, 2019, several purported shareholders filed separate putative class actions in the U.S. District Court for the Eastern District of Arkansas against the Company and certain of our officers, alleging violations of the federal securities laws based on claims similar to those asserted in the SLF Action. On March 12, 2020, the U.S. District Court for the Eastern District of Arkansas consolidated the Shareholder Actions and appointed lead plaintiffs and lead counsel in the consolidated cases under the caption </w:t>
      </w:r>
      <w:r>
        <w:rPr>
          <w:rFonts w:ascii="Arial" w:cs="Arial" w:eastAsia="Arial" w:hAnsi="Arial"/>
          <w:sz w:val="16"/>
          <w:szCs w:val="16"/>
          <w:i w:val="1"/>
          <w:iCs w:val="1"/>
          <w:color w:val="auto"/>
        </w:rPr>
        <w:t>In re Uniti Group Inc. Securities Litigation</w:t>
      </w:r>
      <w:r>
        <w:rPr>
          <w:rFonts w:ascii="Arial" w:cs="Arial" w:eastAsia="Arial" w:hAnsi="Arial"/>
          <w:sz w:val="16"/>
          <w:szCs w:val="16"/>
          <w:color w:val="auto"/>
        </w:rPr>
        <w:t xml:space="preserve"> (the “Class Action”). On May 11, 2020, lead plaintiffs filed a consolidated amended complaint in the Class Action. The consolidated amended complaint seeks to represent investors who acquired the Company’s securities between April 20, 2015 and February 15, 2019. The Class Action asserts claims under Sections 10(b) and 20(a) of the Exchange Act and Rule 10b-5 promulgated thereunder, alleging that the Company made materially false and misleading statements by allegedly failing to disclose, among other things, the risk that the Spin-Off and entry into the Master Lease violated certain debt covenants of Windstream and/or the risk that the Master Lease purportedly could be recharacterized as a financing instead of a “true lease.” The Class Action seeks class certification, unspecified</w:t>
      </w:r>
    </w:p>
    <w:p>
      <w:pPr>
        <w:spacing w:after="0" w:line="6" w:lineRule="exact"/>
        <w:rPr>
          <w:sz w:val="20"/>
          <w:szCs w:val="20"/>
          <w:color w:val="auto"/>
        </w:rPr>
      </w:pPr>
    </w:p>
    <w:p>
      <w:pPr>
        <w:ind w:right="20"/>
        <w:spacing w:after="0" w:line="268" w:lineRule="auto"/>
        <w:rPr>
          <w:sz w:val="20"/>
          <w:szCs w:val="20"/>
          <w:color w:val="auto"/>
        </w:rPr>
      </w:pPr>
      <w:r>
        <w:rPr>
          <w:rFonts w:ascii="Arial" w:cs="Arial" w:eastAsia="Arial" w:hAnsi="Arial"/>
          <w:sz w:val="17"/>
          <w:szCs w:val="17"/>
          <w:color w:val="auto"/>
        </w:rPr>
        <w:t>monetary damages, costs and attorneys’ fees and other relief. On July 10, 2020, defendants moved to dismiss the consolidated amended complaint. On April 1, 2021, the court issued an order denying defendants’ motion to dismiss. On April 15, 2021, defendants filed a motion for reconsideration of the order or, in the alternative, for certification of an appeal of the decision to the Eighth Circuit. On October 25, 2021, plaintiffs filed a motion for class certification, which defendants opposed. On December 22, 2021, the court issued an order denying defendants’ motion for reconsideration or, in the alternative, certification of an appeal. On March 25, 2022, the parties reached an agreement to settle the Class Action, on behalf of a settlement class, for $38.9 million, to be funded entirely by the Company’s insurance carriers. The settlement remains subject to negotiation of definitive settlement documents, notice to the settlement class and court approval. In accordance with ASC 450, we recorded $38.9 million of settlement expense within general and administrative expense within our Condensed Consolidated Statements of Income (Loss) during the three months ended March 31, 2022 and accounts payable, accrued expenses and other liabilities, net within our Condensed Consolidated Balance Sheets as of March 31, 2022. Additionally, we recorded the probable</w:t>
      </w:r>
    </w:p>
    <w:p>
      <w:pPr>
        <w:spacing w:after="0" w:line="200" w:lineRule="exact"/>
        <w:rPr>
          <w:sz w:val="20"/>
          <w:szCs w:val="20"/>
          <w:color w:val="auto"/>
        </w:rPr>
      </w:pPr>
    </w:p>
    <w:p>
      <w:pPr>
        <w:spacing w:after="0" w:line="2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20"/>
        <w:spacing w:after="0" w:line="342" w:lineRule="auto"/>
        <w:rPr>
          <w:sz w:val="20"/>
          <w:szCs w:val="20"/>
          <w:color w:val="auto"/>
        </w:rPr>
      </w:pPr>
      <w:r>
        <w:rPr>
          <w:rFonts w:ascii="Arial" w:cs="Arial" w:eastAsia="Arial" w:hAnsi="Arial"/>
          <w:sz w:val="16"/>
          <w:szCs w:val="16"/>
          <w:color w:val="auto"/>
        </w:rPr>
        <w:t>insurance recovery of $38.9 million as a reduction to general and administrative expense during the three months ended March 31, 2022 within our Condensed Consolidated Statements of Income (Loss), and other assets within Condensed Consolidated Balance Sheets as of March 31, 2022.</w:t>
      </w:r>
    </w:p>
    <w:p>
      <w:pPr>
        <w:spacing w:after="0" w:line="124" w:lineRule="exact"/>
        <w:rPr>
          <w:sz w:val="20"/>
          <w:szCs w:val="20"/>
          <w:color w:val="auto"/>
        </w:rPr>
      </w:pPr>
    </w:p>
    <w:p>
      <w:pPr>
        <w:ind w:right="40"/>
        <w:spacing w:after="0" w:line="287" w:lineRule="auto"/>
        <w:rPr>
          <w:sz w:val="20"/>
          <w:szCs w:val="20"/>
          <w:color w:val="auto"/>
        </w:rPr>
      </w:pPr>
      <w:r>
        <w:rPr>
          <w:rFonts w:ascii="Arial" w:cs="Arial" w:eastAsia="Arial" w:hAnsi="Arial"/>
          <w:sz w:val="16"/>
          <w:szCs w:val="16"/>
          <w:color w:val="auto"/>
        </w:rPr>
        <w:t>On August 17, 2021, two purported shareholders filed a derivative action on behalf of Uniti in the Circuit Court for Baltimore City, Maryland, under the caption Mayer et al. v. Gunderman et al., 24-C-21-003488 (the “Mayer Derivative Complaint”). The Mayer Derivative Action names Kenneth Gunderman and Mark Wallace as defendants and the Company as a nominal defendant and asserts claims for breach of fiduciary duty and unjust enrichment. The complaint alleges that the individual defendants caused the Company to issue certain false and misleading statements relating to the Spin-Off and/or the Master Lease. In particular, as in the Shareholder Actions, the complaint alleges, among other things, that defendants failed to disclose the risk that the Spin-Off and entry into the Master Lease violated certain debt covenants of Windstream and/or the risk that the Master Lease purportedly could be recharacterized as a financing instead of a “true lease.” The complaint seeks unspecified damages, unspecified equitable relief, and related costs and fees. On December 23, 2021, the court entered a joint stipulation to stay the Mayer Derivative Action, including the time for the defendants to respond to the complaint, pending the outcome of the Class Action. Because this matter is still in its preliminary stages, we have not yet determined what effect this lawsuit will have, if any, on our financial position or results of operations. We have evaluated this matter under the guidance provided by ASC 450, and as of the date of this Quarterly Report on Form 10-Q, we consider a loss not to be probable and are unable to estimate a reasonably possible range of loss; therefore, we have not recorded any liabilities associated with these claims in our Condensed Consolidated Balance Sheets.</w:t>
      </w:r>
    </w:p>
    <w:p>
      <w:pPr>
        <w:spacing w:after="0" w:line="168" w:lineRule="exact"/>
        <w:rPr>
          <w:sz w:val="20"/>
          <w:szCs w:val="20"/>
          <w:color w:val="auto"/>
        </w:rPr>
      </w:pPr>
    </w:p>
    <w:p>
      <w:pPr>
        <w:ind w:right="120"/>
        <w:spacing w:after="0" w:line="289" w:lineRule="auto"/>
        <w:rPr>
          <w:sz w:val="20"/>
          <w:szCs w:val="20"/>
          <w:color w:val="auto"/>
        </w:rPr>
      </w:pPr>
      <w:r>
        <w:rPr>
          <w:rFonts w:ascii="Arial" w:cs="Arial" w:eastAsia="Arial" w:hAnsi="Arial"/>
          <w:sz w:val="16"/>
          <w:szCs w:val="16"/>
          <w:color w:val="auto"/>
        </w:rPr>
        <w:t xml:space="preserve">On February 11, 2022, a purported shareholder filed a derivative action on behalf of Uniti in the federal District Court for the District of Maryland, under the caption </w:t>
      </w:r>
      <w:r>
        <w:rPr>
          <w:rFonts w:ascii="Arial" w:cs="Arial" w:eastAsia="Arial" w:hAnsi="Arial"/>
          <w:sz w:val="16"/>
          <w:szCs w:val="16"/>
          <w:i w:val="1"/>
          <w:iCs w:val="1"/>
          <w:color w:val="auto"/>
        </w:rPr>
        <w:t>Guzzo et al. v. Gunderman et al.</w:t>
      </w:r>
      <w:r>
        <w:rPr>
          <w:rFonts w:ascii="Arial" w:cs="Arial" w:eastAsia="Arial" w:hAnsi="Arial"/>
          <w:sz w:val="16"/>
          <w:szCs w:val="16"/>
          <w:color w:val="auto"/>
        </w:rPr>
        <w:t>, 1:22-cv-00366-GLR (the “Guzzo Derivative Action”). The complaint names Kenneth Gunderman, Mark Wallace, Francis Frantz, David Solomon, Jennifer Banner, and Scott Bruce as defendants and the Company as a nominal defendant and asserts claims for contribution against Gunderman and Wallace if the Company is found to be liable for violations of the federal securities laws in the Class Action and claims against all the individual defendants for breaches of fiduciary duty, waste of corporate assets, and unjust enrichment against. The allegations in the Guzzo Derivative Action are similar to those in the Mayer Derivative Action and the Class Action. The complaint seeks unspecified damages, equitable relief, and related costs and fees. On March 16, 2022, the court entered a joint stipulation to stay the Guzzo Derivative Action, including the time for the defendants to respond to the complaint, pending the outcome of the Class Action. We intend to defend this matter vigorously, and, because it is still in its relatively early stages, we have not yet determined what effect this lawsuit will have, if any, on our financial position or results of operations.</w:t>
      </w:r>
    </w:p>
    <w:p>
      <w:pPr>
        <w:spacing w:after="0" w:line="166" w:lineRule="exact"/>
        <w:rPr>
          <w:sz w:val="20"/>
          <w:szCs w:val="20"/>
          <w:color w:val="auto"/>
        </w:rPr>
      </w:pPr>
    </w:p>
    <w:p>
      <w:pPr>
        <w:spacing w:after="0"/>
        <w:rPr>
          <w:sz w:val="20"/>
          <w:szCs w:val="20"/>
          <w:color w:val="auto"/>
        </w:rPr>
      </w:pPr>
      <w:r>
        <w:rPr>
          <w:rFonts w:ascii="Arial" w:cs="Arial" w:eastAsia="Arial" w:hAnsi="Arial"/>
          <w:sz w:val="16"/>
          <w:szCs w:val="16"/>
          <w:color w:val="auto"/>
        </w:rPr>
        <w:t>We maintain insurance policies that would provide coverage to various degrees for potential liabilities arising from the legal proceedings described above.</w:t>
      </w:r>
    </w:p>
    <w:p>
      <w:pPr>
        <w:spacing w:after="0" w:line="248" w:lineRule="exact"/>
        <w:rPr>
          <w:sz w:val="20"/>
          <w:szCs w:val="20"/>
          <w:color w:val="auto"/>
        </w:rPr>
      </w:pPr>
    </w:p>
    <w:p>
      <w:pPr>
        <w:spacing w:after="0" w:line="284" w:lineRule="auto"/>
        <w:rPr>
          <w:sz w:val="20"/>
          <w:szCs w:val="20"/>
          <w:color w:val="auto"/>
        </w:rPr>
      </w:pPr>
      <w:r>
        <w:rPr>
          <w:rFonts w:ascii="Arial" w:cs="Arial" w:eastAsia="Arial" w:hAnsi="Arial"/>
          <w:sz w:val="16"/>
          <w:szCs w:val="16"/>
          <w:color w:val="auto"/>
        </w:rPr>
        <w:t>Under the terms of the tax matters agreement entered into on April 24, 2015 by the Company, Windstream Services, LLC and Windstream (the “Tax Matters Agreement”), in connection with the Spin-Off, we are generally responsible for any taxes imposed on Windstream that arise from the failure of the Spin-Off and the debt exchanges to qualify as tax-free for U.S. federal income tax purposes, within the meaning of Section 355 and Section 368(a)(1)(D) of the Code, as applicable, to the extent such failure to qualify is attributable to certain actions, events or transactions relating to our stock, indebtedness, assets or business, or a breach of the relevant representations or any covenants made by us in the Tax Matters Agreement, the materials submitted to the IRS in connection with the request for the private letter ruling or the representations provided in connection with the tax opinion. We believe that</w:t>
      </w:r>
    </w:p>
    <w:p>
      <w:pPr>
        <w:spacing w:after="0" w:line="4" w:lineRule="exact"/>
        <w:rPr>
          <w:sz w:val="20"/>
          <w:szCs w:val="20"/>
          <w:color w:val="auto"/>
        </w:rPr>
      </w:pPr>
    </w:p>
    <w:p>
      <w:pPr>
        <w:ind w:right="740"/>
        <w:spacing w:after="0" w:line="260" w:lineRule="auto"/>
        <w:rPr>
          <w:sz w:val="20"/>
          <w:szCs w:val="20"/>
          <w:color w:val="auto"/>
        </w:rPr>
      </w:pPr>
      <w:r>
        <w:rPr>
          <w:rFonts w:ascii="Arial" w:cs="Arial" w:eastAsia="Arial" w:hAnsi="Arial"/>
          <w:sz w:val="18"/>
          <w:szCs w:val="18"/>
          <w:color w:val="auto"/>
        </w:rPr>
        <w:t>the probability of us incurring obligations under the Tax Matters Agreement are remote; and therefore, we have recorded no such liabilities in our Condensed Consolidated Balance Sheets as of March 31, 2022.</w:t>
      </w:r>
    </w:p>
    <w:p>
      <w:pPr>
        <w:spacing w:after="0" w:line="200" w:lineRule="exact"/>
        <w:rPr>
          <w:sz w:val="20"/>
          <w:szCs w:val="20"/>
          <w:color w:val="auto"/>
        </w:rPr>
      </w:pPr>
    </w:p>
    <w:p>
      <w:pPr>
        <w:spacing w:after="0" w:line="22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125" w:right="35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14. Accumulated Other Comprehensive (Loss) Income</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Changes in accumulated other comprehensive (loss) income by component is as follows for the three months ended March 31, 2022 and 2021:</w:t>
      </w:r>
    </w:p>
    <w:p>
      <w:pPr>
        <w:spacing w:after="0" w:line="30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9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680" w:type="dxa"/>
            <w:vAlign w:val="bottom"/>
            <w:gridSpan w:val="5"/>
          </w:tcPr>
          <w:p>
            <w:pPr>
              <w:jc w:val="right"/>
              <w:ind w:right="1120"/>
              <w:spacing w:after="0"/>
              <w:rPr>
                <w:sz w:val="20"/>
                <w:szCs w:val="20"/>
                <w:color w:val="auto"/>
              </w:rPr>
            </w:pPr>
            <w:r>
              <w:rPr>
                <w:rFonts w:ascii="Arial" w:cs="Arial" w:eastAsia="Arial" w:hAnsi="Arial"/>
                <w:sz w:val="14"/>
                <w:szCs w:val="14"/>
                <w:b w:val="1"/>
                <w:bCs w:val="1"/>
                <w:color w:val="auto"/>
              </w:rPr>
              <w:t>Three Months Ended March 31,</w:t>
            </w:r>
          </w:p>
        </w:tc>
      </w:tr>
      <w:tr>
        <w:trPr>
          <w:trHeight w:val="223"/>
        </w:trPr>
        <w:tc>
          <w:tcPr>
            <w:tcW w:w="714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420" w:type="dxa"/>
            <w:vAlign w:val="bottom"/>
            <w:tcBorders>
              <w:top w:val="single" w:sz="8" w:color="auto"/>
            </w:tcBorders>
          </w:tcPr>
          <w:p>
            <w:pPr>
              <w:spacing w:after="0"/>
              <w:rPr>
                <w:sz w:val="19"/>
                <w:szCs w:val="19"/>
                <w:color w:val="auto"/>
              </w:rPr>
            </w:pPr>
          </w:p>
        </w:tc>
        <w:tc>
          <w:tcPr>
            <w:tcW w:w="1420" w:type="dxa"/>
            <w:vAlign w:val="bottom"/>
            <w:tcBorders>
              <w:top w:val="single" w:sz="8" w:color="auto"/>
            </w:tcBorders>
          </w:tcPr>
          <w:p>
            <w:pPr>
              <w:jc w:val="right"/>
              <w:ind w:right="694"/>
              <w:spacing w:after="0"/>
              <w:rPr>
                <w:sz w:val="20"/>
                <w:szCs w:val="20"/>
                <w:color w:val="auto"/>
              </w:rPr>
            </w:pPr>
            <w:r>
              <w:rPr>
                <w:rFonts w:ascii="Arial" w:cs="Arial" w:eastAsia="Arial" w:hAnsi="Arial"/>
                <w:sz w:val="14"/>
                <w:szCs w:val="14"/>
                <w:b w:val="1"/>
                <w:bCs w:val="1"/>
                <w:color w:val="auto"/>
              </w:rPr>
              <w:t>2022</w:t>
            </w:r>
          </w:p>
        </w:tc>
        <w:tc>
          <w:tcPr>
            <w:tcW w:w="280" w:type="dxa"/>
            <w:vAlign w:val="bottom"/>
            <w:tcBorders>
              <w:top w:val="single" w:sz="8" w:color="auto"/>
            </w:tcBorders>
          </w:tcPr>
          <w:p>
            <w:pPr>
              <w:spacing w:after="0"/>
              <w:rPr>
                <w:sz w:val="19"/>
                <w:szCs w:val="19"/>
                <w:color w:val="auto"/>
              </w:rPr>
            </w:pPr>
          </w:p>
        </w:tc>
        <w:tc>
          <w:tcPr>
            <w:tcW w:w="440" w:type="dxa"/>
            <w:vAlign w:val="bottom"/>
            <w:tcBorders>
              <w:top w:val="single" w:sz="8" w:color="auto"/>
            </w:tcBorders>
          </w:tcPr>
          <w:p>
            <w:pPr>
              <w:spacing w:after="0"/>
              <w:rPr>
                <w:sz w:val="19"/>
                <w:szCs w:val="19"/>
                <w:color w:val="auto"/>
              </w:rPr>
            </w:pPr>
          </w:p>
        </w:tc>
        <w:tc>
          <w:tcPr>
            <w:tcW w:w="1440" w:type="dxa"/>
            <w:vAlign w:val="bottom"/>
            <w:tcBorders>
              <w:top w:val="single" w:sz="8" w:color="auto"/>
            </w:tcBorders>
          </w:tcPr>
          <w:p>
            <w:pPr>
              <w:jc w:val="right"/>
              <w:ind w:right="712"/>
              <w:spacing w:after="0"/>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9"/>
                <w:szCs w:val="19"/>
                <w:color w:val="auto"/>
              </w:rPr>
            </w:pPr>
          </w:p>
        </w:tc>
      </w:tr>
      <w:tr>
        <w:trPr>
          <w:trHeight w:val="223"/>
        </w:trPr>
        <w:tc>
          <w:tcPr>
            <w:tcW w:w="696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Cash flow hedge changes in fair value (loss) gain:</w:t>
            </w:r>
          </w:p>
        </w:tc>
        <w:tc>
          <w:tcPr>
            <w:tcW w:w="180" w:type="dxa"/>
            <w:vAlign w:val="bottom"/>
            <w:tcBorders>
              <w:top w:val="single" w:sz="8" w:color="CFF0FC"/>
            </w:tcBorders>
            <w:shd w:val="clear" w:color="auto" w:fill="CFF0FC"/>
          </w:tcPr>
          <w:p>
            <w:pPr>
              <w:spacing w:after="0"/>
              <w:rPr>
                <w:sz w:val="19"/>
                <w:szCs w:val="19"/>
                <w:color w:val="auto"/>
              </w:rPr>
            </w:pPr>
          </w:p>
        </w:tc>
        <w:tc>
          <w:tcPr>
            <w:tcW w:w="420" w:type="dxa"/>
            <w:vAlign w:val="bottom"/>
            <w:tcBorders>
              <w:top w:val="single" w:sz="8" w:color="auto"/>
            </w:tcBorders>
            <w:shd w:val="clear" w:color="auto" w:fill="CFF0FC"/>
          </w:tcPr>
          <w:p>
            <w:pPr>
              <w:spacing w:after="0"/>
              <w:rPr>
                <w:sz w:val="19"/>
                <w:szCs w:val="19"/>
                <w:color w:val="auto"/>
              </w:rPr>
            </w:pPr>
          </w:p>
        </w:tc>
        <w:tc>
          <w:tcPr>
            <w:tcW w:w="1420" w:type="dxa"/>
            <w:vAlign w:val="bottom"/>
            <w:tcBorders>
              <w:top w:val="single" w:sz="8" w:color="auto"/>
            </w:tcBorders>
            <w:shd w:val="clear" w:color="auto" w:fill="CFF0FC"/>
          </w:tcPr>
          <w:p>
            <w:pPr>
              <w:spacing w:after="0"/>
              <w:rPr>
                <w:sz w:val="19"/>
                <w:szCs w:val="19"/>
                <w:color w:val="auto"/>
              </w:rPr>
            </w:pPr>
          </w:p>
        </w:tc>
        <w:tc>
          <w:tcPr>
            <w:tcW w:w="280" w:type="dxa"/>
            <w:vAlign w:val="bottom"/>
            <w:tcBorders>
              <w:top w:val="single" w:sz="8" w:color="CFF0FC"/>
            </w:tcBorders>
            <w:shd w:val="clear" w:color="auto" w:fill="CFF0FC"/>
          </w:tcPr>
          <w:p>
            <w:pPr>
              <w:spacing w:after="0"/>
              <w:rPr>
                <w:sz w:val="19"/>
                <w:szCs w:val="19"/>
                <w:color w:val="auto"/>
              </w:rPr>
            </w:pPr>
          </w:p>
        </w:tc>
        <w:tc>
          <w:tcPr>
            <w:tcW w:w="440" w:type="dxa"/>
            <w:vAlign w:val="bottom"/>
            <w:tcBorders>
              <w:top w:val="single" w:sz="8" w:color="auto"/>
            </w:tcBorders>
            <w:shd w:val="clear" w:color="auto" w:fill="CFF0FC"/>
          </w:tcPr>
          <w:p>
            <w:pPr>
              <w:spacing w:after="0"/>
              <w:rPr>
                <w:sz w:val="19"/>
                <w:szCs w:val="19"/>
                <w:color w:val="auto"/>
              </w:rPr>
            </w:pPr>
          </w:p>
        </w:tc>
        <w:tc>
          <w:tcPr>
            <w:tcW w:w="144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r>
      <w:tr>
        <w:trPr>
          <w:trHeight w:val="230"/>
        </w:trPr>
        <w:tc>
          <w:tcPr>
            <w:tcW w:w="7140" w:type="dxa"/>
            <w:vAlign w:val="bottom"/>
            <w:gridSpan w:val="2"/>
          </w:tcPr>
          <w:p>
            <w:pPr>
              <w:ind w:left="140"/>
              <w:spacing w:after="0"/>
              <w:rPr>
                <w:sz w:val="20"/>
                <w:szCs w:val="20"/>
                <w:color w:val="auto"/>
              </w:rPr>
            </w:pPr>
            <w:r>
              <w:rPr>
                <w:rFonts w:ascii="Arial" w:cs="Arial" w:eastAsia="Arial" w:hAnsi="Arial"/>
                <w:sz w:val="18"/>
                <w:szCs w:val="18"/>
                <w:color w:val="auto"/>
              </w:rPr>
              <w:t>Balance at beginning of period attributable to shareholders</w:t>
            </w:r>
          </w:p>
        </w:tc>
        <w:tc>
          <w:tcPr>
            <w:tcW w:w="420" w:type="dxa"/>
            <w:vAlign w:val="bottom"/>
          </w:tcPr>
          <w:p>
            <w:pPr>
              <w:jc w:val="right"/>
              <w:ind w:right="267"/>
              <w:spacing w:after="0"/>
              <w:rPr>
                <w:sz w:val="20"/>
                <w:szCs w:val="20"/>
                <w:color w:val="auto"/>
              </w:rPr>
            </w:pPr>
            <w:r>
              <w:rPr>
                <w:rFonts w:ascii="Arial" w:cs="Arial" w:eastAsia="Arial" w:hAnsi="Arial"/>
                <w:sz w:val="15"/>
                <w:szCs w:val="15"/>
                <w:color w:val="auto"/>
                <w:w w:val="71"/>
              </w:rPr>
              <w:t>$</w:t>
            </w:r>
          </w:p>
        </w:tc>
        <w:tc>
          <w:tcPr>
            <w:tcW w:w="1700" w:type="dxa"/>
            <w:vAlign w:val="bottom"/>
            <w:gridSpan w:val="2"/>
          </w:tcPr>
          <w:p>
            <w:pPr>
              <w:jc w:val="right"/>
              <w:ind w:right="220"/>
              <w:spacing w:after="0"/>
              <w:rPr>
                <w:sz w:val="20"/>
                <w:szCs w:val="20"/>
                <w:color w:val="auto"/>
              </w:rPr>
            </w:pPr>
            <w:r>
              <w:rPr>
                <w:rFonts w:ascii="Arial" w:cs="Arial" w:eastAsia="Arial" w:hAnsi="Arial"/>
                <w:sz w:val="18"/>
                <w:szCs w:val="18"/>
                <w:color w:val="auto"/>
              </w:rPr>
              <w:t>(30,353)</w:t>
            </w:r>
          </w:p>
        </w:tc>
        <w:tc>
          <w:tcPr>
            <w:tcW w:w="440" w:type="dxa"/>
            <w:vAlign w:val="bottom"/>
          </w:tcPr>
          <w:p>
            <w:pPr>
              <w:jc w:val="right"/>
              <w:ind w:right="250"/>
              <w:spacing w:after="0"/>
              <w:rPr>
                <w:sz w:val="20"/>
                <w:szCs w:val="20"/>
                <w:color w:val="auto"/>
              </w:rPr>
            </w:pPr>
            <w:r>
              <w:rPr>
                <w:rFonts w:ascii="Arial" w:cs="Arial" w:eastAsia="Arial" w:hAnsi="Arial"/>
                <w:sz w:val="18"/>
                <w:szCs w:val="18"/>
                <w:color w:val="auto"/>
                <w:w w:val="79"/>
              </w:rPr>
              <w:t>$</w:t>
            </w:r>
          </w:p>
        </w:tc>
        <w:tc>
          <w:tcPr>
            <w:tcW w:w="1540" w:type="dxa"/>
            <w:vAlign w:val="bottom"/>
            <w:gridSpan w:val="2"/>
          </w:tcPr>
          <w:p>
            <w:pPr>
              <w:jc w:val="right"/>
              <w:ind w:right="40"/>
              <w:spacing w:after="0"/>
              <w:rPr>
                <w:sz w:val="20"/>
                <w:szCs w:val="20"/>
                <w:color w:val="auto"/>
              </w:rPr>
            </w:pPr>
            <w:r>
              <w:rPr>
                <w:rFonts w:ascii="Arial" w:cs="Arial" w:eastAsia="Arial" w:hAnsi="Arial"/>
                <w:sz w:val="18"/>
                <w:szCs w:val="18"/>
                <w:color w:val="auto"/>
              </w:rPr>
              <w:t>(30,353)</w:t>
            </w:r>
          </w:p>
        </w:tc>
      </w:tr>
      <w:tr>
        <w:trPr>
          <w:trHeight w:val="223"/>
        </w:trPr>
        <w:tc>
          <w:tcPr>
            <w:tcW w:w="7140" w:type="dxa"/>
            <w:vAlign w:val="bottom"/>
            <w:tcBorders>
              <w:top w:val="single" w:sz="8" w:color="CFF0FC"/>
            </w:tcBorders>
            <w:gridSpan w:val="2"/>
            <w:shd w:val="clear" w:color="auto" w:fill="CFF0FC"/>
          </w:tcPr>
          <w:p>
            <w:pPr>
              <w:ind w:left="140"/>
              <w:spacing w:after="0"/>
              <w:rPr>
                <w:sz w:val="20"/>
                <w:szCs w:val="20"/>
                <w:color w:val="auto"/>
              </w:rPr>
            </w:pPr>
            <w:r>
              <w:rPr>
                <w:rFonts w:ascii="Arial" w:cs="Arial" w:eastAsia="Arial" w:hAnsi="Arial"/>
                <w:sz w:val="18"/>
                <w:szCs w:val="18"/>
                <w:color w:val="auto"/>
              </w:rPr>
              <w:t>Balance at end of period attributable to shareholders</w:t>
            </w:r>
          </w:p>
        </w:tc>
        <w:tc>
          <w:tcPr>
            <w:tcW w:w="420" w:type="dxa"/>
            <w:vAlign w:val="bottom"/>
            <w:tcBorders>
              <w:top w:val="single" w:sz="8" w:color="auto"/>
            </w:tcBorders>
            <w:shd w:val="clear" w:color="auto" w:fill="CFF0FC"/>
          </w:tcPr>
          <w:p>
            <w:pPr>
              <w:spacing w:after="0"/>
              <w:rPr>
                <w:sz w:val="19"/>
                <w:szCs w:val="19"/>
                <w:color w:val="auto"/>
              </w:rPr>
            </w:pPr>
          </w:p>
        </w:tc>
        <w:tc>
          <w:tcPr>
            <w:tcW w:w="14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(30,353)</w:t>
            </w:r>
          </w:p>
        </w:tc>
        <w:tc>
          <w:tcPr>
            <w:tcW w:w="280" w:type="dxa"/>
            <w:vAlign w:val="bottom"/>
            <w:tcBorders>
              <w:top w:val="single" w:sz="8" w:color="CFF0FC"/>
            </w:tcBorders>
            <w:shd w:val="clear" w:color="auto" w:fill="CFF0FC"/>
          </w:tcPr>
          <w:p>
            <w:pPr>
              <w:spacing w:after="0"/>
              <w:rPr>
                <w:sz w:val="19"/>
                <w:szCs w:val="19"/>
                <w:color w:val="auto"/>
              </w:rPr>
            </w:pPr>
          </w:p>
        </w:tc>
        <w:tc>
          <w:tcPr>
            <w:tcW w:w="440" w:type="dxa"/>
            <w:vAlign w:val="bottom"/>
            <w:tcBorders>
              <w:top w:val="single" w:sz="8" w:color="auto"/>
            </w:tcBorders>
            <w:shd w:val="clear" w:color="auto" w:fill="CFF0FC"/>
          </w:tcPr>
          <w:p>
            <w:pPr>
              <w:spacing w:after="0"/>
              <w:rPr>
                <w:sz w:val="19"/>
                <w:szCs w:val="19"/>
                <w:color w:val="auto"/>
              </w:rPr>
            </w:pPr>
          </w:p>
        </w:tc>
        <w:tc>
          <w:tcPr>
            <w:tcW w:w="14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(30,353)</w:t>
            </w:r>
          </w:p>
        </w:tc>
        <w:tc>
          <w:tcPr>
            <w:tcW w:w="100" w:type="dxa"/>
            <w:vAlign w:val="bottom"/>
            <w:tcBorders>
              <w:top w:val="single" w:sz="8" w:color="CFF0FC"/>
            </w:tcBorders>
            <w:shd w:val="clear" w:color="auto" w:fill="CFF0FC"/>
          </w:tcPr>
          <w:p>
            <w:pPr>
              <w:spacing w:after="0"/>
              <w:rPr>
                <w:sz w:val="19"/>
                <w:szCs w:val="19"/>
                <w:color w:val="auto"/>
              </w:rPr>
            </w:pPr>
          </w:p>
        </w:tc>
      </w:tr>
      <w:tr>
        <w:trPr>
          <w:trHeight w:val="230"/>
        </w:trPr>
        <w:tc>
          <w:tcPr>
            <w:tcW w:w="7140" w:type="dxa"/>
            <w:vAlign w:val="bottom"/>
            <w:gridSpan w:val="2"/>
          </w:tcPr>
          <w:p>
            <w:pPr>
              <w:spacing w:after="0"/>
              <w:rPr>
                <w:sz w:val="20"/>
                <w:szCs w:val="20"/>
                <w:color w:val="auto"/>
              </w:rPr>
            </w:pPr>
            <w:r>
              <w:rPr>
                <w:rFonts w:ascii="Arial" w:cs="Arial" w:eastAsia="Arial" w:hAnsi="Arial"/>
                <w:sz w:val="18"/>
                <w:szCs w:val="18"/>
                <w:color w:val="auto"/>
              </w:rPr>
              <w:t>Interest rate swap termination:</w:t>
            </w:r>
          </w:p>
        </w:tc>
        <w:tc>
          <w:tcPr>
            <w:tcW w:w="42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29"/>
        </w:trPr>
        <w:tc>
          <w:tcPr>
            <w:tcW w:w="714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rPr>
              <w:t>Balance at beginning of period attributable to shareholders</w:t>
            </w:r>
          </w:p>
        </w:tc>
        <w:tc>
          <w:tcPr>
            <w:tcW w:w="42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21,189</w:t>
            </w:r>
          </w:p>
        </w:tc>
        <w:tc>
          <w:tcPr>
            <w:tcW w:w="28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4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9,986</w:t>
            </w:r>
          </w:p>
        </w:tc>
        <w:tc>
          <w:tcPr>
            <w:tcW w:w="100" w:type="dxa"/>
            <w:vAlign w:val="bottom"/>
            <w:shd w:val="clear" w:color="auto" w:fill="CFF0FC"/>
          </w:tcPr>
          <w:p>
            <w:pPr>
              <w:spacing w:after="0"/>
              <w:rPr>
                <w:sz w:val="19"/>
                <w:szCs w:val="19"/>
                <w:color w:val="auto"/>
              </w:rPr>
            </w:pPr>
          </w:p>
        </w:tc>
      </w:tr>
      <w:tr>
        <w:trPr>
          <w:trHeight w:val="229"/>
        </w:trPr>
        <w:tc>
          <w:tcPr>
            <w:tcW w:w="7140" w:type="dxa"/>
            <w:vAlign w:val="bottom"/>
            <w:tcBorders>
              <w:bottom w:val="single" w:sz="8" w:color="CFF0FC"/>
            </w:tcBorders>
            <w:gridSpan w:val="2"/>
          </w:tcPr>
          <w:p>
            <w:pPr>
              <w:ind w:left="140"/>
              <w:spacing w:after="0"/>
              <w:rPr>
                <w:sz w:val="20"/>
                <w:szCs w:val="20"/>
                <w:color w:val="auto"/>
              </w:rPr>
            </w:pPr>
            <w:r>
              <w:rPr>
                <w:rFonts w:ascii="Arial" w:cs="Arial" w:eastAsia="Arial" w:hAnsi="Arial"/>
                <w:sz w:val="18"/>
                <w:szCs w:val="18"/>
                <w:color w:val="auto"/>
              </w:rPr>
              <w:t>Amounts reclassified from accumulated other comprehensive income</w:t>
            </w:r>
          </w:p>
        </w:tc>
        <w:tc>
          <w:tcPr>
            <w:tcW w:w="42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2,830</w:t>
            </w:r>
          </w:p>
        </w:tc>
        <w:tc>
          <w:tcPr>
            <w:tcW w:w="280" w:type="dxa"/>
            <w:vAlign w:val="bottom"/>
            <w:tcBorders>
              <w:bottom w:val="single" w:sz="8" w:color="CFF0FC"/>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2,829</w:t>
            </w:r>
          </w:p>
        </w:tc>
        <w:tc>
          <w:tcPr>
            <w:tcW w:w="100" w:type="dxa"/>
            <w:vAlign w:val="bottom"/>
            <w:tcBorders>
              <w:bottom w:val="single" w:sz="8" w:color="CFF0FC"/>
            </w:tcBorders>
          </w:tcPr>
          <w:p>
            <w:pPr>
              <w:spacing w:after="0"/>
              <w:rPr>
                <w:sz w:val="19"/>
                <w:szCs w:val="19"/>
                <w:color w:val="auto"/>
              </w:rPr>
            </w:pPr>
          </w:p>
        </w:tc>
      </w:tr>
      <w:tr>
        <w:trPr>
          <w:trHeight w:val="223"/>
        </w:trPr>
        <w:tc>
          <w:tcPr>
            <w:tcW w:w="714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rPr>
              <w:t>Balance at end of period</w:t>
            </w:r>
          </w:p>
        </w:tc>
        <w:tc>
          <w:tcPr>
            <w:tcW w:w="42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24,019</w:t>
            </w:r>
          </w:p>
        </w:tc>
        <w:tc>
          <w:tcPr>
            <w:tcW w:w="28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4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12,815</w:t>
            </w:r>
          </w:p>
        </w:tc>
        <w:tc>
          <w:tcPr>
            <w:tcW w:w="100" w:type="dxa"/>
            <w:vAlign w:val="bottom"/>
            <w:shd w:val="clear" w:color="auto" w:fill="CFF0FC"/>
          </w:tcPr>
          <w:p>
            <w:pPr>
              <w:spacing w:after="0"/>
              <w:rPr>
                <w:sz w:val="19"/>
                <w:szCs w:val="19"/>
                <w:color w:val="auto"/>
              </w:rPr>
            </w:pPr>
          </w:p>
        </w:tc>
      </w:tr>
      <w:tr>
        <w:trPr>
          <w:trHeight w:val="229"/>
        </w:trPr>
        <w:tc>
          <w:tcPr>
            <w:tcW w:w="7140" w:type="dxa"/>
            <w:vAlign w:val="bottom"/>
            <w:tcBorders>
              <w:bottom w:val="single" w:sz="8" w:color="CFF0FC"/>
            </w:tcBorders>
            <w:gridSpan w:val="2"/>
          </w:tcPr>
          <w:p>
            <w:pPr>
              <w:ind w:left="140"/>
              <w:spacing w:after="0"/>
              <w:rPr>
                <w:sz w:val="20"/>
                <w:szCs w:val="20"/>
                <w:color w:val="auto"/>
              </w:rPr>
            </w:pPr>
            <w:r>
              <w:rPr>
                <w:rFonts w:ascii="Arial" w:cs="Arial" w:eastAsia="Arial" w:hAnsi="Arial"/>
                <w:sz w:val="18"/>
                <w:szCs w:val="18"/>
                <w:color w:val="auto"/>
              </w:rPr>
              <w:t>Less: Other comprehensive income attributable to noncontrolling interest</w:t>
            </w:r>
          </w:p>
        </w:tc>
        <w:tc>
          <w:tcPr>
            <w:tcW w:w="42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w:t>
            </w:r>
          </w:p>
        </w:tc>
        <w:tc>
          <w:tcPr>
            <w:tcW w:w="280" w:type="dxa"/>
            <w:vAlign w:val="bottom"/>
            <w:tcBorders>
              <w:bottom w:val="single" w:sz="8" w:color="CFF0FC"/>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42</w:t>
            </w:r>
          </w:p>
        </w:tc>
        <w:tc>
          <w:tcPr>
            <w:tcW w:w="100" w:type="dxa"/>
            <w:vAlign w:val="bottom"/>
            <w:tcBorders>
              <w:bottom w:val="single" w:sz="8" w:color="CFF0FC"/>
            </w:tcBorders>
          </w:tcPr>
          <w:p>
            <w:pPr>
              <w:spacing w:after="0"/>
              <w:rPr>
                <w:sz w:val="19"/>
                <w:szCs w:val="19"/>
                <w:color w:val="auto"/>
              </w:rPr>
            </w:pPr>
          </w:p>
        </w:tc>
      </w:tr>
      <w:tr>
        <w:trPr>
          <w:trHeight w:val="223"/>
        </w:trPr>
        <w:tc>
          <w:tcPr>
            <w:tcW w:w="714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rPr>
              <w:t>Balance at end of period attributable to shareholders</w:t>
            </w:r>
          </w:p>
        </w:tc>
        <w:tc>
          <w:tcPr>
            <w:tcW w:w="420" w:type="dxa"/>
            <w:vAlign w:val="bottom"/>
            <w:tcBorders>
              <w:bottom w:val="single" w:sz="8" w:color="auto"/>
            </w:tcBorders>
            <w:shd w:val="clear" w:color="auto" w:fill="CFF0FC"/>
          </w:tcPr>
          <w:p>
            <w:pPr>
              <w:spacing w:after="0"/>
              <w:rPr>
                <w:sz w:val="19"/>
                <w:szCs w:val="19"/>
                <w:color w:val="auto"/>
              </w:rPr>
            </w:pPr>
          </w:p>
        </w:tc>
        <w:tc>
          <w:tcPr>
            <w:tcW w:w="14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24,012</w:t>
            </w:r>
          </w:p>
        </w:tc>
        <w:tc>
          <w:tcPr>
            <w:tcW w:w="280" w:type="dxa"/>
            <w:vAlign w:val="bottom"/>
            <w:shd w:val="clear" w:color="auto" w:fill="CFF0FC"/>
          </w:tcPr>
          <w:p>
            <w:pPr>
              <w:spacing w:after="0"/>
              <w:rPr>
                <w:sz w:val="19"/>
                <w:szCs w:val="19"/>
                <w:color w:val="auto"/>
              </w:rPr>
            </w:pPr>
          </w:p>
        </w:tc>
        <w:tc>
          <w:tcPr>
            <w:tcW w:w="440" w:type="dxa"/>
            <w:vAlign w:val="bottom"/>
            <w:tcBorders>
              <w:bottom w:val="single" w:sz="8" w:color="auto"/>
            </w:tcBorders>
            <w:shd w:val="clear" w:color="auto" w:fill="CFF0FC"/>
          </w:tcPr>
          <w:p>
            <w:pPr>
              <w:spacing w:after="0"/>
              <w:rPr>
                <w:sz w:val="19"/>
                <w:szCs w:val="19"/>
                <w:color w:val="auto"/>
              </w:rPr>
            </w:pPr>
          </w:p>
        </w:tc>
        <w:tc>
          <w:tcPr>
            <w:tcW w:w="14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12,773</w:t>
            </w:r>
          </w:p>
        </w:tc>
        <w:tc>
          <w:tcPr>
            <w:tcW w:w="100" w:type="dxa"/>
            <w:vAlign w:val="bottom"/>
            <w:shd w:val="clear" w:color="auto" w:fill="CFF0FC"/>
          </w:tcPr>
          <w:p>
            <w:pPr>
              <w:spacing w:after="0"/>
              <w:rPr>
                <w:sz w:val="19"/>
                <w:szCs w:val="19"/>
                <w:color w:val="auto"/>
              </w:rPr>
            </w:pPr>
          </w:p>
        </w:tc>
      </w:tr>
      <w:tr>
        <w:trPr>
          <w:trHeight w:val="223"/>
        </w:trPr>
        <w:tc>
          <w:tcPr>
            <w:tcW w:w="7140" w:type="dxa"/>
            <w:vAlign w:val="bottom"/>
            <w:gridSpan w:val="2"/>
          </w:tcPr>
          <w:p>
            <w:pPr>
              <w:spacing w:after="0"/>
              <w:rPr>
                <w:sz w:val="20"/>
                <w:szCs w:val="20"/>
                <w:color w:val="auto"/>
              </w:rPr>
            </w:pPr>
            <w:r>
              <w:rPr>
                <w:rFonts w:ascii="Arial" w:cs="Arial" w:eastAsia="Arial" w:hAnsi="Arial"/>
                <w:sz w:val="18"/>
                <w:szCs w:val="18"/>
                <w:color w:val="auto"/>
              </w:rPr>
              <w:t>Accumulated other comprehensive loss at end of period</w:t>
            </w:r>
          </w:p>
        </w:tc>
        <w:tc>
          <w:tcPr>
            <w:tcW w:w="420" w:type="dxa"/>
            <w:vAlign w:val="bottom"/>
            <w:tcBorders>
              <w:bottom w:val="single" w:sz="8" w:color="auto"/>
            </w:tcBorders>
          </w:tcPr>
          <w:p>
            <w:pPr>
              <w:jc w:val="right"/>
              <w:ind w:right="267"/>
              <w:spacing w:after="0"/>
              <w:rPr>
                <w:sz w:val="20"/>
                <w:szCs w:val="20"/>
                <w:color w:val="auto"/>
              </w:rPr>
            </w:pPr>
            <w:r>
              <w:rPr>
                <w:rFonts w:ascii="Arial" w:cs="Arial" w:eastAsia="Arial" w:hAnsi="Arial"/>
                <w:sz w:val="15"/>
                <w:szCs w:val="15"/>
                <w:color w:val="auto"/>
                <w:w w:val="71"/>
              </w:rPr>
              <w:t>$</w:t>
            </w: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(6,341)</w:t>
            </w:r>
          </w:p>
        </w:tc>
        <w:tc>
          <w:tcPr>
            <w:tcW w:w="280" w:type="dxa"/>
            <w:vAlign w:val="bottom"/>
          </w:tcPr>
          <w:p>
            <w:pPr>
              <w:spacing w:after="0"/>
              <w:rPr>
                <w:sz w:val="19"/>
                <w:szCs w:val="19"/>
                <w:color w:val="auto"/>
              </w:rPr>
            </w:pPr>
          </w:p>
        </w:tc>
        <w:tc>
          <w:tcPr>
            <w:tcW w:w="44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w w:val="79"/>
              </w:rPr>
              <w:t>$</w:t>
            </w: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(17,580)</w:t>
            </w:r>
          </w:p>
        </w:tc>
        <w:tc>
          <w:tcPr>
            <w:tcW w:w="100" w:type="dxa"/>
            <w:vAlign w:val="bottom"/>
          </w:tcPr>
          <w:p>
            <w:pPr>
              <w:spacing w:after="0"/>
              <w:rPr>
                <w:sz w:val="19"/>
                <w:szCs w:val="19"/>
                <w:color w:val="auto"/>
              </w:rPr>
            </w:pPr>
          </w:p>
        </w:tc>
      </w:tr>
      <w:tr>
        <w:trPr>
          <w:trHeight w:val="20"/>
        </w:trPr>
        <w:tc>
          <w:tcPr>
            <w:tcW w:w="69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4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15. Capital Stock</w:t>
      </w:r>
    </w:p>
    <w:p>
      <w:pPr>
        <w:spacing w:after="0" w:line="216"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The limited partner equity interests in our operating partnership (commonly called “OP Units”), are exchangeable on a one-for-one basis for shares of our common stock or, at our election, cash of equivalent value. During the three months ended March 31, 2022, the Company exchanged 157,733 OP Units held by third parties for an equal number of common shares of the Company. The OP Units exchanged represented approximately 23% of the OP Units held by a third party with a carrying value of $3.2 million as of the exchange date.</w:t>
      </w:r>
    </w:p>
    <w:p>
      <w:pPr>
        <w:spacing w:after="0" w:line="399" w:lineRule="exact"/>
        <w:rPr>
          <w:sz w:val="20"/>
          <w:szCs w:val="20"/>
          <w:color w:val="auto"/>
        </w:rPr>
      </w:pPr>
    </w:p>
    <w:p>
      <w:pPr>
        <w:ind w:right="4720"/>
        <w:spacing w:after="0" w:line="282" w:lineRule="auto"/>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166" w:lineRule="exact"/>
        <w:rPr>
          <w:sz w:val="20"/>
          <w:szCs w:val="20"/>
          <w:color w:val="auto"/>
        </w:rPr>
      </w:pPr>
    </w:p>
    <w:p>
      <w:pPr>
        <w:ind w:right="100"/>
        <w:spacing w:after="0" w:line="275" w:lineRule="auto"/>
        <w:rPr>
          <w:sz w:val="20"/>
          <w:szCs w:val="20"/>
          <w:color w:val="auto"/>
        </w:rPr>
      </w:pPr>
      <w:r>
        <w:rPr>
          <w:rFonts w:ascii="Arial" w:cs="Arial" w:eastAsia="Arial" w:hAnsi="Arial"/>
          <w:sz w:val="17"/>
          <w:szCs w:val="17"/>
          <w:color w:val="auto"/>
        </w:rPr>
        <w:t>The following management’s discussion and analysis of financial condition and results of operations describes the principal factors affecting the results of our operations, financial condition, and changes in financial condition for the three months ended March 31, 2022. This discussion should be read in conjunction with the accompanying Condensed Consolidated Financial Statements, and the notes thereto set forth in Part I, Item 1 of this Quarterly Report on Form 10-Q and our Annual Report on Form 10-K filed with the U.S. Securities and Exchange Commission (“SEC”) on February 25, 2022, as amended by Amendment No. 1 thereto filed on Form 10-K/A with the SEC on March 22, 2022 (the “Annual Report”).</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Company Description</w:t>
      </w:r>
    </w:p>
    <w:p>
      <w:pPr>
        <w:spacing w:after="0" w:line="225" w:lineRule="exact"/>
        <w:rPr>
          <w:sz w:val="20"/>
          <w:szCs w:val="20"/>
          <w:color w:val="auto"/>
        </w:rPr>
      </w:pPr>
    </w:p>
    <w:p>
      <w:pPr>
        <w:ind w:right="60"/>
        <w:spacing w:after="0" w:line="263" w:lineRule="auto"/>
        <w:rPr>
          <w:sz w:val="20"/>
          <w:szCs w:val="20"/>
          <w:color w:val="auto"/>
        </w:rPr>
      </w:pPr>
      <w:r>
        <w:rPr>
          <w:rFonts w:ascii="Arial" w:cs="Arial" w:eastAsia="Arial" w:hAnsi="Arial"/>
          <w:sz w:val="18"/>
          <w:szCs w:val="18"/>
          <w:color w:val="auto"/>
        </w:rPr>
        <w:t>Uniti Group Inc. (the “Company”, “Uniti”, “we”, “us” or “our”) is an independent, internally managed real estate investment trust (“REIT”) engaged in the acquisition and construction of mission critical infrastructure in the communications industry. We are principally focused on acquiring and constructing fiber optic, copper and coaxial broadband networks and data centers.</w:t>
      </w:r>
    </w:p>
    <w:p>
      <w:pPr>
        <w:spacing w:after="0" w:line="184" w:lineRule="exact"/>
        <w:rPr>
          <w:sz w:val="20"/>
          <w:szCs w:val="20"/>
          <w:color w:val="auto"/>
        </w:rPr>
      </w:pPr>
    </w:p>
    <w:p>
      <w:pPr>
        <w:ind w:right="60"/>
        <w:spacing w:after="0" w:line="269" w:lineRule="auto"/>
        <w:rPr>
          <w:sz w:val="20"/>
          <w:szCs w:val="20"/>
          <w:color w:val="auto"/>
        </w:rPr>
      </w:pPr>
      <w:r>
        <w:rPr>
          <w:rFonts w:ascii="Arial" w:cs="Arial" w:eastAsia="Arial" w:hAnsi="Arial"/>
          <w:sz w:val="17"/>
          <w:szCs w:val="17"/>
          <w:color w:val="auto"/>
        </w:rPr>
        <w:t>On April 24, 2015, we were separated and spun-off (the “Spin-Off”) from Windstream Holdings, Inc. (“Windstream Holdings” and together with Windstream Holdings II, LLC, its successor in interest, and its subsidiaries, “Windstream”) pursuant to which Windstream contributed certain telecommunications network assets, including fiber and copper networks and other real estate (the “Distribution Systems”) and a small consumer competitive local exchange carrier (“CLEC”) business (the “Consumer CLEC Business”) to Uniti and Uniti issued common stock and indebtedness and paid cash obtained from borrowings under Uniti’s senior credit facilities to Windstream. In connection with the Spin-Off, we entered into a long-term exclusive triple-net lease (the “Master Lease”) with Windstream, pursuant to which a substantial portion of our real property is leased to Windstream and from which a substantial portion of our leasing revenues are currently derived. In connection with Windstream’s emergence from bankruptcy, Uniti and Windstream bifurcated the Master Lease and entered into two structurally similar master leases (collectively, the “Windstream Leases”), which amended and restated the Master Lease in its entirety. The Windstream Leases consist of (a) a master lease (the “ILEC MLA”) that governs Uniti owned assets used for Windstream’s incumbent local exchange carrier (“ILEC”) operations and (b) a master lease (the “CLEC MLA”) that governs Uniti owned assets used for Windstream’s CLEC operations.</w:t>
      </w: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color w:val="auto"/>
        </w:rPr>
        <w:t>Uniti operates as a REIT for U.S. federal income tax purposes. As a REIT, the Company is generally not subject to U.S. federal income taxes on income generated by its REIT operations, which includes income derived from the Windstream Leases. We have elected to treat the subsidiaries through which we operate our fiber business, Uniti Fiber, certain aspects of our leasing business, Uniti Leasing, certain aspects of our former towers business, and Talk America Services, LLC, which operated the Consumer CLEC Business (“Talk America”), as taxable REIT subsidiaries (“TRSs”). TRSs enable us to engage in activities that result in income that does not constitute qualifying income for a REIT. Our TRSs are subject to U.S. federal, state and local corporate income taxes.</w:t>
      </w:r>
    </w:p>
    <w:p>
      <w:pPr>
        <w:spacing w:after="0" w:line="192"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The Company operates through a customary up-REIT structure, pursuant to which we hold substantially all of our assets through a partnership, Uniti Group LP, a Delaware limited partnership (the “Operating Partnership”), that we control as general partner. This structure is intended to facilitate future acquisition opportunities by providing the Company with the ability to use common units of the Operating Partnership as a tax-efficient acquisition currency. As of March 31, 2022, we are the sole general partner of the Operating Partnership and own approximately 99.8% of the partnership interests in the Operating Partnership. In addition, we have undertaken series of transactions to permit us to hold certain assets through subsidiaries that are taxed as REITs, which may also facilitate future acquisition opportunities.</w:t>
      </w:r>
    </w:p>
    <w:p>
      <w:pPr>
        <w:spacing w:after="0" w:line="192" w:lineRule="exact"/>
        <w:rPr>
          <w:sz w:val="20"/>
          <w:szCs w:val="20"/>
          <w:color w:val="auto"/>
        </w:rPr>
      </w:pPr>
    </w:p>
    <w:p>
      <w:pPr>
        <w:spacing w:after="0"/>
        <w:rPr>
          <w:sz w:val="20"/>
          <w:szCs w:val="20"/>
          <w:color w:val="auto"/>
        </w:rPr>
      </w:pPr>
      <w:r>
        <w:rPr>
          <w:rFonts w:ascii="Arial" w:cs="Arial" w:eastAsia="Arial" w:hAnsi="Arial"/>
          <w:sz w:val="16"/>
          <w:szCs w:val="16"/>
          <w:color w:val="auto"/>
        </w:rPr>
        <w:t>We aim to grow and diversify our portfolio and tenant base by pursuing a range of transaction structures with communication service providers, including</w:t>
      </w:r>
    </w:p>
    <w:p>
      <w:pPr>
        <w:spacing w:after="0" w:line="46" w:lineRule="exact"/>
        <w:rPr>
          <w:sz w:val="20"/>
          <w:szCs w:val="20"/>
          <w:color w:val="auto"/>
        </w:rPr>
      </w:pPr>
    </w:p>
    <w:p>
      <w:pPr>
        <w:ind w:right="80" w:firstLine="8"/>
        <w:spacing w:after="0" w:line="252" w:lineRule="auto"/>
        <w:tabs>
          <w:tab w:leader="none" w:pos="215" w:val="left"/>
        </w:tabs>
        <w:numPr>
          <w:ilvl w:val="0"/>
          <w:numId w:val="6"/>
        </w:numPr>
        <w:rPr>
          <w:rFonts w:ascii="Arial" w:cs="Arial" w:eastAsia="Arial" w:hAnsi="Arial"/>
          <w:sz w:val="18"/>
          <w:szCs w:val="18"/>
          <w:color w:val="auto"/>
        </w:rPr>
      </w:pPr>
      <w:r>
        <w:rPr>
          <w:rFonts w:ascii="Arial" w:cs="Arial" w:eastAsia="Arial" w:hAnsi="Arial"/>
          <w:sz w:val="18"/>
          <w:szCs w:val="18"/>
          <w:color w:val="auto"/>
        </w:rPr>
        <w:t>sale-leaseback transactions, whereby we acquire existing infrastructure assets from third parties, including communication service providers, and lease them back on a long-term triple-net basis; (ii) leasing of dark fiber and selling of lit services on our existing fiber network assets that we either constructed or acquired; (iii) whole company acquisitions, which may include the use of one or more TRSs that are permitted under the tax laws to acquire and operate non-REIT businesses and assets subject to certain limitations; (iv) capital investment financing, whereby we offer communication service providers a cost efficient method of raising funds for discrete capital investments to upgrade or expand their network; and (v) mergers and acquisitions financing, whereby we facilitate mergers and acquisition transactions as a capital partner, including through operating company-property company (“OpCo-PropCo”) structures.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We manage our operations as the two reportable business segments, in addition to our corporate operations, which include:</w:t>
      </w:r>
    </w:p>
    <w:p>
      <w:pPr>
        <w:spacing w:after="0" w:line="225"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i w:val="1"/>
          <w:iCs w:val="1"/>
          <w:u w:val="single" w:color="auto"/>
          <w:color w:val="auto"/>
        </w:rPr>
        <w:t>Leasing Segment</w:t>
      </w:r>
      <w:r>
        <w:rPr>
          <w:rFonts w:ascii="Arial" w:cs="Arial" w:eastAsia="Arial" w:hAnsi="Arial"/>
          <w:sz w:val="18"/>
          <w:szCs w:val="18"/>
          <w:color w:val="auto"/>
        </w:rPr>
        <w:t>: Represents the operations of our leasing business, Uniti Leasing, which is engaged in the acquisition and construction of mission-critical</w:t>
      </w:r>
      <w:r>
        <w:rPr>
          <w:rFonts w:ascii="Arial" w:cs="Arial" w:eastAsia="Arial" w:hAnsi="Arial"/>
          <w:sz w:val="18"/>
          <w:szCs w:val="18"/>
          <w:i w:val="1"/>
          <w:iCs w:val="1"/>
          <w:color w:val="auto"/>
        </w:rPr>
        <w:t xml:space="preserve"> </w:t>
      </w:r>
      <w:r>
        <w:rPr>
          <w:rFonts w:ascii="Arial" w:cs="Arial" w:eastAsia="Arial" w:hAnsi="Arial"/>
          <w:sz w:val="18"/>
          <w:szCs w:val="18"/>
          <w:color w:val="auto"/>
        </w:rPr>
        <w:t>communications assets and leasing them to anchor customers on either an exclusive or shared-tenant basis, in addition to the leasing of dark fiber on our existing fiber network assets that we either constructed or acquired. While the Leasing segment represents our REIT operations, certain aspects of the Leasing segment are also operated through TRSs.</w:t>
      </w:r>
    </w:p>
    <w:p>
      <w:pPr>
        <w:spacing w:after="0" w:line="187"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i w:val="1"/>
          <w:iCs w:val="1"/>
          <w:u w:val="single" w:color="auto"/>
          <w:color w:val="auto"/>
        </w:rPr>
        <w:t>Fiber Infrastructure Segment</w:t>
      </w:r>
      <w:r>
        <w:rPr>
          <w:rFonts w:ascii="Arial" w:cs="Arial" w:eastAsia="Arial" w:hAnsi="Arial"/>
          <w:sz w:val="18"/>
          <w:szCs w:val="18"/>
          <w:color w:val="auto"/>
        </w:rPr>
        <w:t>: Represents the operations of our fiber business, Uniti Fiber, which is a leading provider of infrastructure solutions, including</w:t>
      </w:r>
      <w:r>
        <w:rPr>
          <w:rFonts w:ascii="Arial" w:cs="Arial" w:eastAsia="Arial" w:hAnsi="Arial"/>
          <w:sz w:val="18"/>
          <w:szCs w:val="18"/>
          <w:i w:val="1"/>
          <w:iCs w:val="1"/>
          <w:color w:val="auto"/>
        </w:rPr>
        <w:t xml:space="preserve"> </w:t>
      </w:r>
      <w:r>
        <w:rPr>
          <w:rFonts w:ascii="Arial" w:cs="Arial" w:eastAsia="Arial" w:hAnsi="Arial"/>
          <w:sz w:val="18"/>
          <w:szCs w:val="18"/>
          <w:color w:val="auto"/>
        </w:rPr>
        <w:t>cell site backhaul and dark fiber, to the telecommunications industry.</w:t>
      </w:r>
    </w:p>
    <w:p>
      <w:pPr>
        <w:spacing w:after="0" w:line="170" w:lineRule="exact"/>
        <w:rPr>
          <w:sz w:val="20"/>
          <w:szCs w:val="20"/>
          <w:color w:val="auto"/>
        </w:rPr>
      </w:pPr>
    </w:p>
    <w:p>
      <w:pPr>
        <w:ind w:right="220"/>
        <w:spacing w:after="0" w:line="263" w:lineRule="auto"/>
        <w:rPr>
          <w:sz w:val="20"/>
          <w:szCs w:val="20"/>
          <w:color w:val="auto"/>
        </w:rPr>
      </w:pPr>
      <w:r>
        <w:rPr>
          <w:rFonts w:ascii="Arial" w:cs="Arial" w:eastAsia="Arial" w:hAnsi="Arial"/>
          <w:sz w:val="18"/>
          <w:szCs w:val="18"/>
          <w:i w:val="1"/>
          <w:iCs w:val="1"/>
          <w:u w:val="single" w:color="auto"/>
          <w:color w:val="auto"/>
        </w:rPr>
        <w:t>Corporate Operations</w:t>
      </w:r>
      <w:r>
        <w:rPr>
          <w:rFonts w:ascii="Arial" w:cs="Arial" w:eastAsia="Arial" w:hAnsi="Arial"/>
          <w:sz w:val="18"/>
          <w:szCs w:val="18"/>
          <w:color w:val="auto"/>
        </w:rPr>
        <w:t>: Represents our corporate office and shared service functions. Certain costs and expenses, primarily related to headcount,</w:t>
      </w:r>
      <w:r>
        <w:rPr>
          <w:rFonts w:ascii="Arial" w:cs="Arial" w:eastAsia="Arial" w:hAnsi="Arial"/>
          <w:sz w:val="18"/>
          <w:szCs w:val="18"/>
          <w:i w:val="1"/>
          <w:iCs w:val="1"/>
          <w:color w:val="auto"/>
        </w:rPr>
        <w:t xml:space="preserve"> </w:t>
      </w:r>
      <w:r>
        <w:rPr>
          <w:rFonts w:ascii="Arial" w:cs="Arial" w:eastAsia="Arial" w:hAnsi="Arial"/>
          <w:sz w:val="18"/>
          <w:szCs w:val="18"/>
          <w:color w:val="auto"/>
        </w:rPr>
        <w:t>information technology systems, insurance, professional fees and similar charges, that are directly attributable to operations of our business segments are allocated to the respective segments.</w:t>
      </w:r>
    </w:p>
    <w:p>
      <w:pPr>
        <w:spacing w:after="0" w:line="184" w:lineRule="exact"/>
        <w:rPr>
          <w:sz w:val="20"/>
          <w:szCs w:val="20"/>
          <w:color w:val="auto"/>
        </w:rPr>
      </w:pPr>
    </w:p>
    <w:p>
      <w:pPr>
        <w:ind w:right="40"/>
        <w:spacing w:after="0" w:line="269" w:lineRule="auto"/>
        <w:rPr>
          <w:sz w:val="20"/>
          <w:szCs w:val="20"/>
          <w:color w:val="auto"/>
        </w:rPr>
      </w:pPr>
      <w:r>
        <w:rPr>
          <w:rFonts w:ascii="Arial" w:cs="Arial" w:eastAsia="Arial" w:hAnsi="Arial"/>
          <w:sz w:val="17"/>
          <w:szCs w:val="17"/>
          <w:color w:val="auto"/>
        </w:rPr>
        <w:t>We evaluate the performance of each segment based on Adjusted EBITDA, which is a segment performance measure we define as net income determined in accordance with GAAP, before interest expense, provision for income taxes, depreciation and amortization, stock-based compensation expense and the impact, which may be recurring in nature, of transaction and integration related costs, costs associated with Windstream’s bankruptcy, costs associated with litigation claims made against us, costs associated with the implementation of our enterprise resource planning system, executive severance costs, costs related to the settlement with Windstream, amortization of non-cash rights-of-use assets, the write off of unamortized deferred financing costs, costs incurred as a result of the early repayment of debt, including early tender and redemption premiums and costs associated with the termination of related hedging activities, gains or losses on dispositions, changes in the fair value of contingent consideration and financial instruments, and other similar or infrequent items (although we may not have had such charges in the periods presented). Adjusted EBITDA includes adjustments to reflect the Company’s share of Adjusted EBITDA from unconsolidated entities. For more information on Adjusted EBITDA, see “Non-GAAP Financial Measures.” Detailed information about our segments can be found in Note 12 to our accompanying Condensed Consolidated Financial Statements contained in Part I, Item 1 of this Quarterly Report on Form 10-Q.</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28" w:name="page29"/>
    <w:bookmarkEnd w:id="2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of the three months ended March 31, 2022 and 2021</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sets forth, for the periods indicated, our results of operations expressed as dollars and as a percentage of total revenues:</w:t>
      </w:r>
    </w:p>
    <w:p>
      <w:pPr>
        <w:spacing w:after="0" w:line="28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5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3060" w:type="dxa"/>
            <w:vAlign w:val="bottom"/>
            <w:tcBorders>
              <w:bottom w:val="single" w:sz="8" w:color="auto"/>
            </w:tcBorders>
            <w:gridSpan w:val="7"/>
          </w:tcPr>
          <w:p>
            <w:pPr>
              <w:jc w:val="right"/>
              <w:ind w:right="480"/>
              <w:spacing w:after="0"/>
              <w:rPr>
                <w:sz w:val="20"/>
                <w:szCs w:val="20"/>
                <w:color w:val="auto"/>
              </w:rPr>
            </w:pPr>
            <w:r>
              <w:rPr>
                <w:rFonts w:ascii="Arial" w:cs="Arial" w:eastAsia="Arial" w:hAnsi="Arial"/>
                <w:sz w:val="18"/>
                <w:szCs w:val="18"/>
                <w:b w:val="1"/>
                <w:bCs w:val="1"/>
                <w:color w:val="auto"/>
                <w:w w:val="96"/>
              </w:rPr>
              <w:t>Three Months Ended March 31,</w:t>
            </w:r>
          </w:p>
        </w:tc>
        <w:tc>
          <w:tcPr>
            <w:tcW w:w="100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r>
      <w:tr>
        <w:trPr>
          <w:trHeight w:val="250"/>
        </w:trPr>
        <w:tc>
          <w:tcPr>
            <w:tcW w:w="55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3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2022</w:t>
            </w:r>
          </w:p>
        </w:tc>
        <w:tc>
          <w:tcPr>
            <w:tcW w:w="1120" w:type="dxa"/>
            <w:vAlign w:val="bottom"/>
            <w:tcBorders>
              <w:bottom w:val="single" w:sz="8" w:color="auto"/>
            </w:tcBorders>
          </w:tcPr>
          <w:p>
            <w:pPr>
              <w:spacing w:after="0"/>
              <w:rPr>
                <w:sz w:val="21"/>
                <w:szCs w:val="21"/>
                <w:color w:val="auto"/>
              </w:rPr>
            </w:pPr>
          </w:p>
        </w:tc>
        <w:tc>
          <w:tcPr>
            <w:tcW w:w="300" w:type="dxa"/>
            <w:vAlign w:val="bottom"/>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18"/>
                <w:szCs w:val="18"/>
                <w:b w:val="1"/>
                <w:bCs w:val="1"/>
                <w:color w:val="auto"/>
              </w:rPr>
              <w:t>2021</w:t>
            </w:r>
          </w:p>
        </w:tc>
        <w:tc>
          <w:tcPr>
            <w:tcW w:w="1000" w:type="dxa"/>
            <w:vAlign w:val="bottom"/>
            <w:tcBorders>
              <w:bottom w:val="single" w:sz="8" w:color="auto"/>
            </w:tcBorders>
          </w:tcPr>
          <w:p>
            <w:pPr>
              <w:spacing w:after="0"/>
              <w:rPr>
                <w:sz w:val="21"/>
                <w:szCs w:val="21"/>
                <w:color w:val="auto"/>
              </w:rPr>
            </w:pPr>
          </w:p>
        </w:tc>
        <w:tc>
          <w:tcPr>
            <w:tcW w:w="120" w:type="dxa"/>
            <w:vAlign w:val="bottom"/>
          </w:tcPr>
          <w:p>
            <w:pPr>
              <w:spacing w:after="0"/>
              <w:rPr>
                <w:sz w:val="21"/>
                <w:szCs w:val="21"/>
                <w:color w:val="auto"/>
              </w:rPr>
            </w:pPr>
          </w:p>
        </w:tc>
      </w:tr>
      <w:tr>
        <w:trPr>
          <w:trHeight w:val="205"/>
        </w:trPr>
        <w:tc>
          <w:tcPr>
            <w:tcW w:w="55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jc w:val="center"/>
              <w:spacing w:after="0" w:line="205" w:lineRule="exact"/>
              <w:rPr>
                <w:sz w:val="20"/>
                <w:szCs w:val="20"/>
                <w:color w:val="auto"/>
              </w:rPr>
            </w:pPr>
            <w:r>
              <w:rPr>
                <w:rFonts w:ascii="Arial" w:cs="Arial" w:eastAsia="Arial" w:hAnsi="Arial"/>
                <w:sz w:val="18"/>
                <w:szCs w:val="18"/>
                <w:b w:val="1"/>
                <w:bCs w:val="1"/>
                <w:color w:val="auto"/>
                <w:w w:val="99"/>
              </w:rPr>
              <w:t>% of</w:t>
            </w:r>
          </w:p>
        </w:tc>
        <w:tc>
          <w:tcPr>
            <w:tcW w:w="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jc w:val="center"/>
              <w:ind w:right="30"/>
              <w:spacing w:after="0" w:line="205" w:lineRule="exact"/>
              <w:rPr>
                <w:sz w:val="20"/>
                <w:szCs w:val="20"/>
                <w:color w:val="auto"/>
              </w:rPr>
            </w:pPr>
            <w:r>
              <w:rPr>
                <w:rFonts w:ascii="Arial" w:cs="Arial" w:eastAsia="Arial" w:hAnsi="Arial"/>
                <w:sz w:val="18"/>
                <w:szCs w:val="18"/>
                <w:b w:val="1"/>
                <w:bCs w:val="1"/>
                <w:color w:val="auto"/>
                <w:w w:val="94"/>
              </w:rPr>
              <w:t>% of</w:t>
            </w:r>
          </w:p>
        </w:tc>
        <w:tc>
          <w:tcPr>
            <w:tcW w:w="120" w:type="dxa"/>
            <w:vAlign w:val="bottom"/>
          </w:tcPr>
          <w:p>
            <w:pPr>
              <w:spacing w:after="0"/>
              <w:rPr>
                <w:sz w:val="17"/>
                <w:szCs w:val="17"/>
                <w:color w:val="auto"/>
              </w:rPr>
            </w:pPr>
          </w:p>
        </w:tc>
      </w:tr>
      <w:tr>
        <w:trPr>
          <w:trHeight w:val="234"/>
        </w:trPr>
        <w:tc>
          <w:tcPr>
            <w:tcW w:w="5500" w:type="dxa"/>
            <w:vAlign w:val="bottom"/>
          </w:tcPr>
          <w:p>
            <w:pPr>
              <w:spacing w:after="0"/>
              <w:rPr>
                <w:sz w:val="20"/>
                <w:szCs w:val="20"/>
                <w:color w:val="auto"/>
              </w:rPr>
            </w:pPr>
            <w:r>
              <w:rPr>
                <w:rFonts w:ascii="Arial" w:cs="Arial" w:eastAsia="Arial" w:hAnsi="Arial"/>
                <w:sz w:val="14"/>
                <w:szCs w:val="14"/>
                <w:color w:val="auto"/>
              </w:rPr>
              <w:t>(Thousands)</w:t>
            </w: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gridSpan w:val="2"/>
          </w:tcPr>
          <w:p>
            <w:pPr>
              <w:jc w:val="right"/>
              <w:ind w:right="460"/>
              <w:spacing w:after="0"/>
              <w:rPr>
                <w:sz w:val="20"/>
                <w:szCs w:val="20"/>
                <w:color w:val="auto"/>
              </w:rPr>
            </w:pPr>
            <w:r>
              <w:rPr>
                <w:rFonts w:ascii="Arial" w:cs="Arial" w:eastAsia="Arial" w:hAnsi="Arial"/>
                <w:sz w:val="18"/>
                <w:szCs w:val="18"/>
                <w:b w:val="1"/>
                <w:bCs w:val="1"/>
                <w:color w:val="auto"/>
              </w:rPr>
              <w:t>Amount</w:t>
            </w:r>
          </w:p>
        </w:tc>
        <w:tc>
          <w:tcPr>
            <w:tcW w:w="120" w:type="dxa"/>
            <w:vAlign w:val="bottom"/>
          </w:tcPr>
          <w:p>
            <w:pPr>
              <w:spacing w:after="0"/>
              <w:rPr>
                <w:sz w:val="20"/>
                <w:szCs w:val="20"/>
                <w:color w:val="auto"/>
              </w:rPr>
            </w:pPr>
          </w:p>
        </w:tc>
        <w:tc>
          <w:tcPr>
            <w:tcW w:w="142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4"/>
              </w:rPr>
              <w:t>Revenues</w:t>
            </w:r>
          </w:p>
        </w:tc>
        <w:tc>
          <w:tcPr>
            <w:tcW w:w="160" w:type="dxa"/>
            <w:vAlign w:val="bottom"/>
          </w:tcPr>
          <w:p>
            <w:pPr>
              <w:spacing w:after="0"/>
              <w:rPr>
                <w:sz w:val="20"/>
                <w:szCs w:val="20"/>
                <w:color w:val="auto"/>
              </w:rPr>
            </w:pPr>
          </w:p>
        </w:tc>
        <w:tc>
          <w:tcPr>
            <w:tcW w:w="1360" w:type="dxa"/>
            <w:vAlign w:val="bottom"/>
            <w:gridSpan w:val="3"/>
          </w:tcPr>
          <w:p>
            <w:pPr>
              <w:jc w:val="right"/>
              <w:ind w:right="660"/>
              <w:spacing w:after="0"/>
              <w:rPr>
                <w:sz w:val="20"/>
                <w:szCs w:val="20"/>
                <w:color w:val="auto"/>
              </w:rPr>
            </w:pPr>
            <w:r>
              <w:rPr>
                <w:rFonts w:ascii="Arial" w:cs="Arial" w:eastAsia="Arial" w:hAnsi="Arial"/>
                <w:sz w:val="18"/>
                <w:szCs w:val="18"/>
                <w:b w:val="1"/>
                <w:bCs w:val="1"/>
                <w:color w:val="auto"/>
                <w:w w:val="99"/>
              </w:rPr>
              <w:t>Amount</w:t>
            </w:r>
          </w:p>
        </w:tc>
        <w:tc>
          <w:tcPr>
            <w:tcW w:w="112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4"/>
              </w:rPr>
              <w:t>Revenues</w:t>
            </w:r>
          </w:p>
        </w:tc>
      </w:tr>
      <w:tr>
        <w:trPr>
          <w:trHeight w:val="223"/>
        </w:trPr>
        <w:tc>
          <w:tcPr>
            <w:tcW w:w="55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Revenues:</w:t>
            </w:r>
          </w:p>
        </w:tc>
        <w:tc>
          <w:tcPr>
            <w:tcW w:w="20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1020" w:type="dxa"/>
            <w:vAlign w:val="bottom"/>
            <w:tcBorders>
              <w:top w:val="single" w:sz="8" w:color="auto"/>
            </w:tcBorders>
            <w:shd w:val="clear" w:color="auto" w:fill="CFF0FC"/>
          </w:tcPr>
          <w:p>
            <w:pPr>
              <w:spacing w:after="0"/>
              <w:rPr>
                <w:sz w:val="19"/>
                <w:szCs w:val="19"/>
                <w:color w:val="auto"/>
              </w:rPr>
            </w:pPr>
          </w:p>
        </w:tc>
        <w:tc>
          <w:tcPr>
            <w:tcW w:w="16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120" w:type="dxa"/>
            <w:vAlign w:val="bottom"/>
            <w:tcBorders>
              <w:top w:val="single" w:sz="8" w:color="auto"/>
            </w:tcBorders>
            <w:shd w:val="clear" w:color="auto" w:fill="CFF0FC"/>
          </w:tcPr>
          <w:p>
            <w:pPr>
              <w:spacing w:after="0"/>
              <w:rPr>
                <w:sz w:val="19"/>
                <w:szCs w:val="19"/>
                <w:color w:val="auto"/>
              </w:rPr>
            </w:pPr>
          </w:p>
        </w:tc>
        <w:tc>
          <w:tcPr>
            <w:tcW w:w="30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19"/>
                <w:szCs w:val="19"/>
                <w:color w:val="auto"/>
              </w:rPr>
            </w:pPr>
          </w:p>
        </w:tc>
        <w:tc>
          <w:tcPr>
            <w:tcW w:w="960" w:type="dxa"/>
            <w:vAlign w:val="bottom"/>
            <w:tcBorders>
              <w:top w:val="single" w:sz="8" w:color="auto"/>
            </w:tcBorders>
            <w:shd w:val="clear" w:color="auto" w:fill="CFF0FC"/>
          </w:tcPr>
          <w:p>
            <w:pPr>
              <w:spacing w:after="0"/>
              <w:rPr>
                <w:sz w:val="19"/>
                <w:szCs w:val="19"/>
                <w:color w:val="auto"/>
              </w:rPr>
            </w:pPr>
          </w:p>
        </w:tc>
        <w:tc>
          <w:tcPr>
            <w:tcW w:w="30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00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r>
      <w:tr>
        <w:trPr>
          <w:trHeight w:val="230"/>
        </w:trPr>
        <w:tc>
          <w:tcPr>
            <w:tcW w:w="5500" w:type="dxa"/>
            <w:vAlign w:val="bottom"/>
          </w:tcPr>
          <w:p>
            <w:pPr>
              <w:ind w:left="260"/>
              <w:spacing w:after="0"/>
              <w:rPr>
                <w:sz w:val="20"/>
                <w:szCs w:val="20"/>
                <w:color w:val="auto"/>
              </w:rPr>
            </w:pPr>
            <w:r>
              <w:rPr>
                <w:rFonts w:ascii="Arial" w:cs="Arial" w:eastAsia="Arial" w:hAnsi="Arial"/>
                <w:sz w:val="18"/>
                <w:szCs w:val="18"/>
                <w:color w:val="auto"/>
              </w:rPr>
              <w:t>Leasing</w:t>
            </w:r>
          </w:p>
        </w:tc>
        <w:tc>
          <w:tcPr>
            <w:tcW w:w="380" w:type="dxa"/>
            <w:vAlign w:val="bottom"/>
            <w:gridSpan w:val="2"/>
          </w:tcPr>
          <w:p>
            <w:pPr>
              <w:jc w:val="right"/>
              <w:ind w:right="27"/>
              <w:spacing w:after="0"/>
              <w:rPr>
                <w:sz w:val="20"/>
                <w:szCs w:val="20"/>
                <w:color w:val="auto"/>
              </w:rPr>
            </w:pPr>
            <w:r>
              <w:rPr>
                <w:rFonts w:ascii="Arial" w:cs="Arial" w:eastAsia="Arial" w:hAnsi="Arial"/>
                <w:sz w:val="18"/>
                <w:szCs w:val="18"/>
                <w:color w:val="auto"/>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204,641</w:t>
            </w:r>
          </w:p>
        </w:tc>
        <w:tc>
          <w:tcPr>
            <w:tcW w:w="160" w:type="dxa"/>
            <w:vAlign w:val="bottom"/>
          </w:tcPr>
          <w:p>
            <w:pPr>
              <w:spacing w:after="0"/>
              <w:rPr>
                <w:sz w:val="19"/>
                <w:szCs w:val="19"/>
                <w:color w:val="auto"/>
              </w:rPr>
            </w:pPr>
          </w:p>
        </w:tc>
        <w:tc>
          <w:tcPr>
            <w:tcW w:w="1240" w:type="dxa"/>
            <w:vAlign w:val="bottom"/>
            <w:gridSpan w:val="2"/>
          </w:tcPr>
          <w:p>
            <w:pPr>
              <w:jc w:val="center"/>
              <w:ind w:left="10"/>
              <w:spacing w:after="0"/>
              <w:rPr>
                <w:sz w:val="20"/>
                <w:szCs w:val="20"/>
                <w:color w:val="auto"/>
              </w:rPr>
            </w:pPr>
            <w:r>
              <w:rPr>
                <w:rFonts w:ascii="Arial" w:cs="Arial" w:eastAsia="Arial" w:hAnsi="Arial"/>
                <w:sz w:val="18"/>
                <w:szCs w:val="18"/>
                <w:color w:val="auto"/>
                <w:w w:val="90"/>
              </w:rPr>
              <w:t>73.6%</w:t>
            </w:r>
          </w:p>
        </w:tc>
        <w:tc>
          <w:tcPr>
            <w:tcW w:w="300" w:type="dxa"/>
            <w:vAlign w:val="bottom"/>
          </w:tcPr>
          <w:p>
            <w:pPr>
              <w:spacing w:after="0"/>
              <w:rPr>
                <w:sz w:val="19"/>
                <w:szCs w:val="19"/>
                <w:color w:val="auto"/>
              </w:rPr>
            </w:pPr>
          </w:p>
        </w:tc>
        <w:tc>
          <w:tcPr>
            <w:tcW w:w="160" w:type="dxa"/>
            <w:vAlign w:val="bottom"/>
          </w:tcPr>
          <w:p>
            <w:pPr>
              <w:jc w:val="right"/>
              <w:ind w:right="7"/>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194,936</w:t>
            </w: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jc w:val="center"/>
              <w:ind w:right="30"/>
              <w:spacing w:after="0"/>
              <w:rPr>
                <w:sz w:val="20"/>
                <w:szCs w:val="20"/>
                <w:color w:val="auto"/>
              </w:rPr>
            </w:pPr>
            <w:r>
              <w:rPr>
                <w:rFonts w:ascii="Arial" w:cs="Arial" w:eastAsia="Arial" w:hAnsi="Arial"/>
                <w:sz w:val="18"/>
                <w:szCs w:val="18"/>
                <w:color w:val="auto"/>
                <w:w w:val="93"/>
              </w:rPr>
              <w:t>71.5%</w:t>
            </w:r>
          </w:p>
        </w:tc>
        <w:tc>
          <w:tcPr>
            <w:tcW w:w="120" w:type="dxa"/>
            <w:vAlign w:val="bottom"/>
          </w:tcPr>
          <w:p>
            <w:pPr>
              <w:spacing w:after="0"/>
              <w:rPr>
                <w:sz w:val="19"/>
                <w:szCs w:val="19"/>
                <w:color w:val="auto"/>
              </w:rPr>
            </w:pPr>
          </w:p>
        </w:tc>
      </w:tr>
      <w:tr>
        <w:trPr>
          <w:trHeight w:val="229"/>
        </w:trPr>
        <w:tc>
          <w:tcPr>
            <w:tcW w:w="55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Fiber Infrastructure</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73,393</w:t>
            </w:r>
          </w:p>
        </w:tc>
        <w:tc>
          <w:tcPr>
            <w:tcW w:w="160" w:type="dxa"/>
            <w:vAlign w:val="bottom"/>
            <w:shd w:val="clear" w:color="auto" w:fill="CFF0FC"/>
          </w:tcPr>
          <w:p>
            <w:pPr>
              <w:spacing w:after="0"/>
              <w:rPr>
                <w:sz w:val="19"/>
                <w:szCs w:val="19"/>
                <w:color w:val="auto"/>
              </w:rPr>
            </w:pPr>
          </w:p>
        </w:tc>
        <w:tc>
          <w:tcPr>
            <w:tcW w:w="1240" w:type="dxa"/>
            <w:vAlign w:val="bottom"/>
            <w:gridSpan w:val="2"/>
            <w:shd w:val="clear" w:color="auto" w:fill="CFF0FC"/>
          </w:tcPr>
          <w:p>
            <w:pPr>
              <w:jc w:val="center"/>
              <w:ind w:left="10"/>
              <w:spacing w:after="0"/>
              <w:rPr>
                <w:sz w:val="20"/>
                <w:szCs w:val="20"/>
                <w:color w:val="auto"/>
              </w:rPr>
            </w:pPr>
            <w:r>
              <w:rPr>
                <w:rFonts w:ascii="Arial" w:cs="Arial" w:eastAsia="Arial" w:hAnsi="Arial"/>
                <w:sz w:val="18"/>
                <w:szCs w:val="18"/>
                <w:color w:val="auto"/>
                <w:w w:val="90"/>
              </w:rPr>
              <w:t>26.4%</w:t>
            </w:r>
          </w:p>
        </w:tc>
        <w:tc>
          <w:tcPr>
            <w:tcW w:w="3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77,650</w:t>
            </w:r>
          </w:p>
        </w:tc>
        <w:tc>
          <w:tcPr>
            <w:tcW w:w="3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center"/>
              <w:ind w:right="30"/>
              <w:spacing w:after="0"/>
              <w:rPr>
                <w:sz w:val="20"/>
                <w:szCs w:val="20"/>
                <w:color w:val="auto"/>
              </w:rPr>
            </w:pPr>
            <w:r>
              <w:rPr>
                <w:rFonts w:ascii="Arial" w:cs="Arial" w:eastAsia="Arial" w:hAnsi="Arial"/>
                <w:sz w:val="18"/>
                <w:szCs w:val="18"/>
                <w:color w:val="auto"/>
                <w:w w:val="93"/>
              </w:rPr>
              <w:t>28.5%</w:t>
            </w:r>
          </w:p>
        </w:tc>
        <w:tc>
          <w:tcPr>
            <w:tcW w:w="120" w:type="dxa"/>
            <w:vAlign w:val="bottom"/>
            <w:shd w:val="clear" w:color="auto" w:fill="CFF0FC"/>
          </w:tcPr>
          <w:p>
            <w:pPr>
              <w:spacing w:after="0"/>
              <w:rPr>
                <w:sz w:val="19"/>
                <w:szCs w:val="19"/>
                <w:color w:val="auto"/>
              </w:rPr>
            </w:pPr>
          </w:p>
        </w:tc>
      </w:tr>
      <w:tr>
        <w:trPr>
          <w:trHeight w:val="229"/>
        </w:trPr>
        <w:tc>
          <w:tcPr>
            <w:tcW w:w="5500" w:type="dxa"/>
            <w:vAlign w:val="bottom"/>
          </w:tcPr>
          <w:p>
            <w:pPr>
              <w:ind w:left="500"/>
              <w:spacing w:after="0"/>
              <w:rPr>
                <w:sz w:val="20"/>
                <w:szCs w:val="20"/>
                <w:color w:val="auto"/>
              </w:rPr>
            </w:pPr>
            <w:r>
              <w:rPr>
                <w:rFonts w:ascii="Arial" w:cs="Arial" w:eastAsia="Arial" w:hAnsi="Arial"/>
                <w:sz w:val="18"/>
                <w:szCs w:val="18"/>
                <w:color w:val="auto"/>
              </w:rPr>
              <w:t>Total revenues</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278,034</w:t>
            </w:r>
          </w:p>
        </w:tc>
        <w:tc>
          <w:tcPr>
            <w:tcW w:w="160" w:type="dxa"/>
            <w:vAlign w:val="bottom"/>
          </w:tcPr>
          <w:p>
            <w:pPr>
              <w:spacing w:after="0"/>
              <w:rPr>
                <w:sz w:val="19"/>
                <w:szCs w:val="19"/>
                <w:color w:val="auto"/>
              </w:rPr>
            </w:pPr>
          </w:p>
        </w:tc>
        <w:tc>
          <w:tcPr>
            <w:tcW w:w="1240" w:type="dxa"/>
            <w:vAlign w:val="bottom"/>
            <w:gridSpan w:val="2"/>
          </w:tcPr>
          <w:p>
            <w:pPr>
              <w:jc w:val="center"/>
              <w:ind w:left="30"/>
              <w:spacing w:after="0"/>
              <w:rPr>
                <w:sz w:val="20"/>
                <w:szCs w:val="20"/>
                <w:color w:val="auto"/>
              </w:rPr>
            </w:pPr>
            <w:r>
              <w:rPr>
                <w:rFonts w:ascii="Arial" w:cs="Arial" w:eastAsia="Arial" w:hAnsi="Arial"/>
                <w:sz w:val="18"/>
                <w:szCs w:val="18"/>
                <w:color w:val="auto"/>
                <w:w w:val="91"/>
              </w:rPr>
              <w:t>100.0%</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272,586</w:t>
            </w: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jc w:val="center"/>
              <w:ind w:right="30"/>
              <w:spacing w:after="0"/>
              <w:rPr>
                <w:sz w:val="20"/>
                <w:szCs w:val="20"/>
                <w:color w:val="auto"/>
              </w:rPr>
            </w:pPr>
            <w:r>
              <w:rPr>
                <w:rFonts w:ascii="Arial" w:cs="Arial" w:eastAsia="Arial" w:hAnsi="Arial"/>
                <w:sz w:val="18"/>
                <w:szCs w:val="18"/>
                <w:color w:val="auto"/>
                <w:w w:val="91"/>
              </w:rPr>
              <w:t>100.0%</w:t>
            </w:r>
          </w:p>
        </w:tc>
        <w:tc>
          <w:tcPr>
            <w:tcW w:w="120" w:type="dxa"/>
            <w:vAlign w:val="bottom"/>
          </w:tcPr>
          <w:p>
            <w:pPr>
              <w:spacing w:after="0"/>
              <w:rPr>
                <w:sz w:val="19"/>
                <w:szCs w:val="19"/>
                <w:color w:val="auto"/>
              </w:rPr>
            </w:pPr>
          </w:p>
        </w:tc>
      </w:tr>
      <w:tr>
        <w:trPr>
          <w:trHeight w:val="237"/>
        </w:trPr>
        <w:tc>
          <w:tcPr>
            <w:tcW w:w="550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Costs and Expenses:</w:t>
            </w:r>
          </w:p>
        </w:tc>
        <w:tc>
          <w:tcPr>
            <w:tcW w:w="200" w:type="dxa"/>
            <w:vAlign w:val="bottom"/>
            <w:tcBorders>
              <w:bottom w:val="single" w:sz="8" w:color="CFF0FC"/>
            </w:tcBorders>
            <w:shd w:val="clear" w:color="auto" w:fill="CFF0FC"/>
          </w:tcPr>
          <w:p>
            <w:pPr>
              <w:spacing w:after="0"/>
              <w:rPr>
                <w:sz w:val="20"/>
                <w:szCs w:val="20"/>
                <w:color w:val="auto"/>
              </w:rPr>
            </w:pPr>
          </w:p>
        </w:tc>
        <w:tc>
          <w:tcPr>
            <w:tcW w:w="180" w:type="dxa"/>
            <w:vAlign w:val="bottom"/>
            <w:tcBorders>
              <w:bottom w:val="single" w:sz="8" w:color="CFF0FC"/>
            </w:tcBorders>
            <w:shd w:val="clear" w:color="auto" w:fill="CFF0FC"/>
          </w:tcPr>
          <w:p>
            <w:pPr>
              <w:spacing w:after="0"/>
              <w:rPr>
                <w:sz w:val="20"/>
                <w:szCs w:val="20"/>
                <w:color w:val="auto"/>
              </w:rPr>
            </w:pPr>
          </w:p>
        </w:tc>
        <w:tc>
          <w:tcPr>
            <w:tcW w:w="1020" w:type="dxa"/>
            <w:vAlign w:val="bottom"/>
            <w:tcBorders>
              <w:bottom w:val="single" w:sz="8" w:color="CFF0FC"/>
            </w:tcBorders>
            <w:shd w:val="clear" w:color="auto" w:fill="CFF0FC"/>
          </w:tcPr>
          <w:p>
            <w:pPr>
              <w:spacing w:after="0"/>
              <w:rPr>
                <w:sz w:val="20"/>
                <w:szCs w:val="20"/>
                <w:color w:val="auto"/>
              </w:rPr>
            </w:pPr>
          </w:p>
        </w:tc>
        <w:tc>
          <w:tcPr>
            <w:tcW w:w="160" w:type="dxa"/>
            <w:vAlign w:val="bottom"/>
            <w:tcBorders>
              <w:bottom w:val="single" w:sz="8" w:color="CFF0FC"/>
            </w:tcBorders>
            <w:shd w:val="clear" w:color="auto" w:fill="CFF0FC"/>
          </w:tcPr>
          <w:p>
            <w:pPr>
              <w:spacing w:after="0"/>
              <w:rPr>
                <w:sz w:val="20"/>
                <w:szCs w:val="20"/>
                <w:color w:val="auto"/>
              </w:rPr>
            </w:pPr>
          </w:p>
        </w:tc>
        <w:tc>
          <w:tcPr>
            <w:tcW w:w="120" w:type="dxa"/>
            <w:vAlign w:val="bottom"/>
            <w:tcBorders>
              <w:bottom w:val="single" w:sz="8" w:color="CFF0FC"/>
            </w:tcBorders>
            <w:shd w:val="clear" w:color="auto" w:fill="CFF0FC"/>
          </w:tcPr>
          <w:p>
            <w:pPr>
              <w:spacing w:after="0"/>
              <w:rPr>
                <w:sz w:val="20"/>
                <w:szCs w:val="20"/>
                <w:color w:val="auto"/>
              </w:rPr>
            </w:pPr>
          </w:p>
        </w:tc>
        <w:tc>
          <w:tcPr>
            <w:tcW w:w="1120" w:type="dxa"/>
            <w:vAlign w:val="bottom"/>
            <w:tcBorders>
              <w:bottom w:val="single" w:sz="8" w:color="CFF0FC"/>
            </w:tcBorders>
            <w:shd w:val="clear" w:color="auto" w:fill="CFF0FC"/>
          </w:tcPr>
          <w:p>
            <w:pPr>
              <w:spacing w:after="0"/>
              <w:rPr>
                <w:sz w:val="20"/>
                <w:szCs w:val="20"/>
                <w:color w:val="auto"/>
              </w:rPr>
            </w:pPr>
          </w:p>
        </w:tc>
        <w:tc>
          <w:tcPr>
            <w:tcW w:w="300" w:type="dxa"/>
            <w:vAlign w:val="bottom"/>
            <w:tcBorders>
              <w:bottom w:val="single" w:sz="8" w:color="CFF0FC"/>
            </w:tcBorders>
            <w:shd w:val="clear" w:color="auto" w:fill="CFF0FC"/>
          </w:tcPr>
          <w:p>
            <w:pPr>
              <w:spacing w:after="0"/>
              <w:rPr>
                <w:sz w:val="20"/>
                <w:szCs w:val="20"/>
                <w:color w:val="auto"/>
              </w:rPr>
            </w:pPr>
          </w:p>
        </w:tc>
        <w:tc>
          <w:tcPr>
            <w:tcW w:w="160" w:type="dxa"/>
            <w:vAlign w:val="bottom"/>
            <w:tcBorders>
              <w:bottom w:val="single" w:sz="8" w:color="CFF0FC"/>
            </w:tcBorders>
            <w:shd w:val="clear" w:color="auto" w:fill="CFF0FC"/>
          </w:tcPr>
          <w:p>
            <w:pPr>
              <w:spacing w:after="0"/>
              <w:rPr>
                <w:sz w:val="20"/>
                <w:szCs w:val="20"/>
                <w:color w:val="auto"/>
              </w:rPr>
            </w:pPr>
          </w:p>
        </w:tc>
        <w:tc>
          <w:tcPr>
            <w:tcW w:w="960" w:type="dxa"/>
            <w:vAlign w:val="bottom"/>
            <w:tcBorders>
              <w:bottom w:val="single" w:sz="8" w:color="CFF0FC"/>
            </w:tcBorders>
            <w:shd w:val="clear" w:color="auto" w:fill="CFF0FC"/>
          </w:tcPr>
          <w:p>
            <w:pPr>
              <w:spacing w:after="0"/>
              <w:rPr>
                <w:sz w:val="20"/>
                <w:szCs w:val="20"/>
                <w:color w:val="auto"/>
              </w:rPr>
            </w:pPr>
          </w:p>
        </w:tc>
        <w:tc>
          <w:tcPr>
            <w:tcW w:w="300" w:type="dxa"/>
            <w:vAlign w:val="bottom"/>
            <w:tcBorders>
              <w:bottom w:val="single" w:sz="8" w:color="CFF0FC"/>
            </w:tcBorders>
            <w:shd w:val="clear" w:color="auto" w:fill="CFF0FC"/>
          </w:tcPr>
          <w:p>
            <w:pPr>
              <w:spacing w:after="0"/>
              <w:rPr>
                <w:sz w:val="20"/>
                <w:szCs w:val="20"/>
                <w:color w:val="auto"/>
              </w:rPr>
            </w:pPr>
          </w:p>
        </w:tc>
        <w:tc>
          <w:tcPr>
            <w:tcW w:w="100" w:type="dxa"/>
            <w:vAlign w:val="bottom"/>
            <w:tcBorders>
              <w:bottom w:val="single" w:sz="8" w:color="CFF0FC"/>
            </w:tcBorders>
            <w:shd w:val="clear" w:color="auto" w:fill="CFF0FC"/>
          </w:tcPr>
          <w:p>
            <w:pPr>
              <w:spacing w:after="0"/>
              <w:rPr>
                <w:sz w:val="20"/>
                <w:szCs w:val="20"/>
                <w:color w:val="auto"/>
              </w:rPr>
            </w:pPr>
          </w:p>
        </w:tc>
        <w:tc>
          <w:tcPr>
            <w:tcW w:w="1000" w:type="dxa"/>
            <w:vAlign w:val="bottom"/>
            <w:tcBorders>
              <w:bottom w:val="single" w:sz="8" w:color="CFF0FC"/>
            </w:tcBorders>
            <w:shd w:val="clear" w:color="auto" w:fill="CFF0FC"/>
          </w:tcPr>
          <w:p>
            <w:pPr>
              <w:spacing w:after="0"/>
              <w:rPr>
                <w:sz w:val="20"/>
                <w:szCs w:val="20"/>
                <w:color w:val="auto"/>
              </w:rPr>
            </w:pPr>
          </w:p>
        </w:tc>
        <w:tc>
          <w:tcPr>
            <w:tcW w:w="120" w:type="dxa"/>
            <w:vAlign w:val="bottom"/>
            <w:tcBorders>
              <w:bottom w:val="single" w:sz="8" w:color="CFF0FC"/>
            </w:tcBorders>
            <w:shd w:val="clear" w:color="auto" w:fill="CFF0FC"/>
          </w:tcPr>
          <w:p>
            <w:pPr>
              <w:spacing w:after="0"/>
              <w:rPr>
                <w:sz w:val="20"/>
                <w:szCs w:val="20"/>
                <w:color w:val="auto"/>
              </w:rPr>
            </w:pPr>
          </w:p>
        </w:tc>
      </w:tr>
      <w:tr>
        <w:trPr>
          <w:trHeight w:val="230"/>
        </w:trPr>
        <w:tc>
          <w:tcPr>
            <w:tcW w:w="5500" w:type="dxa"/>
            <w:vAlign w:val="bottom"/>
          </w:tcPr>
          <w:p>
            <w:pPr>
              <w:ind w:left="260"/>
              <w:spacing w:after="0"/>
              <w:rPr>
                <w:sz w:val="20"/>
                <w:szCs w:val="20"/>
                <w:color w:val="auto"/>
              </w:rPr>
            </w:pPr>
            <w:r>
              <w:rPr>
                <w:rFonts w:ascii="Arial" w:cs="Arial" w:eastAsia="Arial" w:hAnsi="Arial"/>
                <w:sz w:val="18"/>
                <w:szCs w:val="18"/>
                <w:color w:val="auto"/>
              </w:rPr>
              <w:t>Interest expense</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96,172</w:t>
            </w:r>
          </w:p>
        </w:tc>
        <w:tc>
          <w:tcPr>
            <w:tcW w:w="160" w:type="dxa"/>
            <w:vAlign w:val="bottom"/>
          </w:tcPr>
          <w:p>
            <w:pPr>
              <w:spacing w:after="0"/>
              <w:rPr>
                <w:sz w:val="19"/>
                <w:szCs w:val="19"/>
                <w:color w:val="auto"/>
              </w:rPr>
            </w:pPr>
          </w:p>
        </w:tc>
        <w:tc>
          <w:tcPr>
            <w:tcW w:w="1240" w:type="dxa"/>
            <w:vAlign w:val="bottom"/>
            <w:gridSpan w:val="2"/>
          </w:tcPr>
          <w:p>
            <w:pPr>
              <w:jc w:val="center"/>
              <w:ind w:left="10"/>
              <w:spacing w:after="0"/>
              <w:rPr>
                <w:sz w:val="20"/>
                <w:szCs w:val="20"/>
                <w:color w:val="auto"/>
              </w:rPr>
            </w:pPr>
            <w:r>
              <w:rPr>
                <w:rFonts w:ascii="Arial" w:cs="Arial" w:eastAsia="Arial" w:hAnsi="Arial"/>
                <w:sz w:val="18"/>
                <w:szCs w:val="18"/>
                <w:color w:val="auto"/>
                <w:w w:val="90"/>
              </w:rPr>
              <w:t>34.5%</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140,581</w:t>
            </w: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jc w:val="center"/>
              <w:ind w:right="30"/>
              <w:spacing w:after="0"/>
              <w:rPr>
                <w:sz w:val="20"/>
                <w:szCs w:val="20"/>
                <w:color w:val="auto"/>
              </w:rPr>
            </w:pPr>
            <w:r>
              <w:rPr>
                <w:rFonts w:ascii="Arial" w:cs="Arial" w:eastAsia="Arial" w:hAnsi="Arial"/>
                <w:sz w:val="18"/>
                <w:szCs w:val="18"/>
                <w:color w:val="auto"/>
                <w:w w:val="93"/>
              </w:rPr>
              <w:t>51.5%</w:t>
            </w:r>
          </w:p>
        </w:tc>
        <w:tc>
          <w:tcPr>
            <w:tcW w:w="120" w:type="dxa"/>
            <w:vAlign w:val="bottom"/>
          </w:tcPr>
          <w:p>
            <w:pPr>
              <w:spacing w:after="0"/>
              <w:rPr>
                <w:sz w:val="19"/>
                <w:szCs w:val="19"/>
                <w:color w:val="auto"/>
              </w:rPr>
            </w:pPr>
          </w:p>
        </w:tc>
      </w:tr>
      <w:tr>
        <w:trPr>
          <w:trHeight w:val="229"/>
        </w:trPr>
        <w:tc>
          <w:tcPr>
            <w:tcW w:w="55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Depreciation and amortization</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71,457</w:t>
            </w:r>
          </w:p>
        </w:tc>
        <w:tc>
          <w:tcPr>
            <w:tcW w:w="160" w:type="dxa"/>
            <w:vAlign w:val="bottom"/>
            <w:shd w:val="clear" w:color="auto" w:fill="CFF0FC"/>
          </w:tcPr>
          <w:p>
            <w:pPr>
              <w:spacing w:after="0"/>
              <w:rPr>
                <w:sz w:val="19"/>
                <w:szCs w:val="19"/>
                <w:color w:val="auto"/>
              </w:rPr>
            </w:pPr>
          </w:p>
        </w:tc>
        <w:tc>
          <w:tcPr>
            <w:tcW w:w="1240" w:type="dxa"/>
            <w:vAlign w:val="bottom"/>
            <w:gridSpan w:val="2"/>
            <w:shd w:val="clear" w:color="auto" w:fill="CFF0FC"/>
          </w:tcPr>
          <w:p>
            <w:pPr>
              <w:jc w:val="center"/>
              <w:ind w:left="10"/>
              <w:spacing w:after="0"/>
              <w:rPr>
                <w:sz w:val="20"/>
                <w:szCs w:val="20"/>
                <w:color w:val="auto"/>
              </w:rPr>
            </w:pPr>
            <w:r>
              <w:rPr>
                <w:rFonts w:ascii="Arial" w:cs="Arial" w:eastAsia="Arial" w:hAnsi="Arial"/>
                <w:sz w:val="18"/>
                <w:szCs w:val="18"/>
                <w:color w:val="auto"/>
                <w:w w:val="90"/>
              </w:rPr>
              <w:t>25.7%</w:t>
            </w:r>
          </w:p>
        </w:tc>
        <w:tc>
          <w:tcPr>
            <w:tcW w:w="3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70,964</w:t>
            </w:r>
          </w:p>
        </w:tc>
        <w:tc>
          <w:tcPr>
            <w:tcW w:w="3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center"/>
              <w:ind w:right="30"/>
              <w:spacing w:after="0"/>
              <w:rPr>
                <w:sz w:val="20"/>
                <w:szCs w:val="20"/>
                <w:color w:val="auto"/>
              </w:rPr>
            </w:pPr>
            <w:r>
              <w:rPr>
                <w:rFonts w:ascii="Arial" w:cs="Arial" w:eastAsia="Arial" w:hAnsi="Arial"/>
                <w:sz w:val="18"/>
                <w:szCs w:val="18"/>
                <w:color w:val="auto"/>
                <w:w w:val="93"/>
              </w:rPr>
              <w:t>26.0%</w:t>
            </w:r>
          </w:p>
        </w:tc>
        <w:tc>
          <w:tcPr>
            <w:tcW w:w="120" w:type="dxa"/>
            <w:vAlign w:val="bottom"/>
            <w:shd w:val="clear" w:color="auto" w:fill="CFF0FC"/>
          </w:tcPr>
          <w:p>
            <w:pPr>
              <w:spacing w:after="0"/>
              <w:rPr>
                <w:sz w:val="19"/>
                <w:szCs w:val="19"/>
                <w:color w:val="auto"/>
              </w:rPr>
            </w:pPr>
          </w:p>
        </w:tc>
      </w:tr>
      <w:tr>
        <w:trPr>
          <w:trHeight w:val="229"/>
        </w:trPr>
        <w:tc>
          <w:tcPr>
            <w:tcW w:w="5500" w:type="dxa"/>
            <w:vAlign w:val="bottom"/>
          </w:tcPr>
          <w:p>
            <w:pPr>
              <w:ind w:left="260"/>
              <w:spacing w:after="0"/>
              <w:rPr>
                <w:sz w:val="20"/>
                <w:szCs w:val="20"/>
                <w:color w:val="auto"/>
              </w:rPr>
            </w:pPr>
            <w:r>
              <w:rPr>
                <w:rFonts w:ascii="Arial" w:cs="Arial" w:eastAsia="Arial" w:hAnsi="Arial"/>
                <w:sz w:val="18"/>
                <w:szCs w:val="18"/>
                <w:color w:val="auto"/>
              </w:rPr>
              <w:t>General and administrative expense</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23,870</w:t>
            </w:r>
          </w:p>
        </w:tc>
        <w:tc>
          <w:tcPr>
            <w:tcW w:w="160" w:type="dxa"/>
            <w:vAlign w:val="bottom"/>
          </w:tcPr>
          <w:p>
            <w:pPr>
              <w:spacing w:after="0"/>
              <w:rPr>
                <w:sz w:val="19"/>
                <w:szCs w:val="19"/>
                <w:color w:val="auto"/>
              </w:rPr>
            </w:pPr>
          </w:p>
        </w:tc>
        <w:tc>
          <w:tcPr>
            <w:tcW w:w="1240" w:type="dxa"/>
            <w:vAlign w:val="bottom"/>
            <w:gridSpan w:val="2"/>
          </w:tcPr>
          <w:p>
            <w:pPr>
              <w:jc w:val="center"/>
              <w:ind w:left="10"/>
              <w:spacing w:after="0"/>
              <w:rPr>
                <w:sz w:val="20"/>
                <w:szCs w:val="20"/>
                <w:color w:val="auto"/>
              </w:rPr>
            </w:pPr>
            <w:r>
              <w:rPr>
                <w:rFonts w:ascii="Arial" w:cs="Arial" w:eastAsia="Arial" w:hAnsi="Arial"/>
                <w:sz w:val="18"/>
                <w:szCs w:val="18"/>
                <w:color w:val="auto"/>
                <w:w w:val="92"/>
              </w:rPr>
              <w:t>8.6%</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25,823</w:t>
            </w: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jc w:val="center"/>
              <w:ind w:right="30"/>
              <w:spacing w:after="0"/>
              <w:rPr>
                <w:sz w:val="20"/>
                <w:szCs w:val="20"/>
                <w:color w:val="auto"/>
              </w:rPr>
            </w:pPr>
            <w:r>
              <w:rPr>
                <w:rFonts w:ascii="Arial" w:cs="Arial" w:eastAsia="Arial" w:hAnsi="Arial"/>
                <w:sz w:val="18"/>
                <w:szCs w:val="18"/>
                <w:color w:val="auto"/>
                <w:w w:val="87"/>
              </w:rPr>
              <w:t>9.5%</w:t>
            </w:r>
          </w:p>
        </w:tc>
        <w:tc>
          <w:tcPr>
            <w:tcW w:w="120" w:type="dxa"/>
            <w:vAlign w:val="bottom"/>
          </w:tcPr>
          <w:p>
            <w:pPr>
              <w:spacing w:after="0"/>
              <w:rPr>
                <w:sz w:val="19"/>
                <w:szCs w:val="19"/>
                <w:color w:val="auto"/>
              </w:rPr>
            </w:pPr>
          </w:p>
        </w:tc>
      </w:tr>
      <w:tr>
        <w:trPr>
          <w:trHeight w:val="230"/>
        </w:trPr>
        <w:tc>
          <w:tcPr>
            <w:tcW w:w="55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Operating expense (exclusive of depreciation and amortization)</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34,976</w:t>
            </w:r>
          </w:p>
        </w:tc>
        <w:tc>
          <w:tcPr>
            <w:tcW w:w="160" w:type="dxa"/>
            <w:vAlign w:val="bottom"/>
            <w:shd w:val="clear" w:color="auto" w:fill="CFF0FC"/>
          </w:tcPr>
          <w:p>
            <w:pPr>
              <w:spacing w:after="0"/>
              <w:rPr>
                <w:sz w:val="19"/>
                <w:szCs w:val="19"/>
                <w:color w:val="auto"/>
              </w:rPr>
            </w:pPr>
          </w:p>
        </w:tc>
        <w:tc>
          <w:tcPr>
            <w:tcW w:w="1240" w:type="dxa"/>
            <w:vAlign w:val="bottom"/>
            <w:gridSpan w:val="2"/>
            <w:shd w:val="clear" w:color="auto" w:fill="CFF0FC"/>
          </w:tcPr>
          <w:p>
            <w:pPr>
              <w:jc w:val="center"/>
              <w:ind w:left="10"/>
              <w:spacing w:after="0"/>
              <w:rPr>
                <w:sz w:val="20"/>
                <w:szCs w:val="20"/>
                <w:color w:val="auto"/>
              </w:rPr>
            </w:pPr>
            <w:r>
              <w:rPr>
                <w:rFonts w:ascii="Arial" w:cs="Arial" w:eastAsia="Arial" w:hAnsi="Arial"/>
                <w:sz w:val="18"/>
                <w:szCs w:val="18"/>
                <w:color w:val="auto"/>
                <w:w w:val="90"/>
              </w:rPr>
              <w:t>12.6%</w:t>
            </w:r>
          </w:p>
        </w:tc>
        <w:tc>
          <w:tcPr>
            <w:tcW w:w="3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38,084</w:t>
            </w:r>
          </w:p>
        </w:tc>
        <w:tc>
          <w:tcPr>
            <w:tcW w:w="3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center"/>
              <w:ind w:right="30"/>
              <w:spacing w:after="0"/>
              <w:rPr>
                <w:sz w:val="20"/>
                <w:szCs w:val="20"/>
                <w:color w:val="auto"/>
              </w:rPr>
            </w:pPr>
            <w:r>
              <w:rPr>
                <w:rFonts w:ascii="Arial" w:cs="Arial" w:eastAsia="Arial" w:hAnsi="Arial"/>
                <w:sz w:val="18"/>
                <w:szCs w:val="18"/>
                <w:color w:val="auto"/>
                <w:w w:val="93"/>
              </w:rPr>
              <w:t>14.0%</w:t>
            </w:r>
          </w:p>
        </w:tc>
        <w:tc>
          <w:tcPr>
            <w:tcW w:w="120" w:type="dxa"/>
            <w:vAlign w:val="bottom"/>
            <w:shd w:val="clear" w:color="auto" w:fill="CFF0FC"/>
          </w:tcPr>
          <w:p>
            <w:pPr>
              <w:spacing w:after="0"/>
              <w:rPr>
                <w:sz w:val="19"/>
                <w:szCs w:val="19"/>
                <w:color w:val="auto"/>
              </w:rPr>
            </w:pPr>
          </w:p>
        </w:tc>
      </w:tr>
      <w:tr>
        <w:trPr>
          <w:trHeight w:val="229"/>
        </w:trPr>
        <w:tc>
          <w:tcPr>
            <w:tcW w:w="5500" w:type="dxa"/>
            <w:vAlign w:val="bottom"/>
          </w:tcPr>
          <w:p>
            <w:pPr>
              <w:ind w:left="260"/>
              <w:spacing w:after="0"/>
              <w:rPr>
                <w:sz w:val="20"/>
                <w:szCs w:val="20"/>
                <w:color w:val="auto"/>
              </w:rPr>
            </w:pPr>
            <w:r>
              <w:rPr>
                <w:rFonts w:ascii="Arial" w:cs="Arial" w:eastAsia="Arial" w:hAnsi="Arial"/>
                <w:sz w:val="18"/>
                <w:szCs w:val="18"/>
                <w:color w:val="auto"/>
              </w:rPr>
              <w:t>Transaction related and other costs</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1,714</w:t>
            </w:r>
          </w:p>
        </w:tc>
        <w:tc>
          <w:tcPr>
            <w:tcW w:w="160" w:type="dxa"/>
            <w:vAlign w:val="bottom"/>
          </w:tcPr>
          <w:p>
            <w:pPr>
              <w:spacing w:after="0"/>
              <w:rPr>
                <w:sz w:val="19"/>
                <w:szCs w:val="19"/>
                <w:color w:val="auto"/>
              </w:rPr>
            </w:pPr>
          </w:p>
        </w:tc>
        <w:tc>
          <w:tcPr>
            <w:tcW w:w="1240" w:type="dxa"/>
            <w:vAlign w:val="bottom"/>
            <w:gridSpan w:val="2"/>
          </w:tcPr>
          <w:p>
            <w:pPr>
              <w:jc w:val="center"/>
              <w:ind w:left="10"/>
              <w:spacing w:after="0"/>
              <w:rPr>
                <w:sz w:val="20"/>
                <w:szCs w:val="20"/>
                <w:color w:val="auto"/>
              </w:rPr>
            </w:pPr>
            <w:r>
              <w:rPr>
                <w:rFonts w:ascii="Arial" w:cs="Arial" w:eastAsia="Arial" w:hAnsi="Arial"/>
                <w:sz w:val="18"/>
                <w:szCs w:val="18"/>
                <w:color w:val="auto"/>
                <w:w w:val="92"/>
              </w:rPr>
              <w:t>0.6%</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4,137</w:t>
            </w: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jc w:val="center"/>
              <w:ind w:right="30"/>
              <w:spacing w:after="0"/>
              <w:rPr>
                <w:sz w:val="20"/>
                <w:szCs w:val="20"/>
                <w:color w:val="auto"/>
              </w:rPr>
            </w:pPr>
            <w:r>
              <w:rPr>
                <w:rFonts w:ascii="Arial" w:cs="Arial" w:eastAsia="Arial" w:hAnsi="Arial"/>
                <w:sz w:val="18"/>
                <w:szCs w:val="18"/>
                <w:color w:val="auto"/>
                <w:w w:val="87"/>
              </w:rPr>
              <w:t>1.5%</w:t>
            </w:r>
          </w:p>
        </w:tc>
        <w:tc>
          <w:tcPr>
            <w:tcW w:w="120" w:type="dxa"/>
            <w:vAlign w:val="bottom"/>
          </w:tcPr>
          <w:p>
            <w:pPr>
              <w:spacing w:after="0"/>
              <w:rPr>
                <w:sz w:val="19"/>
                <w:szCs w:val="19"/>
                <w:color w:val="auto"/>
              </w:rPr>
            </w:pPr>
          </w:p>
        </w:tc>
      </w:tr>
      <w:tr>
        <w:trPr>
          <w:trHeight w:val="229"/>
        </w:trPr>
        <w:tc>
          <w:tcPr>
            <w:tcW w:w="55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 (income) expense, net</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(398)</w:t>
            </w:r>
          </w:p>
        </w:tc>
        <w:tc>
          <w:tcPr>
            <w:tcW w:w="1240" w:type="dxa"/>
            <w:vAlign w:val="bottom"/>
            <w:gridSpan w:val="2"/>
            <w:shd w:val="clear" w:color="auto" w:fill="CFF0FC"/>
          </w:tcPr>
          <w:p>
            <w:pPr>
              <w:jc w:val="center"/>
              <w:ind w:left="10"/>
              <w:spacing w:after="0"/>
              <w:rPr>
                <w:sz w:val="20"/>
                <w:szCs w:val="20"/>
                <w:color w:val="auto"/>
              </w:rPr>
            </w:pPr>
            <w:r>
              <w:rPr>
                <w:rFonts w:ascii="Arial" w:cs="Arial" w:eastAsia="Arial" w:hAnsi="Arial"/>
                <w:sz w:val="18"/>
                <w:szCs w:val="18"/>
                <w:color w:val="auto"/>
                <w:w w:val="94"/>
              </w:rPr>
              <w:t>(0.1%)</w:t>
            </w:r>
          </w:p>
        </w:tc>
        <w:tc>
          <w:tcPr>
            <w:tcW w:w="3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454</w:t>
            </w:r>
          </w:p>
        </w:tc>
        <w:tc>
          <w:tcPr>
            <w:tcW w:w="3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center"/>
              <w:ind w:right="30"/>
              <w:spacing w:after="0"/>
              <w:rPr>
                <w:sz w:val="20"/>
                <w:szCs w:val="20"/>
                <w:color w:val="auto"/>
              </w:rPr>
            </w:pPr>
            <w:r>
              <w:rPr>
                <w:rFonts w:ascii="Arial" w:cs="Arial" w:eastAsia="Arial" w:hAnsi="Arial"/>
                <w:sz w:val="18"/>
                <w:szCs w:val="18"/>
                <w:color w:val="auto"/>
                <w:w w:val="87"/>
              </w:rPr>
              <w:t>0.2%</w:t>
            </w:r>
          </w:p>
        </w:tc>
        <w:tc>
          <w:tcPr>
            <w:tcW w:w="120" w:type="dxa"/>
            <w:vAlign w:val="bottom"/>
            <w:shd w:val="clear" w:color="auto" w:fill="CFF0FC"/>
          </w:tcPr>
          <w:p>
            <w:pPr>
              <w:spacing w:after="0"/>
              <w:rPr>
                <w:sz w:val="19"/>
                <w:szCs w:val="19"/>
                <w:color w:val="auto"/>
              </w:rPr>
            </w:pPr>
          </w:p>
        </w:tc>
      </w:tr>
      <w:tr>
        <w:trPr>
          <w:trHeight w:val="223"/>
        </w:trPr>
        <w:tc>
          <w:tcPr>
            <w:tcW w:w="550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Total costs and expenses</w:t>
            </w:r>
          </w:p>
        </w:tc>
        <w:tc>
          <w:tcPr>
            <w:tcW w:w="200" w:type="dxa"/>
            <w:vAlign w:val="bottom"/>
            <w:tcBorders>
              <w:bottom w:val="single" w:sz="8" w:color="CFF0FC"/>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227,791</w:t>
            </w:r>
          </w:p>
        </w:tc>
        <w:tc>
          <w:tcPr>
            <w:tcW w:w="16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11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0"/>
              </w:rPr>
              <w:t>81.9%</w:t>
            </w:r>
          </w:p>
        </w:tc>
        <w:tc>
          <w:tcPr>
            <w:tcW w:w="300" w:type="dxa"/>
            <w:vAlign w:val="bottom"/>
            <w:tcBorders>
              <w:bottom w:val="single" w:sz="8" w:color="CFF0FC"/>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280,043</w:t>
            </w:r>
          </w:p>
        </w:tc>
        <w:tc>
          <w:tcPr>
            <w:tcW w:w="300" w:type="dxa"/>
            <w:vAlign w:val="bottom"/>
            <w:tcBorders>
              <w:bottom w:val="single" w:sz="8" w:color="CFF0FC"/>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000" w:type="dxa"/>
            <w:vAlign w:val="bottom"/>
            <w:tcBorders>
              <w:top w:val="single" w:sz="8" w:color="auto"/>
              <w:bottom w:val="single" w:sz="8" w:color="auto"/>
            </w:tcBorders>
          </w:tcPr>
          <w:p>
            <w:pPr>
              <w:jc w:val="center"/>
              <w:ind w:right="30"/>
              <w:spacing w:after="0"/>
              <w:rPr>
                <w:sz w:val="20"/>
                <w:szCs w:val="20"/>
                <w:color w:val="auto"/>
              </w:rPr>
            </w:pPr>
            <w:r>
              <w:rPr>
                <w:rFonts w:ascii="Arial" w:cs="Arial" w:eastAsia="Arial" w:hAnsi="Arial"/>
                <w:sz w:val="18"/>
                <w:szCs w:val="18"/>
                <w:color w:val="auto"/>
                <w:w w:val="91"/>
              </w:rPr>
              <w:t>102.7%</w:t>
            </w:r>
          </w:p>
        </w:tc>
        <w:tc>
          <w:tcPr>
            <w:tcW w:w="120" w:type="dxa"/>
            <w:vAlign w:val="bottom"/>
            <w:tcBorders>
              <w:bottom w:val="single" w:sz="8" w:color="CFF0FC"/>
            </w:tcBorders>
          </w:tcPr>
          <w:p>
            <w:pPr>
              <w:spacing w:after="0"/>
              <w:rPr>
                <w:sz w:val="19"/>
                <w:szCs w:val="19"/>
                <w:color w:val="auto"/>
              </w:rPr>
            </w:pPr>
          </w:p>
        </w:tc>
      </w:tr>
      <w:tr>
        <w:trPr>
          <w:trHeight w:val="205"/>
        </w:trPr>
        <w:tc>
          <w:tcPr>
            <w:tcW w:w="5500" w:type="dxa"/>
            <w:vAlign w:val="bottom"/>
            <w:shd w:val="clear" w:color="auto" w:fill="CFF0FC"/>
          </w:tcPr>
          <w:p>
            <w:pPr>
              <w:spacing w:after="0" w:line="205" w:lineRule="exact"/>
              <w:rPr>
                <w:sz w:val="20"/>
                <w:szCs w:val="20"/>
                <w:color w:val="auto"/>
              </w:rPr>
            </w:pPr>
            <w:r>
              <w:rPr>
                <w:rFonts w:ascii="Arial" w:cs="Arial" w:eastAsia="Arial" w:hAnsi="Arial"/>
                <w:sz w:val="18"/>
                <w:szCs w:val="18"/>
                <w:b w:val="1"/>
                <w:bCs w:val="1"/>
                <w:color w:val="auto"/>
              </w:rPr>
              <w:t>Income (loss) before income taxes and equity in earnings from</w:t>
            </w:r>
          </w:p>
        </w:tc>
        <w:tc>
          <w:tcPr>
            <w:tcW w:w="20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102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1120" w:type="dxa"/>
            <w:vAlign w:val="bottom"/>
            <w:shd w:val="clear" w:color="auto" w:fill="CFF0FC"/>
          </w:tcPr>
          <w:p>
            <w:pPr>
              <w:spacing w:after="0"/>
              <w:rPr>
                <w:sz w:val="17"/>
                <w:szCs w:val="17"/>
                <w:color w:val="auto"/>
              </w:rPr>
            </w:pPr>
          </w:p>
        </w:tc>
        <w:tc>
          <w:tcPr>
            <w:tcW w:w="30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960" w:type="dxa"/>
            <w:vAlign w:val="bottom"/>
            <w:shd w:val="clear" w:color="auto" w:fill="CFF0FC"/>
          </w:tcPr>
          <w:p>
            <w:pPr>
              <w:spacing w:after="0"/>
              <w:rPr>
                <w:sz w:val="17"/>
                <w:szCs w:val="17"/>
                <w:color w:val="auto"/>
              </w:rPr>
            </w:pPr>
          </w:p>
        </w:tc>
        <w:tc>
          <w:tcPr>
            <w:tcW w:w="30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10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r>
      <w:tr>
        <w:trPr>
          <w:trHeight w:val="234"/>
        </w:trPr>
        <w:tc>
          <w:tcPr>
            <w:tcW w:w="550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unconsolidated entities</w:t>
            </w:r>
          </w:p>
        </w:tc>
        <w:tc>
          <w:tcPr>
            <w:tcW w:w="200" w:type="dxa"/>
            <w:vAlign w:val="bottom"/>
            <w:shd w:val="clear" w:color="auto" w:fill="CFF0FC"/>
          </w:tcPr>
          <w:p>
            <w:pPr>
              <w:spacing w:after="0"/>
              <w:rPr>
                <w:sz w:val="20"/>
                <w:szCs w:val="20"/>
                <w:color w:val="auto"/>
              </w:rPr>
            </w:pPr>
          </w:p>
        </w:tc>
        <w:tc>
          <w:tcPr>
            <w:tcW w:w="180" w:type="dxa"/>
            <w:vAlign w:val="bottom"/>
            <w:shd w:val="clear" w:color="auto" w:fill="CFF0FC"/>
          </w:tcPr>
          <w:p>
            <w:pPr>
              <w:spacing w:after="0"/>
              <w:rPr>
                <w:sz w:val="20"/>
                <w:szCs w:val="20"/>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50,243</w:t>
            </w:r>
          </w:p>
        </w:tc>
        <w:tc>
          <w:tcPr>
            <w:tcW w:w="160" w:type="dxa"/>
            <w:vAlign w:val="bottom"/>
            <w:shd w:val="clear" w:color="auto" w:fill="CFF0FC"/>
          </w:tcPr>
          <w:p>
            <w:pPr>
              <w:spacing w:after="0"/>
              <w:rPr>
                <w:sz w:val="20"/>
                <w:szCs w:val="20"/>
                <w:color w:val="auto"/>
              </w:rPr>
            </w:pPr>
          </w:p>
        </w:tc>
        <w:tc>
          <w:tcPr>
            <w:tcW w:w="1240" w:type="dxa"/>
            <w:vAlign w:val="bottom"/>
            <w:gridSpan w:val="2"/>
            <w:shd w:val="clear" w:color="auto" w:fill="CFF0FC"/>
          </w:tcPr>
          <w:p>
            <w:pPr>
              <w:jc w:val="center"/>
              <w:ind w:left="10"/>
              <w:spacing w:after="0"/>
              <w:rPr>
                <w:sz w:val="20"/>
                <w:szCs w:val="20"/>
                <w:color w:val="auto"/>
              </w:rPr>
            </w:pPr>
            <w:r>
              <w:rPr>
                <w:rFonts w:ascii="Arial" w:cs="Arial" w:eastAsia="Arial" w:hAnsi="Arial"/>
                <w:sz w:val="18"/>
                <w:szCs w:val="18"/>
                <w:color w:val="auto"/>
                <w:w w:val="90"/>
              </w:rPr>
              <w:t>18.1%</w:t>
            </w:r>
          </w:p>
        </w:tc>
        <w:tc>
          <w:tcPr>
            <w:tcW w:w="30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126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(7,457)</w:t>
            </w:r>
          </w:p>
        </w:tc>
        <w:tc>
          <w:tcPr>
            <w:tcW w:w="100" w:type="dxa"/>
            <w:vAlign w:val="bottom"/>
            <w:shd w:val="clear" w:color="auto" w:fill="CFF0FC"/>
          </w:tcPr>
          <w:p>
            <w:pPr>
              <w:spacing w:after="0"/>
              <w:rPr>
                <w:sz w:val="20"/>
                <w:szCs w:val="20"/>
                <w:color w:val="auto"/>
              </w:rPr>
            </w:pPr>
          </w:p>
        </w:tc>
        <w:tc>
          <w:tcPr>
            <w:tcW w:w="1000" w:type="dxa"/>
            <w:vAlign w:val="bottom"/>
            <w:shd w:val="clear" w:color="auto" w:fill="CFF0FC"/>
          </w:tcPr>
          <w:p>
            <w:pPr>
              <w:jc w:val="center"/>
              <w:ind w:right="30"/>
              <w:spacing w:after="0"/>
              <w:rPr>
                <w:sz w:val="20"/>
                <w:szCs w:val="20"/>
                <w:color w:val="auto"/>
              </w:rPr>
            </w:pPr>
            <w:r>
              <w:rPr>
                <w:rFonts w:ascii="Arial" w:cs="Arial" w:eastAsia="Arial" w:hAnsi="Arial"/>
                <w:sz w:val="18"/>
                <w:szCs w:val="18"/>
                <w:color w:val="auto"/>
                <w:w w:val="90"/>
              </w:rPr>
              <w:t>(2.7%)</w:t>
            </w:r>
          </w:p>
        </w:tc>
        <w:tc>
          <w:tcPr>
            <w:tcW w:w="120" w:type="dxa"/>
            <w:vAlign w:val="bottom"/>
            <w:shd w:val="clear" w:color="auto" w:fill="CFF0FC"/>
          </w:tcPr>
          <w:p>
            <w:pPr>
              <w:spacing w:after="0"/>
              <w:rPr>
                <w:sz w:val="20"/>
                <w:szCs w:val="20"/>
                <w:color w:val="auto"/>
              </w:rPr>
            </w:pPr>
          </w:p>
        </w:tc>
      </w:tr>
      <w:tr>
        <w:trPr>
          <w:trHeight w:val="229"/>
        </w:trPr>
        <w:tc>
          <w:tcPr>
            <w:tcW w:w="5500" w:type="dxa"/>
            <w:vAlign w:val="bottom"/>
          </w:tcPr>
          <w:p>
            <w:pPr>
              <w:ind w:left="260"/>
              <w:spacing w:after="0"/>
              <w:rPr>
                <w:sz w:val="20"/>
                <w:szCs w:val="20"/>
                <w:color w:val="auto"/>
              </w:rPr>
            </w:pPr>
            <w:r>
              <w:rPr>
                <w:rFonts w:ascii="Arial" w:cs="Arial" w:eastAsia="Arial" w:hAnsi="Arial"/>
                <w:sz w:val="18"/>
                <w:szCs w:val="18"/>
                <w:color w:val="auto"/>
              </w:rPr>
              <w:t>Income tax benefit</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(2,071)</w:t>
            </w:r>
          </w:p>
        </w:tc>
        <w:tc>
          <w:tcPr>
            <w:tcW w:w="1240" w:type="dxa"/>
            <w:vAlign w:val="bottom"/>
            <w:gridSpan w:val="2"/>
          </w:tcPr>
          <w:p>
            <w:pPr>
              <w:jc w:val="center"/>
              <w:ind w:left="10"/>
              <w:spacing w:after="0"/>
              <w:rPr>
                <w:sz w:val="20"/>
                <w:szCs w:val="20"/>
                <w:color w:val="auto"/>
              </w:rPr>
            </w:pPr>
            <w:r>
              <w:rPr>
                <w:rFonts w:ascii="Arial" w:cs="Arial" w:eastAsia="Arial" w:hAnsi="Arial"/>
                <w:sz w:val="18"/>
                <w:szCs w:val="18"/>
                <w:color w:val="auto"/>
                <w:w w:val="94"/>
              </w:rPr>
              <w:t>(0.7%)</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(2,557)</w:t>
            </w:r>
          </w:p>
        </w:tc>
        <w:tc>
          <w:tcPr>
            <w:tcW w:w="100" w:type="dxa"/>
            <w:vAlign w:val="bottom"/>
          </w:tcPr>
          <w:p>
            <w:pPr>
              <w:spacing w:after="0"/>
              <w:rPr>
                <w:sz w:val="19"/>
                <w:szCs w:val="19"/>
                <w:color w:val="auto"/>
              </w:rPr>
            </w:pPr>
          </w:p>
        </w:tc>
        <w:tc>
          <w:tcPr>
            <w:tcW w:w="1000" w:type="dxa"/>
            <w:vAlign w:val="bottom"/>
          </w:tcPr>
          <w:p>
            <w:pPr>
              <w:jc w:val="center"/>
              <w:ind w:right="30"/>
              <w:spacing w:after="0"/>
              <w:rPr>
                <w:sz w:val="20"/>
                <w:szCs w:val="20"/>
                <w:color w:val="auto"/>
              </w:rPr>
            </w:pPr>
            <w:r>
              <w:rPr>
                <w:rFonts w:ascii="Arial" w:cs="Arial" w:eastAsia="Arial" w:hAnsi="Arial"/>
                <w:sz w:val="18"/>
                <w:szCs w:val="18"/>
                <w:color w:val="auto"/>
                <w:w w:val="90"/>
              </w:rPr>
              <w:t>(0.9%)</w:t>
            </w:r>
          </w:p>
        </w:tc>
        <w:tc>
          <w:tcPr>
            <w:tcW w:w="120" w:type="dxa"/>
            <w:vAlign w:val="bottom"/>
          </w:tcPr>
          <w:p>
            <w:pPr>
              <w:spacing w:after="0"/>
              <w:rPr>
                <w:sz w:val="19"/>
                <w:szCs w:val="19"/>
                <w:color w:val="auto"/>
              </w:rPr>
            </w:pPr>
          </w:p>
        </w:tc>
      </w:tr>
      <w:tr>
        <w:trPr>
          <w:trHeight w:val="230"/>
        </w:trPr>
        <w:tc>
          <w:tcPr>
            <w:tcW w:w="55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Equity in earnings from unconsolidated entities</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(544)</w:t>
            </w:r>
          </w:p>
        </w:tc>
        <w:tc>
          <w:tcPr>
            <w:tcW w:w="1240" w:type="dxa"/>
            <w:vAlign w:val="bottom"/>
            <w:gridSpan w:val="2"/>
            <w:shd w:val="clear" w:color="auto" w:fill="CFF0FC"/>
          </w:tcPr>
          <w:p>
            <w:pPr>
              <w:jc w:val="center"/>
              <w:ind w:left="10"/>
              <w:spacing w:after="0"/>
              <w:rPr>
                <w:sz w:val="20"/>
                <w:szCs w:val="20"/>
                <w:color w:val="auto"/>
              </w:rPr>
            </w:pPr>
            <w:r>
              <w:rPr>
                <w:rFonts w:ascii="Arial" w:cs="Arial" w:eastAsia="Arial" w:hAnsi="Arial"/>
                <w:sz w:val="18"/>
                <w:szCs w:val="18"/>
                <w:color w:val="auto"/>
                <w:w w:val="94"/>
              </w:rPr>
              <w:t>(0.2%)</w:t>
            </w:r>
          </w:p>
        </w:tc>
        <w:tc>
          <w:tcPr>
            <w:tcW w:w="3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(398)</w:t>
            </w: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center"/>
              <w:ind w:right="30"/>
              <w:spacing w:after="0"/>
              <w:rPr>
                <w:sz w:val="20"/>
                <w:szCs w:val="20"/>
                <w:color w:val="auto"/>
              </w:rPr>
            </w:pPr>
            <w:r>
              <w:rPr>
                <w:rFonts w:ascii="Arial" w:cs="Arial" w:eastAsia="Arial" w:hAnsi="Arial"/>
                <w:sz w:val="18"/>
                <w:szCs w:val="18"/>
                <w:color w:val="auto"/>
                <w:w w:val="90"/>
              </w:rPr>
              <w:t>(0.1%)</w:t>
            </w:r>
          </w:p>
        </w:tc>
        <w:tc>
          <w:tcPr>
            <w:tcW w:w="120" w:type="dxa"/>
            <w:vAlign w:val="bottom"/>
            <w:shd w:val="clear" w:color="auto" w:fill="CFF0FC"/>
          </w:tcPr>
          <w:p>
            <w:pPr>
              <w:spacing w:after="0"/>
              <w:rPr>
                <w:sz w:val="19"/>
                <w:szCs w:val="19"/>
                <w:color w:val="auto"/>
              </w:rPr>
            </w:pPr>
          </w:p>
        </w:tc>
      </w:tr>
      <w:tr>
        <w:trPr>
          <w:trHeight w:val="223"/>
        </w:trPr>
        <w:tc>
          <w:tcPr>
            <w:tcW w:w="5500" w:type="dxa"/>
            <w:vAlign w:val="bottom"/>
          </w:tcPr>
          <w:p>
            <w:pPr>
              <w:spacing w:after="0"/>
              <w:rPr>
                <w:sz w:val="20"/>
                <w:szCs w:val="20"/>
                <w:color w:val="auto"/>
              </w:rPr>
            </w:pPr>
            <w:r>
              <w:rPr>
                <w:rFonts w:ascii="Arial" w:cs="Arial" w:eastAsia="Arial" w:hAnsi="Arial"/>
                <w:sz w:val="18"/>
                <w:szCs w:val="18"/>
                <w:b w:val="1"/>
                <w:bCs w:val="1"/>
                <w:color w:val="auto"/>
              </w:rPr>
              <w:t>Net income (loss)</w:t>
            </w:r>
          </w:p>
        </w:tc>
        <w:tc>
          <w:tcPr>
            <w:tcW w:w="20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52,858</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19.0%</w:t>
            </w:r>
          </w:p>
        </w:tc>
        <w:tc>
          <w:tcPr>
            <w:tcW w:w="30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(4,502)</w:t>
            </w:r>
          </w:p>
        </w:tc>
        <w:tc>
          <w:tcPr>
            <w:tcW w:w="3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000" w:type="dxa"/>
            <w:vAlign w:val="bottom"/>
            <w:tcBorders>
              <w:top w:val="single" w:sz="8" w:color="auto"/>
            </w:tcBorders>
          </w:tcPr>
          <w:p>
            <w:pPr>
              <w:jc w:val="center"/>
              <w:ind w:right="30"/>
              <w:spacing w:after="0"/>
              <w:rPr>
                <w:sz w:val="20"/>
                <w:szCs w:val="20"/>
                <w:color w:val="auto"/>
              </w:rPr>
            </w:pPr>
            <w:r>
              <w:rPr>
                <w:rFonts w:ascii="Arial" w:cs="Arial" w:eastAsia="Arial" w:hAnsi="Arial"/>
                <w:sz w:val="18"/>
                <w:szCs w:val="18"/>
                <w:color w:val="auto"/>
                <w:w w:val="90"/>
              </w:rPr>
              <w:t>(1.7%)</w:t>
            </w:r>
          </w:p>
        </w:tc>
        <w:tc>
          <w:tcPr>
            <w:tcW w:w="120" w:type="dxa"/>
            <w:vAlign w:val="bottom"/>
          </w:tcPr>
          <w:p>
            <w:pPr>
              <w:spacing w:after="0"/>
              <w:rPr>
                <w:sz w:val="19"/>
                <w:szCs w:val="19"/>
                <w:color w:val="auto"/>
              </w:rPr>
            </w:pPr>
          </w:p>
        </w:tc>
      </w:tr>
      <w:tr>
        <w:trPr>
          <w:trHeight w:val="230"/>
        </w:trPr>
        <w:tc>
          <w:tcPr>
            <w:tcW w:w="5500" w:type="dxa"/>
            <w:vAlign w:val="bottom"/>
            <w:shd w:val="clear" w:color="auto" w:fill="CFF0FC"/>
          </w:tcPr>
          <w:p>
            <w:pPr>
              <w:spacing w:after="0"/>
              <w:rPr>
                <w:sz w:val="20"/>
                <w:szCs w:val="20"/>
                <w:color w:val="auto"/>
              </w:rPr>
            </w:pPr>
            <w:r>
              <w:rPr>
                <w:rFonts w:ascii="Arial" w:cs="Arial" w:eastAsia="Arial" w:hAnsi="Arial"/>
                <w:sz w:val="18"/>
                <w:szCs w:val="18"/>
                <w:color w:val="auto"/>
              </w:rPr>
              <w:t>Net income (loss) attributable to noncontrolling interests</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128</w:t>
            </w:r>
          </w:p>
        </w:tc>
        <w:tc>
          <w:tcPr>
            <w:tcW w:w="160" w:type="dxa"/>
            <w:vAlign w:val="bottom"/>
            <w:shd w:val="clear" w:color="auto" w:fill="CFF0FC"/>
          </w:tcPr>
          <w:p>
            <w:pPr>
              <w:spacing w:after="0"/>
              <w:rPr>
                <w:sz w:val="19"/>
                <w:szCs w:val="19"/>
                <w:color w:val="auto"/>
              </w:rPr>
            </w:pPr>
          </w:p>
        </w:tc>
        <w:tc>
          <w:tcPr>
            <w:tcW w:w="1240" w:type="dxa"/>
            <w:vAlign w:val="bottom"/>
            <w:gridSpan w:val="2"/>
            <w:shd w:val="clear" w:color="auto" w:fill="CFF0FC"/>
          </w:tcPr>
          <w:p>
            <w:pPr>
              <w:jc w:val="center"/>
              <w:ind w:left="10"/>
              <w:spacing w:after="0"/>
              <w:rPr>
                <w:sz w:val="20"/>
                <w:szCs w:val="20"/>
                <w:color w:val="auto"/>
              </w:rPr>
            </w:pPr>
            <w:r>
              <w:rPr>
                <w:rFonts w:ascii="Arial" w:cs="Arial" w:eastAsia="Arial" w:hAnsi="Arial"/>
                <w:sz w:val="18"/>
                <w:szCs w:val="18"/>
                <w:color w:val="auto"/>
                <w:w w:val="92"/>
              </w:rPr>
              <w:t>0.1%</w:t>
            </w:r>
          </w:p>
        </w:tc>
        <w:tc>
          <w:tcPr>
            <w:tcW w:w="3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(64)</w:t>
            </w: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center"/>
              <w:ind w:right="30"/>
              <w:spacing w:after="0"/>
              <w:rPr>
                <w:sz w:val="20"/>
                <w:szCs w:val="20"/>
                <w:color w:val="auto"/>
              </w:rPr>
            </w:pPr>
            <w:r>
              <w:rPr>
                <w:rFonts w:ascii="Arial" w:cs="Arial" w:eastAsia="Arial" w:hAnsi="Arial"/>
                <w:sz w:val="18"/>
                <w:szCs w:val="18"/>
                <w:color w:val="auto"/>
                <w:w w:val="90"/>
              </w:rPr>
              <w:t>(0.1%)</w:t>
            </w:r>
          </w:p>
        </w:tc>
        <w:tc>
          <w:tcPr>
            <w:tcW w:w="120" w:type="dxa"/>
            <w:vAlign w:val="bottom"/>
            <w:shd w:val="clear" w:color="auto" w:fill="CFF0FC"/>
          </w:tcPr>
          <w:p>
            <w:pPr>
              <w:spacing w:after="0"/>
              <w:rPr>
                <w:sz w:val="19"/>
                <w:szCs w:val="19"/>
                <w:color w:val="auto"/>
              </w:rPr>
            </w:pPr>
          </w:p>
        </w:tc>
      </w:tr>
      <w:tr>
        <w:trPr>
          <w:trHeight w:val="223"/>
        </w:trPr>
        <w:tc>
          <w:tcPr>
            <w:tcW w:w="5500" w:type="dxa"/>
            <w:vAlign w:val="bottom"/>
          </w:tcPr>
          <w:p>
            <w:pPr>
              <w:spacing w:after="0"/>
              <w:rPr>
                <w:sz w:val="20"/>
                <w:szCs w:val="20"/>
                <w:color w:val="auto"/>
              </w:rPr>
            </w:pPr>
            <w:r>
              <w:rPr>
                <w:rFonts w:ascii="Arial" w:cs="Arial" w:eastAsia="Arial" w:hAnsi="Arial"/>
                <w:sz w:val="18"/>
                <w:szCs w:val="18"/>
                <w:b w:val="1"/>
                <w:bCs w:val="1"/>
                <w:color w:val="auto"/>
              </w:rPr>
              <w:t>Net income (loss) attributable to shareholders</w:t>
            </w:r>
          </w:p>
        </w:tc>
        <w:tc>
          <w:tcPr>
            <w:tcW w:w="20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52,730</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18.9%</w:t>
            </w:r>
          </w:p>
        </w:tc>
        <w:tc>
          <w:tcPr>
            <w:tcW w:w="30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(4,438)</w:t>
            </w:r>
          </w:p>
        </w:tc>
        <w:tc>
          <w:tcPr>
            <w:tcW w:w="3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000" w:type="dxa"/>
            <w:vAlign w:val="bottom"/>
            <w:tcBorders>
              <w:top w:val="single" w:sz="8" w:color="auto"/>
            </w:tcBorders>
          </w:tcPr>
          <w:p>
            <w:pPr>
              <w:jc w:val="center"/>
              <w:ind w:right="30"/>
              <w:spacing w:after="0"/>
              <w:rPr>
                <w:sz w:val="20"/>
                <w:szCs w:val="20"/>
                <w:color w:val="auto"/>
              </w:rPr>
            </w:pPr>
            <w:r>
              <w:rPr>
                <w:rFonts w:ascii="Arial" w:cs="Arial" w:eastAsia="Arial" w:hAnsi="Arial"/>
                <w:sz w:val="18"/>
                <w:szCs w:val="18"/>
                <w:color w:val="auto"/>
                <w:w w:val="90"/>
              </w:rPr>
              <w:t>(1.6%)</w:t>
            </w:r>
          </w:p>
        </w:tc>
        <w:tc>
          <w:tcPr>
            <w:tcW w:w="120" w:type="dxa"/>
            <w:vAlign w:val="bottom"/>
          </w:tcPr>
          <w:p>
            <w:pPr>
              <w:spacing w:after="0"/>
              <w:rPr>
                <w:sz w:val="19"/>
                <w:szCs w:val="19"/>
                <w:color w:val="auto"/>
              </w:rPr>
            </w:pPr>
          </w:p>
        </w:tc>
      </w:tr>
      <w:tr>
        <w:trPr>
          <w:trHeight w:val="230"/>
        </w:trPr>
        <w:tc>
          <w:tcPr>
            <w:tcW w:w="55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Participating securities' share in earnings</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(331)</w:t>
            </w:r>
          </w:p>
        </w:tc>
        <w:tc>
          <w:tcPr>
            <w:tcW w:w="1240" w:type="dxa"/>
            <w:vAlign w:val="bottom"/>
            <w:gridSpan w:val="2"/>
            <w:shd w:val="clear" w:color="auto" w:fill="CFF0FC"/>
          </w:tcPr>
          <w:p>
            <w:pPr>
              <w:jc w:val="center"/>
              <w:ind w:left="10"/>
              <w:spacing w:after="0"/>
              <w:rPr>
                <w:sz w:val="20"/>
                <w:szCs w:val="20"/>
                <w:color w:val="auto"/>
              </w:rPr>
            </w:pPr>
            <w:r>
              <w:rPr>
                <w:rFonts w:ascii="Arial" w:cs="Arial" w:eastAsia="Arial" w:hAnsi="Arial"/>
                <w:sz w:val="18"/>
                <w:szCs w:val="18"/>
                <w:color w:val="auto"/>
                <w:w w:val="94"/>
              </w:rPr>
              <w:t>(0.1%)</w:t>
            </w:r>
          </w:p>
        </w:tc>
        <w:tc>
          <w:tcPr>
            <w:tcW w:w="3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(248)</w:t>
            </w:r>
          </w:p>
        </w:tc>
        <w:tc>
          <w:tcPr>
            <w:tcW w:w="100" w:type="dxa"/>
            <w:vAlign w:val="bottom"/>
            <w:shd w:val="clear" w:color="auto" w:fill="CFF0FC"/>
          </w:tcPr>
          <w:p>
            <w:pPr>
              <w:spacing w:after="0"/>
              <w:rPr>
                <w:sz w:val="19"/>
                <w:szCs w:val="19"/>
                <w:color w:val="auto"/>
              </w:rPr>
            </w:pPr>
          </w:p>
        </w:tc>
        <w:tc>
          <w:tcPr>
            <w:tcW w:w="1000" w:type="dxa"/>
            <w:vAlign w:val="bottom"/>
            <w:shd w:val="clear" w:color="auto" w:fill="CFF0FC"/>
          </w:tcPr>
          <w:p>
            <w:pPr>
              <w:jc w:val="center"/>
              <w:ind w:right="30"/>
              <w:spacing w:after="0"/>
              <w:rPr>
                <w:sz w:val="20"/>
                <w:szCs w:val="20"/>
                <w:color w:val="auto"/>
              </w:rPr>
            </w:pPr>
            <w:r>
              <w:rPr>
                <w:rFonts w:ascii="Arial" w:cs="Arial" w:eastAsia="Arial" w:hAnsi="Arial"/>
                <w:sz w:val="18"/>
                <w:szCs w:val="18"/>
                <w:color w:val="auto"/>
                <w:w w:val="90"/>
              </w:rPr>
              <w:t>(0.1%)</w:t>
            </w:r>
          </w:p>
        </w:tc>
        <w:tc>
          <w:tcPr>
            <w:tcW w:w="120" w:type="dxa"/>
            <w:vAlign w:val="bottom"/>
            <w:shd w:val="clear" w:color="auto" w:fill="CFF0FC"/>
          </w:tcPr>
          <w:p>
            <w:pPr>
              <w:spacing w:after="0"/>
              <w:rPr>
                <w:sz w:val="19"/>
                <w:szCs w:val="19"/>
                <w:color w:val="auto"/>
              </w:rPr>
            </w:pPr>
          </w:p>
        </w:tc>
      </w:tr>
      <w:tr>
        <w:trPr>
          <w:trHeight w:val="230"/>
        </w:trPr>
        <w:tc>
          <w:tcPr>
            <w:tcW w:w="5500" w:type="dxa"/>
            <w:vAlign w:val="bottom"/>
          </w:tcPr>
          <w:p>
            <w:pPr>
              <w:ind w:left="260"/>
              <w:spacing w:after="0"/>
              <w:rPr>
                <w:sz w:val="20"/>
                <w:szCs w:val="20"/>
                <w:color w:val="auto"/>
              </w:rPr>
            </w:pPr>
            <w:r>
              <w:rPr>
                <w:rFonts w:ascii="Arial" w:cs="Arial" w:eastAsia="Arial" w:hAnsi="Arial"/>
                <w:sz w:val="18"/>
                <w:szCs w:val="18"/>
                <w:color w:val="auto"/>
              </w:rPr>
              <w:t>Dividends declared on convertible preferred stock</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(5)</w:t>
            </w:r>
          </w:p>
        </w:tc>
        <w:tc>
          <w:tcPr>
            <w:tcW w:w="1240" w:type="dxa"/>
            <w:vAlign w:val="bottom"/>
            <w:gridSpan w:val="2"/>
          </w:tcPr>
          <w:p>
            <w:pPr>
              <w:jc w:val="center"/>
              <w:ind w:left="10"/>
              <w:spacing w:after="0"/>
              <w:rPr>
                <w:sz w:val="20"/>
                <w:szCs w:val="20"/>
                <w:color w:val="auto"/>
              </w:rPr>
            </w:pPr>
            <w:r>
              <w:rPr>
                <w:rFonts w:ascii="Arial" w:cs="Arial" w:eastAsia="Arial" w:hAnsi="Arial"/>
                <w:sz w:val="18"/>
                <w:szCs w:val="18"/>
                <w:color w:val="auto"/>
                <w:w w:val="94"/>
              </w:rPr>
              <w:t>(0.0%)</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19"/>
                <w:szCs w:val="19"/>
                <w:color w:val="auto"/>
              </w:rPr>
            </w:pPr>
          </w:p>
        </w:tc>
        <w:tc>
          <w:tcPr>
            <w:tcW w:w="1000" w:type="dxa"/>
            <w:vAlign w:val="bottom"/>
          </w:tcPr>
          <w:p>
            <w:pPr>
              <w:jc w:val="center"/>
              <w:ind w:right="30"/>
              <w:spacing w:after="0"/>
              <w:rPr>
                <w:sz w:val="20"/>
                <w:szCs w:val="20"/>
                <w:color w:val="auto"/>
              </w:rPr>
            </w:pPr>
            <w:r>
              <w:rPr>
                <w:rFonts w:ascii="Arial" w:cs="Arial" w:eastAsia="Arial" w:hAnsi="Arial"/>
                <w:sz w:val="18"/>
                <w:szCs w:val="18"/>
                <w:color w:val="auto"/>
                <w:w w:val="90"/>
              </w:rPr>
              <w:t>(0.0%)</w:t>
            </w:r>
          </w:p>
        </w:tc>
        <w:tc>
          <w:tcPr>
            <w:tcW w:w="120" w:type="dxa"/>
            <w:vAlign w:val="bottom"/>
          </w:tcPr>
          <w:p>
            <w:pPr>
              <w:spacing w:after="0"/>
              <w:rPr>
                <w:sz w:val="19"/>
                <w:szCs w:val="19"/>
                <w:color w:val="auto"/>
              </w:rPr>
            </w:pPr>
          </w:p>
        </w:tc>
      </w:tr>
      <w:tr>
        <w:trPr>
          <w:trHeight w:val="223"/>
        </w:trPr>
        <w:tc>
          <w:tcPr>
            <w:tcW w:w="550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Net income (loss) attributable to common shareholders</w:t>
            </w:r>
          </w:p>
        </w:tc>
        <w:tc>
          <w:tcPr>
            <w:tcW w:w="20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auto"/>
              <w:bottom w:val="single" w:sz="8" w:color="auto"/>
            </w:tcBorders>
            <w:shd w:val="clear" w:color="auto" w:fill="CFF0FC"/>
          </w:tcPr>
          <w:p>
            <w:pPr>
              <w:jc w:val="right"/>
              <w:ind w:right="27"/>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52,394</w:t>
            </w:r>
          </w:p>
        </w:tc>
        <w:tc>
          <w:tcPr>
            <w:tcW w:w="16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1120" w:type="dxa"/>
            <w:vAlign w:val="bottom"/>
            <w:tcBorders>
              <w:top w:val="single" w:sz="8" w:color="auto"/>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0"/>
              </w:rPr>
              <w:t>18.8%</w:t>
            </w:r>
          </w:p>
        </w:tc>
        <w:tc>
          <w:tcPr>
            <w:tcW w:w="300" w:type="dxa"/>
            <w:vAlign w:val="bottom"/>
            <w:tcBorders>
              <w:top w:val="single" w:sz="8" w:color="CFF0FC"/>
              <w:bottom w:val="single" w:sz="8" w:color="CFF0FC"/>
            </w:tcBorders>
            <w:shd w:val="clear" w:color="auto" w:fill="CFF0FC"/>
          </w:tcPr>
          <w:p>
            <w:pPr>
              <w:spacing w:after="0"/>
              <w:rPr>
                <w:sz w:val="19"/>
                <w:szCs w:val="19"/>
                <w:color w:val="auto"/>
              </w:rPr>
            </w:pPr>
          </w:p>
        </w:tc>
        <w:tc>
          <w:tcPr>
            <w:tcW w:w="160" w:type="dxa"/>
            <w:vAlign w:val="bottom"/>
            <w:tcBorders>
              <w:top w:val="single" w:sz="8" w:color="auto"/>
              <w:bottom w:val="single" w:sz="8" w:color="auto"/>
            </w:tcBorders>
            <w:shd w:val="clear" w:color="auto" w:fill="CFF0FC"/>
          </w:tcPr>
          <w:p>
            <w:pPr>
              <w:jc w:val="right"/>
              <w:ind w:right="7"/>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(4,689)</w:t>
            </w:r>
          </w:p>
        </w:tc>
        <w:tc>
          <w:tcPr>
            <w:tcW w:w="30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spacing w:after="0"/>
              <w:rPr>
                <w:sz w:val="19"/>
                <w:szCs w:val="19"/>
                <w:color w:val="auto"/>
              </w:rPr>
            </w:pPr>
          </w:p>
        </w:tc>
        <w:tc>
          <w:tcPr>
            <w:tcW w:w="1000" w:type="dxa"/>
            <w:vAlign w:val="bottom"/>
            <w:tcBorders>
              <w:top w:val="single" w:sz="8" w:color="auto"/>
              <w:bottom w:val="single" w:sz="8" w:color="auto"/>
            </w:tcBorders>
            <w:shd w:val="clear" w:color="auto" w:fill="CFF0FC"/>
          </w:tcPr>
          <w:p>
            <w:pPr>
              <w:jc w:val="center"/>
              <w:ind w:right="30"/>
              <w:spacing w:after="0"/>
              <w:rPr>
                <w:sz w:val="20"/>
                <w:szCs w:val="20"/>
                <w:color w:val="auto"/>
              </w:rPr>
            </w:pPr>
            <w:r>
              <w:rPr>
                <w:rFonts w:ascii="Arial" w:cs="Arial" w:eastAsia="Arial" w:hAnsi="Arial"/>
                <w:sz w:val="18"/>
                <w:szCs w:val="18"/>
                <w:color w:val="auto"/>
                <w:w w:val="90"/>
              </w:rPr>
              <w:t>(1.7%)</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r>
      <w:tr>
        <w:trPr>
          <w:trHeight w:val="20"/>
        </w:trPr>
        <w:tc>
          <w:tcPr>
            <w:tcW w:w="55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655"/>
        </w:trPr>
        <w:tc>
          <w:tcPr>
            <w:tcW w:w="5500" w:type="dxa"/>
            <w:vAlign w:val="bottom"/>
          </w:tcPr>
          <w:p>
            <w:pPr>
              <w:spacing w:after="0"/>
              <w:rPr>
                <w:sz w:val="24"/>
                <w:szCs w:val="24"/>
                <w:color w:val="auto"/>
              </w:rPr>
            </w:pPr>
          </w:p>
        </w:tc>
        <w:tc>
          <w:tcPr>
            <w:tcW w:w="380" w:type="dxa"/>
            <w:vAlign w:val="bottom"/>
            <w:gridSpan w:val="2"/>
          </w:tcPr>
          <w:p>
            <w:pPr>
              <w:jc w:val="right"/>
              <w:ind w:right="87"/>
              <w:spacing w:after="0"/>
              <w:rPr>
                <w:sz w:val="20"/>
                <w:szCs w:val="20"/>
                <w:color w:val="auto"/>
              </w:rPr>
            </w:pPr>
            <w:r>
              <w:rPr>
                <w:rFonts w:ascii="Arial" w:cs="Arial" w:eastAsia="Arial" w:hAnsi="Arial"/>
                <w:sz w:val="18"/>
                <w:szCs w:val="18"/>
                <w:color w:val="auto"/>
                <w:w w:val="99"/>
              </w:rPr>
              <w:t>29</w:t>
            </w:r>
          </w:p>
        </w:tc>
        <w:tc>
          <w:tcPr>
            <w:tcW w:w="10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115"/>
        </w:trPr>
        <w:tc>
          <w:tcPr>
            <w:tcW w:w="550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02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12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96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00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29" w:name="page30"/>
    <w:bookmarkEnd w:id="2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The following tables set forth, for the three months ended March 31, 2022 and 2021, revenues, Adjusted EBITDA and net (loss) income of our reportable segments:</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0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3900" w:type="dxa"/>
            <w:vAlign w:val="bottom"/>
            <w:tcBorders>
              <w:bottom w:val="single" w:sz="8" w:color="auto"/>
            </w:tcBorders>
            <w:gridSpan w:val="8"/>
          </w:tcPr>
          <w:p>
            <w:pPr>
              <w:jc w:val="right"/>
              <w:ind w:right="800"/>
              <w:spacing w:after="0"/>
              <w:rPr>
                <w:sz w:val="20"/>
                <w:szCs w:val="20"/>
                <w:color w:val="auto"/>
              </w:rPr>
            </w:pPr>
            <w:r>
              <w:rPr>
                <w:rFonts w:ascii="Arial" w:cs="Arial" w:eastAsia="Arial" w:hAnsi="Arial"/>
                <w:sz w:val="18"/>
                <w:szCs w:val="18"/>
                <w:b w:val="1"/>
                <w:bCs w:val="1"/>
                <w:color w:val="auto"/>
                <w:w w:val="98"/>
              </w:rPr>
              <w:t>Three Months Ended March 31, 2022</w:t>
            </w:r>
          </w:p>
        </w:tc>
        <w:tc>
          <w:tcPr>
            <w:tcW w:w="10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5"/>
        </w:trPr>
        <w:tc>
          <w:tcPr>
            <w:tcW w:w="30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80" w:type="dxa"/>
            <w:vAlign w:val="bottom"/>
          </w:tcPr>
          <w:p>
            <w:pPr>
              <w:jc w:val="center"/>
              <w:ind w:right="150"/>
              <w:spacing w:after="0" w:line="205" w:lineRule="exact"/>
              <w:rPr>
                <w:sz w:val="20"/>
                <w:szCs w:val="20"/>
                <w:color w:val="auto"/>
              </w:rPr>
            </w:pPr>
            <w:r>
              <w:rPr>
                <w:rFonts w:ascii="Arial" w:cs="Arial" w:eastAsia="Arial" w:hAnsi="Arial"/>
                <w:sz w:val="18"/>
                <w:szCs w:val="18"/>
                <w:b w:val="1"/>
                <w:bCs w:val="1"/>
                <w:color w:val="auto"/>
                <w:w w:val="91"/>
              </w:rPr>
              <w:t>Subtotal of</w:t>
            </w: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0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00" w:type="dxa"/>
            <w:vAlign w:val="bottom"/>
            <w:gridSpan w:val="3"/>
          </w:tcPr>
          <w:p>
            <w:pPr>
              <w:jc w:val="center"/>
              <w:ind w:right="360"/>
              <w:spacing w:after="0"/>
              <w:rPr>
                <w:sz w:val="20"/>
                <w:szCs w:val="20"/>
                <w:color w:val="auto"/>
              </w:rPr>
            </w:pPr>
            <w:r>
              <w:rPr>
                <w:rFonts w:ascii="Arial" w:cs="Arial" w:eastAsia="Arial" w:hAnsi="Arial"/>
                <w:sz w:val="18"/>
                <w:szCs w:val="18"/>
                <w:b w:val="1"/>
                <w:bCs w:val="1"/>
                <w:color w:val="auto"/>
                <w:w w:val="91"/>
              </w:rPr>
              <w:t>Reportable</w:t>
            </w:r>
          </w:p>
        </w:tc>
        <w:tc>
          <w:tcPr>
            <w:tcW w:w="0" w:type="dxa"/>
            <w:vAlign w:val="bottom"/>
          </w:tcPr>
          <w:p>
            <w:pPr>
              <w:spacing w:after="0"/>
              <w:rPr>
                <w:sz w:val="1"/>
                <w:szCs w:val="1"/>
                <w:color w:val="auto"/>
              </w:rPr>
            </w:pPr>
          </w:p>
        </w:tc>
      </w:tr>
      <w:tr>
        <w:trPr>
          <w:trHeight w:val="234"/>
        </w:trPr>
        <w:tc>
          <w:tcPr>
            <w:tcW w:w="3160" w:type="dxa"/>
            <w:vAlign w:val="bottom"/>
            <w:gridSpan w:val="3"/>
          </w:tcPr>
          <w:p>
            <w:pPr>
              <w:spacing w:after="0"/>
              <w:rPr>
                <w:sz w:val="20"/>
                <w:szCs w:val="20"/>
                <w:color w:val="auto"/>
              </w:rPr>
            </w:pPr>
            <w:r>
              <w:rPr>
                <w:rFonts w:ascii="Arial" w:cs="Arial" w:eastAsia="Arial" w:hAnsi="Arial"/>
                <w:sz w:val="18"/>
                <w:szCs w:val="18"/>
                <w:color w:val="auto"/>
              </w:rPr>
              <w:t>(Thousands)</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500" w:type="dxa"/>
            <w:vAlign w:val="bottom"/>
            <w:gridSpan w:val="2"/>
          </w:tcPr>
          <w:p>
            <w:pPr>
              <w:jc w:val="right"/>
              <w:ind w:right="660"/>
              <w:spacing w:after="0"/>
              <w:rPr>
                <w:sz w:val="20"/>
                <w:szCs w:val="20"/>
                <w:color w:val="auto"/>
              </w:rPr>
            </w:pPr>
            <w:r>
              <w:rPr>
                <w:rFonts w:ascii="Arial" w:cs="Arial" w:eastAsia="Arial" w:hAnsi="Arial"/>
                <w:sz w:val="18"/>
                <w:szCs w:val="18"/>
                <w:b w:val="1"/>
                <w:bCs w:val="1"/>
                <w:color w:val="auto"/>
              </w:rPr>
              <w:t>Leasing</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w w:val="97"/>
              </w:rPr>
              <w:t>Fiber Infrastructure</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60" w:type="dxa"/>
            <w:vAlign w:val="bottom"/>
            <w:gridSpan w:val="3"/>
          </w:tcPr>
          <w:p>
            <w:pPr>
              <w:jc w:val="right"/>
              <w:ind w:right="560"/>
              <w:spacing w:after="0"/>
              <w:rPr>
                <w:sz w:val="20"/>
                <w:szCs w:val="20"/>
                <w:color w:val="auto"/>
              </w:rPr>
            </w:pPr>
            <w:r>
              <w:rPr>
                <w:rFonts w:ascii="Arial" w:cs="Arial" w:eastAsia="Arial" w:hAnsi="Arial"/>
                <w:sz w:val="18"/>
                <w:szCs w:val="18"/>
                <w:b w:val="1"/>
                <w:bCs w:val="1"/>
                <w:color w:val="auto"/>
              </w:rPr>
              <w:t>Corporate</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00" w:type="dxa"/>
            <w:vAlign w:val="bottom"/>
            <w:gridSpan w:val="3"/>
          </w:tcPr>
          <w:p>
            <w:pPr>
              <w:jc w:val="center"/>
              <w:ind w:right="360"/>
              <w:spacing w:after="0"/>
              <w:rPr>
                <w:sz w:val="20"/>
                <w:szCs w:val="20"/>
                <w:color w:val="auto"/>
              </w:rPr>
            </w:pPr>
            <w:r>
              <w:rPr>
                <w:rFonts w:ascii="Arial" w:cs="Arial" w:eastAsia="Arial" w:hAnsi="Arial"/>
                <w:sz w:val="18"/>
                <w:szCs w:val="18"/>
                <w:b w:val="1"/>
                <w:bCs w:val="1"/>
                <w:color w:val="auto"/>
                <w:w w:val="85"/>
              </w:rPr>
              <w:t>Segments</w:t>
            </w:r>
          </w:p>
        </w:tc>
        <w:tc>
          <w:tcPr>
            <w:tcW w:w="0" w:type="dxa"/>
            <w:vAlign w:val="bottom"/>
          </w:tcPr>
          <w:p>
            <w:pPr>
              <w:spacing w:after="0"/>
              <w:rPr>
                <w:sz w:val="1"/>
                <w:szCs w:val="1"/>
                <w:color w:val="auto"/>
              </w:rPr>
            </w:pPr>
          </w:p>
        </w:tc>
      </w:tr>
      <w:tr>
        <w:trPr>
          <w:trHeight w:val="223"/>
        </w:trPr>
        <w:tc>
          <w:tcPr>
            <w:tcW w:w="30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Revenues</w:t>
            </w:r>
          </w:p>
        </w:tc>
        <w:tc>
          <w:tcPr>
            <w:tcW w:w="8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300" w:type="dxa"/>
            <w:vAlign w:val="bottom"/>
            <w:tcBorders>
              <w:top w:val="single" w:sz="8" w:color="auto"/>
            </w:tcBorders>
            <w:shd w:val="clear" w:color="auto" w:fill="CFF0FC"/>
          </w:tcPr>
          <w:p>
            <w:pPr>
              <w:spacing w:after="0"/>
              <w:rPr>
                <w:sz w:val="19"/>
                <w:szCs w:val="19"/>
                <w:color w:val="auto"/>
              </w:rPr>
            </w:pPr>
          </w:p>
        </w:tc>
        <w:tc>
          <w:tcPr>
            <w:tcW w:w="1500" w:type="dxa"/>
            <w:vAlign w:val="bottom"/>
            <w:tcBorders>
              <w:top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204,641</w:t>
            </w:r>
          </w:p>
        </w:tc>
        <w:tc>
          <w:tcPr>
            <w:tcW w:w="1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4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860" w:type="dxa"/>
            <w:vAlign w:val="bottom"/>
            <w:tcBorders>
              <w:top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73,393</w:t>
            </w:r>
          </w:p>
        </w:tc>
        <w:tc>
          <w:tcPr>
            <w:tcW w:w="18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1400" w:type="dxa"/>
            <w:vAlign w:val="bottom"/>
            <w:tcBorders>
              <w:top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6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4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jc w:val="right"/>
              <w:ind w:right="67"/>
              <w:spacing w:after="0"/>
              <w:rPr>
                <w:sz w:val="20"/>
                <w:szCs w:val="20"/>
                <w:color w:val="auto"/>
              </w:rPr>
            </w:pPr>
            <w:r>
              <w:rPr>
                <w:rFonts w:ascii="Arial" w:cs="Arial" w:eastAsia="Arial" w:hAnsi="Arial"/>
                <w:sz w:val="15"/>
                <w:szCs w:val="15"/>
                <w:color w:val="auto"/>
                <w:w w:val="71"/>
              </w:rPr>
              <w:t>$</w:t>
            </w:r>
          </w:p>
        </w:tc>
        <w:tc>
          <w:tcPr>
            <w:tcW w:w="13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278,034</w:t>
            </w: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0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60" w:type="dxa"/>
            <w:vAlign w:val="bottom"/>
            <w:gridSpan w:val="3"/>
            <w:shd w:val="clear" w:color="auto" w:fill="CFF0FC"/>
          </w:tcPr>
          <w:p>
            <w:pPr>
              <w:spacing w:after="0"/>
              <w:rPr>
                <w:sz w:val="20"/>
                <w:szCs w:val="20"/>
                <w:color w:val="auto"/>
              </w:rPr>
            </w:pPr>
            <w:r>
              <w:rPr>
                <w:rFonts w:ascii="Arial" w:cs="Arial" w:eastAsia="Arial" w:hAnsi="Arial"/>
                <w:sz w:val="18"/>
                <w:szCs w:val="18"/>
                <w:color w:val="auto"/>
              </w:rPr>
              <w:t>Adjusted EBITDA</w:t>
            </w: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300" w:type="dxa"/>
            <w:vAlign w:val="bottom"/>
            <w:shd w:val="clear" w:color="auto" w:fill="CFF0FC"/>
          </w:tcPr>
          <w:p>
            <w:pPr>
              <w:spacing w:after="0"/>
              <w:rPr>
                <w:sz w:val="19"/>
                <w:szCs w:val="19"/>
                <w:color w:val="auto"/>
              </w:rPr>
            </w:pPr>
          </w:p>
        </w:tc>
        <w:tc>
          <w:tcPr>
            <w:tcW w:w="150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198,973</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8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31,459</w:t>
            </w:r>
          </w:p>
        </w:tc>
        <w:tc>
          <w:tcPr>
            <w:tcW w:w="480" w:type="dxa"/>
            <w:vAlign w:val="bottom"/>
            <w:gridSpan w:val="3"/>
            <w:shd w:val="clear" w:color="auto" w:fill="CFF0FC"/>
          </w:tcPr>
          <w:p>
            <w:pPr>
              <w:jc w:val="right"/>
              <w:ind w:right="10"/>
              <w:spacing w:after="0"/>
              <w:rPr>
                <w:sz w:val="20"/>
                <w:szCs w:val="20"/>
                <w:color w:val="auto"/>
              </w:rPr>
            </w:pPr>
            <w:r>
              <w:rPr>
                <w:rFonts w:ascii="Arial" w:cs="Arial" w:eastAsia="Arial" w:hAnsi="Arial"/>
                <w:sz w:val="18"/>
                <w:szCs w:val="18"/>
                <w:color w:val="auto"/>
              </w:rPr>
              <w:t>$</w:t>
            </w:r>
          </w:p>
        </w:tc>
        <w:tc>
          <w:tcPr>
            <w:tcW w:w="1560" w:type="dxa"/>
            <w:vAlign w:val="bottom"/>
            <w:gridSpan w:val="3"/>
            <w:shd w:val="clear" w:color="auto" w:fill="CFF0FC"/>
          </w:tcPr>
          <w:p>
            <w:pPr>
              <w:jc w:val="right"/>
              <w:ind w:right="100"/>
              <w:spacing w:after="0"/>
              <w:rPr>
                <w:sz w:val="20"/>
                <w:szCs w:val="20"/>
                <w:color w:val="auto"/>
              </w:rPr>
            </w:pPr>
            <w:r>
              <w:rPr>
                <w:rFonts w:ascii="Arial" w:cs="Arial" w:eastAsia="Arial" w:hAnsi="Arial"/>
                <w:sz w:val="18"/>
                <w:szCs w:val="18"/>
                <w:color w:val="auto"/>
              </w:rPr>
              <w:t>(5,643)</w:t>
            </w:r>
          </w:p>
        </w:tc>
        <w:tc>
          <w:tcPr>
            <w:tcW w:w="360" w:type="dxa"/>
            <w:vAlign w:val="bottom"/>
            <w:gridSpan w:val="3"/>
            <w:shd w:val="clear" w:color="auto" w:fill="CFF0FC"/>
          </w:tcPr>
          <w:p>
            <w:pPr>
              <w:jc w:val="right"/>
              <w:ind w:right="67"/>
              <w:spacing w:after="0"/>
              <w:rPr>
                <w:sz w:val="20"/>
                <w:szCs w:val="20"/>
                <w:color w:val="auto"/>
              </w:rPr>
            </w:pPr>
            <w:r>
              <w:rPr>
                <w:rFonts w:ascii="Arial" w:cs="Arial" w:eastAsia="Arial" w:hAnsi="Arial"/>
                <w:sz w:val="18"/>
                <w:szCs w:val="18"/>
                <w:color w:val="auto"/>
              </w:rPr>
              <w:t>$</w:t>
            </w: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224,789</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160" w:type="dxa"/>
            <w:vAlign w:val="bottom"/>
            <w:gridSpan w:val="3"/>
          </w:tcPr>
          <w:p>
            <w:pPr>
              <w:spacing w:after="0"/>
              <w:rPr>
                <w:sz w:val="20"/>
                <w:szCs w:val="20"/>
                <w:color w:val="auto"/>
              </w:rPr>
            </w:pPr>
            <w:r>
              <w:rPr>
                <w:rFonts w:ascii="Arial" w:cs="Arial" w:eastAsia="Arial" w:hAnsi="Arial"/>
                <w:sz w:val="18"/>
                <w:szCs w:val="18"/>
                <w:color w:val="auto"/>
              </w:rPr>
              <w:t>Less:</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160" w:type="dxa"/>
            <w:vAlign w:val="bottom"/>
            <w:gridSpan w:val="3"/>
            <w:shd w:val="clear" w:color="auto" w:fill="CFF0FC"/>
          </w:tcPr>
          <w:p>
            <w:pPr>
              <w:ind w:left="140"/>
              <w:spacing w:after="0"/>
              <w:rPr>
                <w:sz w:val="20"/>
                <w:szCs w:val="20"/>
                <w:color w:val="auto"/>
              </w:rPr>
            </w:pPr>
            <w:r>
              <w:rPr>
                <w:rFonts w:ascii="Arial" w:cs="Arial" w:eastAsia="Arial" w:hAnsi="Arial"/>
                <w:sz w:val="18"/>
                <w:szCs w:val="18"/>
                <w:color w:val="auto"/>
              </w:rPr>
              <w:t>Interest expense</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7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96,172</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60" w:type="dxa"/>
            <w:vAlign w:val="bottom"/>
            <w:gridSpan w:val="3"/>
          </w:tcPr>
          <w:p>
            <w:pPr>
              <w:ind w:left="140"/>
              <w:spacing w:after="0"/>
              <w:rPr>
                <w:sz w:val="20"/>
                <w:szCs w:val="20"/>
                <w:color w:val="auto"/>
              </w:rPr>
            </w:pPr>
            <w:r>
              <w:rPr>
                <w:rFonts w:ascii="Arial" w:cs="Arial" w:eastAsia="Arial" w:hAnsi="Arial"/>
                <w:sz w:val="18"/>
                <w:szCs w:val="18"/>
                <w:color w:val="auto"/>
              </w:rPr>
              <w:t>Depreciation and amortization</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500" w:type="dxa"/>
            <w:vAlign w:val="bottom"/>
            <w:gridSpan w:val="2"/>
          </w:tcPr>
          <w:p>
            <w:pPr>
              <w:jc w:val="right"/>
              <w:ind w:right="20"/>
              <w:spacing w:after="0"/>
              <w:rPr>
                <w:sz w:val="20"/>
                <w:szCs w:val="20"/>
                <w:color w:val="auto"/>
              </w:rPr>
            </w:pPr>
            <w:r>
              <w:rPr>
                <w:rFonts w:ascii="Arial" w:cs="Arial" w:eastAsia="Arial" w:hAnsi="Arial"/>
                <w:sz w:val="18"/>
                <w:szCs w:val="18"/>
                <w:color w:val="auto"/>
              </w:rPr>
              <w:t>42,102</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60" w:type="dxa"/>
            <w:vAlign w:val="bottom"/>
            <w:gridSpan w:val="2"/>
          </w:tcPr>
          <w:p>
            <w:pPr>
              <w:jc w:val="right"/>
              <w:ind w:right="20"/>
              <w:spacing w:after="0"/>
              <w:rPr>
                <w:sz w:val="20"/>
                <w:szCs w:val="20"/>
                <w:color w:val="auto"/>
              </w:rPr>
            </w:pPr>
            <w:r>
              <w:rPr>
                <w:rFonts w:ascii="Arial" w:cs="Arial" w:eastAsia="Arial" w:hAnsi="Arial"/>
                <w:sz w:val="18"/>
                <w:szCs w:val="18"/>
                <w:color w:val="auto"/>
              </w:rPr>
              <w:t>29,319</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36</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71,457</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160" w:type="dxa"/>
            <w:vAlign w:val="bottom"/>
            <w:gridSpan w:val="3"/>
            <w:shd w:val="clear" w:color="auto" w:fill="CFF0FC"/>
          </w:tcPr>
          <w:p>
            <w:pPr>
              <w:ind w:left="140"/>
              <w:spacing w:after="0"/>
              <w:rPr>
                <w:sz w:val="20"/>
                <w:szCs w:val="20"/>
                <w:color w:val="auto"/>
              </w:rPr>
            </w:pPr>
            <w:r>
              <w:rPr>
                <w:rFonts w:ascii="Arial" w:cs="Arial" w:eastAsia="Arial" w:hAnsi="Arial"/>
                <w:sz w:val="18"/>
                <w:szCs w:val="18"/>
                <w:color w:val="auto"/>
              </w:rPr>
              <w:t>Other, net</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7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361</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160" w:type="dxa"/>
            <w:vAlign w:val="bottom"/>
            <w:gridSpan w:val="3"/>
          </w:tcPr>
          <w:p>
            <w:pPr>
              <w:ind w:left="140"/>
              <w:spacing w:after="0"/>
              <w:rPr>
                <w:sz w:val="20"/>
                <w:szCs w:val="20"/>
                <w:color w:val="auto"/>
              </w:rPr>
            </w:pPr>
            <w:r>
              <w:rPr>
                <w:rFonts w:ascii="Arial" w:cs="Arial" w:eastAsia="Arial" w:hAnsi="Arial"/>
                <w:sz w:val="18"/>
                <w:szCs w:val="18"/>
                <w:color w:val="auto"/>
              </w:rPr>
              <w:t>Transaction related and other costs</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1,714</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60" w:type="dxa"/>
            <w:vAlign w:val="bottom"/>
            <w:gridSpan w:val="3"/>
            <w:shd w:val="clear" w:color="auto" w:fill="CFF0FC"/>
          </w:tcPr>
          <w:p>
            <w:pPr>
              <w:ind w:left="140"/>
              <w:spacing w:after="0"/>
              <w:rPr>
                <w:sz w:val="20"/>
                <w:szCs w:val="20"/>
                <w:color w:val="auto"/>
              </w:rPr>
            </w:pPr>
            <w:r>
              <w:rPr>
                <w:rFonts w:ascii="Arial" w:cs="Arial" w:eastAsia="Arial" w:hAnsi="Arial"/>
                <w:sz w:val="18"/>
                <w:szCs w:val="18"/>
                <w:color w:val="auto"/>
              </w:rPr>
              <w:t>Stock-based compensation</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7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3,312</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160" w:type="dxa"/>
            <w:vAlign w:val="bottom"/>
            <w:gridSpan w:val="3"/>
          </w:tcPr>
          <w:p>
            <w:pPr>
              <w:ind w:left="140"/>
              <w:spacing w:after="0"/>
              <w:rPr>
                <w:sz w:val="20"/>
                <w:szCs w:val="20"/>
                <w:color w:val="auto"/>
              </w:rPr>
            </w:pPr>
            <w:r>
              <w:rPr>
                <w:rFonts w:ascii="Arial" w:cs="Arial" w:eastAsia="Arial" w:hAnsi="Arial"/>
                <w:sz w:val="18"/>
                <w:szCs w:val="18"/>
                <w:color w:val="auto"/>
              </w:rPr>
              <w:t>Income tax benefit</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00" w:type="dxa"/>
            <w:vAlign w:val="bottom"/>
            <w:gridSpan w:val="3"/>
          </w:tcPr>
          <w:p>
            <w:pPr>
              <w:jc w:val="right"/>
              <w:ind w:right="60"/>
              <w:spacing w:after="0"/>
              <w:rPr>
                <w:sz w:val="20"/>
                <w:szCs w:val="20"/>
                <w:color w:val="auto"/>
              </w:rPr>
            </w:pPr>
            <w:r>
              <w:rPr>
                <w:rFonts w:ascii="Arial" w:cs="Arial" w:eastAsia="Arial" w:hAnsi="Arial"/>
                <w:sz w:val="18"/>
                <w:szCs w:val="18"/>
                <w:color w:val="auto"/>
              </w:rPr>
              <w:t>(2,071)</w:t>
            </w:r>
          </w:p>
        </w:tc>
        <w:tc>
          <w:tcPr>
            <w:tcW w:w="0" w:type="dxa"/>
            <w:vAlign w:val="bottom"/>
          </w:tcPr>
          <w:p>
            <w:pPr>
              <w:spacing w:after="0"/>
              <w:rPr>
                <w:sz w:val="1"/>
                <w:szCs w:val="1"/>
                <w:color w:val="auto"/>
              </w:rPr>
            </w:pPr>
          </w:p>
        </w:tc>
      </w:tr>
      <w:tr>
        <w:trPr>
          <w:trHeight w:val="215"/>
        </w:trPr>
        <w:tc>
          <w:tcPr>
            <w:tcW w:w="3160" w:type="dxa"/>
            <w:vAlign w:val="bottom"/>
            <w:gridSpan w:val="3"/>
            <w:shd w:val="clear" w:color="auto" w:fill="CFF0FC"/>
          </w:tcPr>
          <w:p>
            <w:pPr>
              <w:ind w:left="140"/>
              <w:spacing w:after="0"/>
              <w:rPr>
                <w:sz w:val="20"/>
                <w:szCs w:val="20"/>
                <w:color w:val="auto"/>
              </w:rPr>
            </w:pPr>
            <w:r>
              <w:rPr>
                <w:rFonts w:ascii="Arial" w:cs="Arial" w:eastAsia="Arial" w:hAnsi="Arial"/>
                <w:sz w:val="18"/>
                <w:szCs w:val="18"/>
                <w:color w:val="auto"/>
              </w:rPr>
              <w:t>Adjustments for equity in earnings</w:t>
            </w:r>
          </w:p>
        </w:tc>
        <w:tc>
          <w:tcPr>
            <w:tcW w:w="1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3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7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36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380" w:type="dxa"/>
            <w:vAlign w:val="bottom"/>
            <w:vMerge w:val="restart"/>
            <w:shd w:val="clear" w:color="auto" w:fill="CFF0FC"/>
          </w:tcPr>
          <w:p>
            <w:pPr>
              <w:jc w:val="right"/>
              <w:spacing w:after="0"/>
              <w:rPr>
                <w:sz w:val="20"/>
                <w:szCs w:val="20"/>
                <w:color w:val="auto"/>
              </w:rPr>
            </w:pPr>
            <w:r>
              <w:rPr>
                <w:rFonts w:ascii="Arial" w:cs="Arial" w:eastAsia="Arial" w:hAnsi="Arial"/>
                <w:sz w:val="18"/>
                <w:szCs w:val="18"/>
                <w:color w:val="auto"/>
              </w:rPr>
              <w:t>986</w:t>
            </w:r>
          </w:p>
        </w:tc>
        <w:tc>
          <w:tcPr>
            <w:tcW w:w="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122"/>
        </w:trPr>
        <w:tc>
          <w:tcPr>
            <w:tcW w:w="3160" w:type="dxa"/>
            <w:vAlign w:val="bottom"/>
            <w:gridSpan w:val="3"/>
            <w:vMerge w:val="restart"/>
            <w:shd w:val="clear" w:color="auto" w:fill="CFF0FC"/>
          </w:tcPr>
          <w:p>
            <w:pPr>
              <w:ind w:left="140"/>
              <w:spacing w:after="0"/>
              <w:rPr>
                <w:sz w:val="20"/>
                <w:szCs w:val="20"/>
                <w:color w:val="auto"/>
              </w:rPr>
            </w:pPr>
            <w:r>
              <w:rPr>
                <w:rFonts w:ascii="Arial" w:cs="Arial" w:eastAsia="Arial" w:hAnsi="Arial"/>
                <w:sz w:val="18"/>
                <w:szCs w:val="18"/>
                <w:color w:val="auto"/>
              </w:rPr>
              <w:t>from unconsolidated entities</w:t>
            </w:r>
          </w:p>
        </w:tc>
        <w:tc>
          <w:tcPr>
            <w:tcW w:w="100" w:type="dxa"/>
            <w:vAlign w:val="bottom"/>
            <w:shd w:val="clear" w:color="auto" w:fill="CFF0FC"/>
          </w:tcPr>
          <w:p>
            <w:pPr>
              <w:spacing w:after="0"/>
              <w:rPr>
                <w:sz w:val="10"/>
                <w:szCs w:val="10"/>
                <w:color w:val="auto"/>
              </w:rPr>
            </w:pPr>
          </w:p>
        </w:tc>
        <w:tc>
          <w:tcPr>
            <w:tcW w:w="300" w:type="dxa"/>
            <w:vAlign w:val="bottom"/>
            <w:shd w:val="clear" w:color="auto" w:fill="CFF0FC"/>
          </w:tcPr>
          <w:p>
            <w:pPr>
              <w:spacing w:after="0"/>
              <w:rPr>
                <w:sz w:val="10"/>
                <w:szCs w:val="10"/>
                <w:color w:val="auto"/>
              </w:rPr>
            </w:pPr>
          </w:p>
        </w:tc>
        <w:tc>
          <w:tcPr>
            <w:tcW w:w="1320" w:type="dxa"/>
            <w:vAlign w:val="bottom"/>
            <w:shd w:val="clear" w:color="auto" w:fill="CFF0FC"/>
          </w:tcPr>
          <w:p>
            <w:pPr>
              <w:spacing w:after="0"/>
              <w:rPr>
                <w:sz w:val="10"/>
                <w:szCs w:val="10"/>
                <w:color w:val="auto"/>
              </w:rPr>
            </w:pPr>
          </w:p>
        </w:tc>
        <w:tc>
          <w:tcPr>
            <w:tcW w:w="180" w:type="dxa"/>
            <w:vAlign w:val="bottom"/>
            <w:shd w:val="clear" w:color="auto" w:fill="CFF0FC"/>
          </w:tcPr>
          <w:p>
            <w:pPr>
              <w:spacing w:after="0"/>
              <w:rPr>
                <w:sz w:val="10"/>
                <w:szCs w:val="10"/>
                <w:color w:val="auto"/>
              </w:rPr>
            </w:pPr>
          </w:p>
        </w:tc>
        <w:tc>
          <w:tcPr>
            <w:tcW w:w="120" w:type="dxa"/>
            <w:vAlign w:val="bottom"/>
            <w:shd w:val="clear" w:color="auto" w:fill="CFF0FC"/>
          </w:tcPr>
          <w:p>
            <w:pPr>
              <w:spacing w:after="0"/>
              <w:rPr>
                <w:sz w:val="10"/>
                <w:szCs w:val="10"/>
                <w:color w:val="auto"/>
              </w:rPr>
            </w:pPr>
          </w:p>
        </w:tc>
        <w:tc>
          <w:tcPr>
            <w:tcW w:w="120" w:type="dxa"/>
            <w:vAlign w:val="bottom"/>
            <w:shd w:val="clear" w:color="auto" w:fill="CFF0FC"/>
          </w:tcPr>
          <w:p>
            <w:pPr>
              <w:spacing w:after="0"/>
              <w:rPr>
                <w:sz w:val="10"/>
                <w:szCs w:val="10"/>
                <w:color w:val="auto"/>
              </w:rPr>
            </w:pPr>
          </w:p>
        </w:tc>
        <w:tc>
          <w:tcPr>
            <w:tcW w:w="40" w:type="dxa"/>
            <w:vAlign w:val="bottom"/>
            <w:shd w:val="clear" w:color="auto" w:fill="CFF0FC"/>
          </w:tcPr>
          <w:p>
            <w:pPr>
              <w:spacing w:after="0"/>
              <w:rPr>
                <w:sz w:val="10"/>
                <w:szCs w:val="10"/>
                <w:color w:val="auto"/>
              </w:rPr>
            </w:pPr>
          </w:p>
        </w:tc>
        <w:tc>
          <w:tcPr>
            <w:tcW w:w="140" w:type="dxa"/>
            <w:vAlign w:val="bottom"/>
            <w:shd w:val="clear" w:color="auto" w:fill="CFF0FC"/>
          </w:tcPr>
          <w:p>
            <w:pPr>
              <w:spacing w:after="0"/>
              <w:rPr>
                <w:sz w:val="10"/>
                <w:szCs w:val="10"/>
                <w:color w:val="auto"/>
              </w:rPr>
            </w:pPr>
          </w:p>
        </w:tc>
        <w:tc>
          <w:tcPr>
            <w:tcW w:w="1760" w:type="dxa"/>
            <w:vAlign w:val="bottom"/>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180" w:type="dxa"/>
            <w:vAlign w:val="bottom"/>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200" w:type="dxa"/>
            <w:vAlign w:val="bottom"/>
            <w:shd w:val="clear" w:color="auto" w:fill="CFF0FC"/>
          </w:tcPr>
          <w:p>
            <w:pPr>
              <w:spacing w:after="0"/>
              <w:rPr>
                <w:sz w:val="10"/>
                <w:szCs w:val="10"/>
                <w:color w:val="auto"/>
              </w:rPr>
            </w:pPr>
          </w:p>
        </w:tc>
        <w:tc>
          <w:tcPr>
            <w:tcW w:w="1360" w:type="dxa"/>
            <w:vAlign w:val="bottom"/>
            <w:shd w:val="clear" w:color="auto" w:fill="CFF0FC"/>
          </w:tcPr>
          <w:p>
            <w:pPr>
              <w:spacing w:after="0"/>
              <w:rPr>
                <w:sz w:val="10"/>
                <w:szCs w:val="10"/>
                <w:color w:val="auto"/>
              </w:rPr>
            </w:pPr>
          </w:p>
        </w:tc>
        <w:tc>
          <w:tcPr>
            <w:tcW w:w="40" w:type="dxa"/>
            <w:vAlign w:val="bottom"/>
            <w:shd w:val="clear" w:color="auto" w:fill="CFF0FC"/>
          </w:tcPr>
          <w:p>
            <w:pPr>
              <w:spacing w:after="0"/>
              <w:rPr>
                <w:sz w:val="10"/>
                <w:szCs w:val="10"/>
                <w:color w:val="auto"/>
              </w:rPr>
            </w:pPr>
          </w:p>
        </w:tc>
        <w:tc>
          <w:tcPr>
            <w:tcW w:w="160" w:type="dxa"/>
            <w:vAlign w:val="bottom"/>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40" w:type="dxa"/>
            <w:vAlign w:val="bottom"/>
            <w:shd w:val="clear" w:color="auto" w:fill="CFF0FC"/>
          </w:tcPr>
          <w:p>
            <w:pPr>
              <w:spacing w:after="0"/>
              <w:rPr>
                <w:sz w:val="10"/>
                <w:szCs w:val="10"/>
                <w:color w:val="auto"/>
              </w:rPr>
            </w:pPr>
          </w:p>
        </w:tc>
        <w:tc>
          <w:tcPr>
            <w:tcW w:w="220" w:type="dxa"/>
            <w:vAlign w:val="bottom"/>
            <w:shd w:val="clear" w:color="auto" w:fill="CFF0FC"/>
          </w:tcPr>
          <w:p>
            <w:pPr>
              <w:spacing w:after="0"/>
              <w:rPr>
                <w:sz w:val="10"/>
                <w:szCs w:val="10"/>
                <w:color w:val="auto"/>
              </w:rPr>
            </w:pPr>
          </w:p>
        </w:tc>
        <w:tc>
          <w:tcPr>
            <w:tcW w:w="1380" w:type="dxa"/>
            <w:vAlign w:val="bottom"/>
            <w:vMerge w:val="continue"/>
            <w:shd w:val="clear" w:color="auto" w:fill="CFF0FC"/>
          </w:tcPr>
          <w:p>
            <w:pPr>
              <w:spacing w:after="0"/>
              <w:rPr>
                <w:sz w:val="10"/>
                <w:szCs w:val="10"/>
                <w:color w:val="auto"/>
              </w:rPr>
            </w:pPr>
          </w:p>
        </w:tc>
        <w:tc>
          <w:tcPr>
            <w:tcW w:w="20" w:type="dxa"/>
            <w:vAlign w:val="bottom"/>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3160" w:type="dxa"/>
            <w:vAlign w:val="bottom"/>
            <w:gridSpan w:val="3"/>
            <w:vMerge w:val="continue"/>
            <w:shd w:val="clear" w:color="auto" w:fill="CFF0FC"/>
          </w:tcPr>
          <w:p>
            <w:pPr>
              <w:spacing w:after="0"/>
              <w:rPr>
                <w:sz w:val="9"/>
                <w:szCs w:val="9"/>
                <w:color w:val="auto"/>
              </w:rPr>
            </w:pPr>
          </w:p>
        </w:tc>
        <w:tc>
          <w:tcPr>
            <w:tcW w:w="100" w:type="dxa"/>
            <w:vAlign w:val="bottom"/>
            <w:shd w:val="clear" w:color="auto" w:fill="CFF0FC"/>
          </w:tcPr>
          <w:p>
            <w:pPr>
              <w:spacing w:after="0"/>
              <w:rPr>
                <w:sz w:val="9"/>
                <w:szCs w:val="9"/>
                <w:color w:val="auto"/>
              </w:rPr>
            </w:pPr>
          </w:p>
        </w:tc>
        <w:tc>
          <w:tcPr>
            <w:tcW w:w="300" w:type="dxa"/>
            <w:vAlign w:val="bottom"/>
            <w:shd w:val="clear" w:color="auto" w:fill="CFF0FC"/>
          </w:tcPr>
          <w:p>
            <w:pPr>
              <w:spacing w:after="0"/>
              <w:rPr>
                <w:sz w:val="9"/>
                <w:szCs w:val="9"/>
                <w:color w:val="auto"/>
              </w:rPr>
            </w:pPr>
          </w:p>
        </w:tc>
        <w:tc>
          <w:tcPr>
            <w:tcW w:w="1320" w:type="dxa"/>
            <w:vAlign w:val="bottom"/>
            <w:shd w:val="clear" w:color="auto" w:fill="CFF0FC"/>
          </w:tcPr>
          <w:p>
            <w:pPr>
              <w:spacing w:after="0"/>
              <w:rPr>
                <w:sz w:val="9"/>
                <w:szCs w:val="9"/>
                <w:color w:val="auto"/>
              </w:rPr>
            </w:pPr>
          </w:p>
        </w:tc>
        <w:tc>
          <w:tcPr>
            <w:tcW w:w="180" w:type="dxa"/>
            <w:vAlign w:val="bottom"/>
            <w:shd w:val="clear" w:color="auto" w:fill="CFF0FC"/>
          </w:tcPr>
          <w:p>
            <w:pPr>
              <w:spacing w:after="0"/>
              <w:rPr>
                <w:sz w:val="9"/>
                <w:szCs w:val="9"/>
                <w:color w:val="auto"/>
              </w:rPr>
            </w:pPr>
          </w:p>
        </w:tc>
        <w:tc>
          <w:tcPr>
            <w:tcW w:w="120" w:type="dxa"/>
            <w:vAlign w:val="bottom"/>
            <w:shd w:val="clear" w:color="auto" w:fill="CFF0FC"/>
          </w:tcPr>
          <w:p>
            <w:pPr>
              <w:spacing w:after="0"/>
              <w:rPr>
                <w:sz w:val="9"/>
                <w:szCs w:val="9"/>
                <w:color w:val="auto"/>
              </w:rPr>
            </w:pPr>
          </w:p>
        </w:tc>
        <w:tc>
          <w:tcPr>
            <w:tcW w:w="120" w:type="dxa"/>
            <w:vAlign w:val="bottom"/>
            <w:shd w:val="clear" w:color="auto" w:fill="CFF0FC"/>
          </w:tcPr>
          <w:p>
            <w:pPr>
              <w:spacing w:after="0"/>
              <w:rPr>
                <w:sz w:val="9"/>
                <w:szCs w:val="9"/>
                <w:color w:val="auto"/>
              </w:rPr>
            </w:pPr>
          </w:p>
        </w:tc>
        <w:tc>
          <w:tcPr>
            <w:tcW w:w="40" w:type="dxa"/>
            <w:vAlign w:val="bottom"/>
            <w:shd w:val="clear" w:color="auto" w:fill="CFF0FC"/>
          </w:tcPr>
          <w:p>
            <w:pPr>
              <w:spacing w:after="0"/>
              <w:rPr>
                <w:sz w:val="9"/>
                <w:szCs w:val="9"/>
                <w:color w:val="auto"/>
              </w:rPr>
            </w:pPr>
          </w:p>
        </w:tc>
        <w:tc>
          <w:tcPr>
            <w:tcW w:w="140" w:type="dxa"/>
            <w:vAlign w:val="bottom"/>
            <w:shd w:val="clear" w:color="auto" w:fill="CFF0FC"/>
          </w:tcPr>
          <w:p>
            <w:pPr>
              <w:spacing w:after="0"/>
              <w:rPr>
                <w:sz w:val="9"/>
                <w:szCs w:val="9"/>
                <w:color w:val="auto"/>
              </w:rPr>
            </w:pPr>
          </w:p>
        </w:tc>
        <w:tc>
          <w:tcPr>
            <w:tcW w:w="1760" w:type="dxa"/>
            <w:vAlign w:val="bottom"/>
            <w:shd w:val="clear" w:color="auto" w:fill="CFF0FC"/>
          </w:tcPr>
          <w:p>
            <w:pPr>
              <w:spacing w:after="0"/>
              <w:rPr>
                <w:sz w:val="9"/>
                <w:szCs w:val="9"/>
                <w:color w:val="auto"/>
              </w:rPr>
            </w:pPr>
          </w:p>
        </w:tc>
        <w:tc>
          <w:tcPr>
            <w:tcW w:w="100" w:type="dxa"/>
            <w:vAlign w:val="bottom"/>
            <w:shd w:val="clear" w:color="auto" w:fill="CFF0FC"/>
          </w:tcPr>
          <w:p>
            <w:pPr>
              <w:spacing w:after="0"/>
              <w:rPr>
                <w:sz w:val="9"/>
                <w:szCs w:val="9"/>
                <w:color w:val="auto"/>
              </w:rPr>
            </w:pPr>
          </w:p>
        </w:tc>
        <w:tc>
          <w:tcPr>
            <w:tcW w:w="180" w:type="dxa"/>
            <w:vAlign w:val="bottom"/>
            <w:shd w:val="clear" w:color="auto" w:fill="CFF0FC"/>
          </w:tcPr>
          <w:p>
            <w:pPr>
              <w:spacing w:after="0"/>
              <w:rPr>
                <w:sz w:val="9"/>
                <w:szCs w:val="9"/>
                <w:color w:val="auto"/>
              </w:rPr>
            </w:pPr>
          </w:p>
        </w:tc>
        <w:tc>
          <w:tcPr>
            <w:tcW w:w="100" w:type="dxa"/>
            <w:vAlign w:val="bottom"/>
            <w:shd w:val="clear" w:color="auto" w:fill="CFF0FC"/>
          </w:tcPr>
          <w:p>
            <w:pPr>
              <w:spacing w:after="0"/>
              <w:rPr>
                <w:sz w:val="9"/>
                <w:szCs w:val="9"/>
                <w:color w:val="auto"/>
              </w:rPr>
            </w:pPr>
          </w:p>
        </w:tc>
        <w:tc>
          <w:tcPr>
            <w:tcW w:w="200" w:type="dxa"/>
            <w:vAlign w:val="bottom"/>
            <w:shd w:val="clear" w:color="auto" w:fill="CFF0FC"/>
          </w:tcPr>
          <w:p>
            <w:pPr>
              <w:spacing w:after="0"/>
              <w:rPr>
                <w:sz w:val="9"/>
                <w:szCs w:val="9"/>
                <w:color w:val="auto"/>
              </w:rPr>
            </w:pPr>
          </w:p>
        </w:tc>
        <w:tc>
          <w:tcPr>
            <w:tcW w:w="1360" w:type="dxa"/>
            <w:vAlign w:val="bottom"/>
            <w:shd w:val="clear" w:color="auto" w:fill="CFF0FC"/>
          </w:tcPr>
          <w:p>
            <w:pPr>
              <w:spacing w:after="0"/>
              <w:rPr>
                <w:sz w:val="9"/>
                <w:szCs w:val="9"/>
                <w:color w:val="auto"/>
              </w:rPr>
            </w:pPr>
          </w:p>
        </w:tc>
        <w:tc>
          <w:tcPr>
            <w:tcW w:w="40" w:type="dxa"/>
            <w:vAlign w:val="bottom"/>
            <w:shd w:val="clear" w:color="auto" w:fill="CFF0FC"/>
          </w:tcPr>
          <w:p>
            <w:pPr>
              <w:spacing w:after="0"/>
              <w:rPr>
                <w:sz w:val="9"/>
                <w:szCs w:val="9"/>
                <w:color w:val="auto"/>
              </w:rPr>
            </w:pPr>
          </w:p>
        </w:tc>
        <w:tc>
          <w:tcPr>
            <w:tcW w:w="160" w:type="dxa"/>
            <w:vAlign w:val="bottom"/>
            <w:shd w:val="clear" w:color="auto" w:fill="CFF0FC"/>
          </w:tcPr>
          <w:p>
            <w:pPr>
              <w:spacing w:after="0"/>
              <w:rPr>
                <w:sz w:val="9"/>
                <w:szCs w:val="9"/>
                <w:color w:val="auto"/>
              </w:rPr>
            </w:pPr>
          </w:p>
        </w:tc>
        <w:tc>
          <w:tcPr>
            <w:tcW w:w="100" w:type="dxa"/>
            <w:vAlign w:val="bottom"/>
            <w:shd w:val="clear" w:color="auto" w:fill="CFF0FC"/>
          </w:tcPr>
          <w:p>
            <w:pPr>
              <w:spacing w:after="0"/>
              <w:rPr>
                <w:sz w:val="9"/>
                <w:szCs w:val="9"/>
                <w:color w:val="auto"/>
              </w:rPr>
            </w:pPr>
          </w:p>
        </w:tc>
        <w:tc>
          <w:tcPr>
            <w:tcW w:w="40" w:type="dxa"/>
            <w:vAlign w:val="bottom"/>
            <w:shd w:val="clear" w:color="auto" w:fill="CFF0FC"/>
          </w:tcPr>
          <w:p>
            <w:pPr>
              <w:spacing w:after="0"/>
              <w:rPr>
                <w:sz w:val="9"/>
                <w:szCs w:val="9"/>
                <w:color w:val="auto"/>
              </w:rPr>
            </w:pPr>
          </w:p>
        </w:tc>
        <w:tc>
          <w:tcPr>
            <w:tcW w:w="220" w:type="dxa"/>
            <w:vAlign w:val="bottom"/>
            <w:tcBorders>
              <w:bottom w:val="single" w:sz="8" w:color="auto"/>
            </w:tcBorders>
            <w:shd w:val="clear" w:color="auto" w:fill="CFF0FC"/>
          </w:tcPr>
          <w:p>
            <w:pPr>
              <w:spacing w:after="0"/>
              <w:rPr>
                <w:sz w:val="9"/>
                <w:szCs w:val="9"/>
                <w:color w:val="auto"/>
              </w:rPr>
            </w:pPr>
          </w:p>
        </w:tc>
        <w:tc>
          <w:tcPr>
            <w:tcW w:w="1380" w:type="dxa"/>
            <w:vAlign w:val="bottom"/>
            <w:tcBorders>
              <w:bottom w:val="single" w:sz="8" w:color="auto"/>
            </w:tcBorders>
            <w:shd w:val="clear" w:color="auto" w:fill="CFF0FC"/>
          </w:tcPr>
          <w:p>
            <w:pPr>
              <w:spacing w:after="0"/>
              <w:rPr>
                <w:sz w:val="9"/>
                <w:szCs w:val="9"/>
                <w:color w:val="auto"/>
              </w:rPr>
            </w:pPr>
          </w:p>
        </w:tc>
        <w:tc>
          <w:tcPr>
            <w:tcW w:w="20" w:type="dxa"/>
            <w:vAlign w:val="bottom"/>
            <w:shd w:val="clear" w:color="auto" w:fill="CFF0FC"/>
          </w:tcPr>
          <w:p>
            <w:pPr>
              <w:spacing w:after="0"/>
              <w:rPr>
                <w:sz w:val="9"/>
                <w:szCs w:val="9"/>
                <w:color w:val="auto"/>
              </w:rPr>
            </w:pPr>
          </w:p>
        </w:tc>
        <w:tc>
          <w:tcPr>
            <w:tcW w:w="100" w:type="dxa"/>
            <w:vAlign w:val="bottom"/>
            <w:shd w:val="clear" w:color="auto" w:fill="CFF0FC"/>
          </w:tcPr>
          <w:p>
            <w:pPr>
              <w:spacing w:after="0"/>
              <w:rPr>
                <w:sz w:val="9"/>
                <w:szCs w:val="9"/>
                <w:color w:val="auto"/>
              </w:rPr>
            </w:pPr>
          </w:p>
        </w:tc>
        <w:tc>
          <w:tcPr>
            <w:tcW w:w="0" w:type="dxa"/>
            <w:vAlign w:val="bottom"/>
          </w:tcPr>
          <w:p>
            <w:pPr>
              <w:spacing w:after="0"/>
              <w:rPr>
                <w:sz w:val="1"/>
                <w:szCs w:val="1"/>
                <w:color w:val="auto"/>
              </w:rPr>
            </w:pPr>
          </w:p>
        </w:tc>
      </w:tr>
      <w:tr>
        <w:trPr>
          <w:trHeight w:val="223"/>
        </w:trPr>
        <w:tc>
          <w:tcPr>
            <w:tcW w:w="3160" w:type="dxa"/>
            <w:vAlign w:val="bottom"/>
            <w:gridSpan w:val="3"/>
          </w:tcPr>
          <w:p>
            <w:pPr>
              <w:spacing w:after="0"/>
              <w:rPr>
                <w:sz w:val="20"/>
                <w:szCs w:val="20"/>
                <w:color w:val="auto"/>
              </w:rPr>
            </w:pPr>
            <w:r>
              <w:rPr>
                <w:rFonts w:ascii="Arial" w:cs="Arial" w:eastAsia="Arial" w:hAnsi="Arial"/>
                <w:sz w:val="18"/>
                <w:szCs w:val="18"/>
                <w:color w:val="auto"/>
              </w:rPr>
              <w:t>Net income</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Borders>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52,858</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0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900" w:type="dxa"/>
            <w:vAlign w:val="bottom"/>
            <w:gridSpan w:val="8"/>
            <w:vMerge w:val="restart"/>
          </w:tcPr>
          <w:p>
            <w:pPr>
              <w:jc w:val="right"/>
              <w:ind w:right="760"/>
              <w:spacing w:after="0"/>
              <w:rPr>
                <w:sz w:val="20"/>
                <w:szCs w:val="20"/>
                <w:color w:val="auto"/>
              </w:rPr>
            </w:pPr>
            <w:r>
              <w:rPr>
                <w:rFonts w:ascii="Arial" w:cs="Arial" w:eastAsia="Arial" w:hAnsi="Arial"/>
                <w:sz w:val="18"/>
                <w:szCs w:val="18"/>
                <w:b w:val="1"/>
                <w:bCs w:val="1"/>
                <w:color w:val="auto"/>
              </w:rPr>
              <w:t>Three Months Ended March 31, 2021</w:t>
            </w: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7"/>
        </w:trPr>
        <w:tc>
          <w:tcPr>
            <w:tcW w:w="3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3900" w:type="dxa"/>
            <w:vAlign w:val="bottom"/>
            <w:tcBorders>
              <w:bottom w:val="single" w:sz="8" w:color="auto"/>
            </w:tcBorders>
            <w:gridSpan w:val="8"/>
            <w:vMerge w:val="continue"/>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30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00" w:type="dxa"/>
            <w:vAlign w:val="bottom"/>
            <w:gridSpan w:val="2"/>
          </w:tcPr>
          <w:p>
            <w:pPr>
              <w:jc w:val="center"/>
              <w:ind w:right="280"/>
              <w:spacing w:after="0" w:line="205" w:lineRule="exact"/>
              <w:rPr>
                <w:sz w:val="20"/>
                <w:szCs w:val="20"/>
                <w:color w:val="auto"/>
              </w:rPr>
            </w:pPr>
            <w:r>
              <w:rPr>
                <w:rFonts w:ascii="Arial" w:cs="Arial" w:eastAsia="Arial" w:hAnsi="Arial"/>
                <w:sz w:val="18"/>
                <w:szCs w:val="18"/>
                <w:b w:val="1"/>
                <w:bCs w:val="1"/>
                <w:color w:val="auto"/>
                <w:w w:val="89"/>
              </w:rPr>
              <w:t>Subtotal of</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160" w:type="dxa"/>
            <w:vAlign w:val="bottom"/>
            <w:gridSpan w:val="3"/>
          </w:tcPr>
          <w:p>
            <w:pPr>
              <w:spacing w:after="0"/>
              <w:rPr>
                <w:sz w:val="20"/>
                <w:szCs w:val="20"/>
                <w:color w:val="auto"/>
              </w:rPr>
            </w:pPr>
            <w:r>
              <w:rPr>
                <w:rFonts w:ascii="Arial" w:cs="Arial" w:eastAsia="Arial" w:hAnsi="Arial"/>
                <w:sz w:val="18"/>
                <w:szCs w:val="18"/>
                <w:color w:val="auto"/>
              </w:rPr>
              <w:t>(Thousands)</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500" w:type="dxa"/>
            <w:vAlign w:val="bottom"/>
            <w:gridSpan w:val="2"/>
          </w:tcPr>
          <w:p>
            <w:pPr>
              <w:jc w:val="right"/>
              <w:ind w:right="700"/>
              <w:spacing w:after="0"/>
              <w:rPr>
                <w:sz w:val="20"/>
                <w:szCs w:val="20"/>
                <w:color w:val="auto"/>
              </w:rPr>
            </w:pPr>
            <w:r>
              <w:rPr>
                <w:rFonts w:ascii="Arial" w:cs="Arial" w:eastAsia="Arial" w:hAnsi="Arial"/>
                <w:sz w:val="18"/>
                <w:szCs w:val="18"/>
                <w:b w:val="1"/>
                <w:bCs w:val="1"/>
                <w:color w:val="auto"/>
              </w:rPr>
              <w:t>Leasing</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00" w:type="dxa"/>
            <w:vAlign w:val="bottom"/>
            <w:gridSpan w:val="3"/>
          </w:tcPr>
          <w:p>
            <w:pPr>
              <w:jc w:val="right"/>
              <w:ind w:right="360"/>
              <w:spacing w:after="0"/>
              <w:rPr>
                <w:sz w:val="20"/>
                <w:szCs w:val="20"/>
                <w:color w:val="auto"/>
              </w:rPr>
            </w:pPr>
            <w:r>
              <w:rPr>
                <w:rFonts w:ascii="Arial" w:cs="Arial" w:eastAsia="Arial" w:hAnsi="Arial"/>
                <w:sz w:val="18"/>
                <w:szCs w:val="18"/>
                <w:b w:val="1"/>
                <w:bCs w:val="1"/>
                <w:color w:val="auto"/>
                <w:w w:val="97"/>
              </w:rPr>
              <w:t>Fiber Infrastructure</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60" w:type="dxa"/>
            <w:vAlign w:val="bottom"/>
            <w:gridSpan w:val="3"/>
          </w:tcPr>
          <w:p>
            <w:pPr>
              <w:jc w:val="right"/>
              <w:ind w:right="640"/>
              <w:spacing w:after="0"/>
              <w:rPr>
                <w:sz w:val="20"/>
                <w:szCs w:val="20"/>
                <w:color w:val="auto"/>
              </w:rPr>
            </w:pPr>
            <w:r>
              <w:rPr>
                <w:rFonts w:ascii="Arial" w:cs="Arial" w:eastAsia="Arial" w:hAnsi="Arial"/>
                <w:sz w:val="18"/>
                <w:szCs w:val="18"/>
                <w:b w:val="1"/>
                <w:bCs w:val="1"/>
                <w:color w:val="auto"/>
              </w:rPr>
              <w:t>Corporate</w:t>
            </w:r>
          </w:p>
        </w:tc>
        <w:tc>
          <w:tcPr>
            <w:tcW w:w="100" w:type="dxa"/>
            <w:vAlign w:val="bottom"/>
          </w:tcPr>
          <w:p>
            <w:pPr>
              <w:spacing w:after="0"/>
              <w:rPr>
                <w:sz w:val="20"/>
                <w:szCs w:val="20"/>
                <w:color w:val="auto"/>
              </w:rPr>
            </w:pPr>
          </w:p>
        </w:tc>
        <w:tc>
          <w:tcPr>
            <w:tcW w:w="1760" w:type="dxa"/>
            <w:vAlign w:val="bottom"/>
            <w:gridSpan w:val="5"/>
          </w:tcPr>
          <w:p>
            <w:pPr>
              <w:jc w:val="center"/>
              <w:ind w:right="120"/>
              <w:spacing w:after="0"/>
              <w:rPr>
                <w:sz w:val="20"/>
                <w:szCs w:val="20"/>
                <w:color w:val="auto"/>
              </w:rPr>
            </w:pPr>
            <w:r>
              <w:rPr>
                <w:rFonts w:ascii="Arial" w:cs="Arial" w:eastAsia="Arial" w:hAnsi="Arial"/>
                <w:sz w:val="18"/>
                <w:szCs w:val="18"/>
                <w:b w:val="1"/>
                <w:bCs w:val="1"/>
                <w:color w:val="auto"/>
                <w:w w:val="88"/>
              </w:rPr>
              <w:t>Reportable Segments</w:t>
            </w:r>
          </w:p>
        </w:tc>
        <w:tc>
          <w:tcPr>
            <w:tcW w:w="0" w:type="dxa"/>
            <w:vAlign w:val="bottom"/>
          </w:tcPr>
          <w:p>
            <w:pPr>
              <w:spacing w:after="0"/>
              <w:rPr>
                <w:sz w:val="1"/>
                <w:szCs w:val="1"/>
                <w:color w:val="auto"/>
              </w:rPr>
            </w:pPr>
          </w:p>
        </w:tc>
      </w:tr>
      <w:tr>
        <w:trPr>
          <w:trHeight w:val="223"/>
        </w:trPr>
        <w:tc>
          <w:tcPr>
            <w:tcW w:w="3080" w:type="dxa"/>
            <w:vAlign w:val="bottom"/>
            <w:tcBorders>
              <w:top w:val="single" w:sz="8" w:color="auto"/>
            </w:tcBorders>
            <w:gridSpan w:val="2"/>
            <w:shd w:val="clear" w:color="auto" w:fill="CFF0FC"/>
          </w:tcPr>
          <w:p>
            <w:pPr>
              <w:spacing w:after="0"/>
              <w:rPr>
                <w:sz w:val="20"/>
                <w:szCs w:val="20"/>
                <w:color w:val="auto"/>
              </w:rPr>
            </w:pPr>
            <w:r>
              <w:rPr>
                <w:rFonts w:ascii="Arial" w:cs="Arial" w:eastAsia="Arial" w:hAnsi="Arial"/>
                <w:sz w:val="18"/>
                <w:szCs w:val="18"/>
                <w:color w:val="auto"/>
              </w:rPr>
              <w:t>Revenues</w:t>
            </w:r>
          </w:p>
        </w:tc>
        <w:tc>
          <w:tcPr>
            <w:tcW w:w="8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13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194,936</w:t>
            </w:r>
          </w:p>
        </w:tc>
        <w:tc>
          <w:tcPr>
            <w:tcW w:w="18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4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17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77,650</w:t>
            </w:r>
          </w:p>
        </w:tc>
        <w:tc>
          <w:tcPr>
            <w:tcW w:w="10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200" w:type="dxa"/>
            <w:vAlign w:val="bottom"/>
            <w:tcBorders>
              <w:top w:val="single" w:sz="8" w:color="auto"/>
            </w:tcBorders>
            <w:shd w:val="clear" w:color="auto" w:fill="CFF0FC"/>
          </w:tcPr>
          <w:p>
            <w:pPr>
              <w:spacing w:after="0"/>
              <w:rPr>
                <w:sz w:val="19"/>
                <w:szCs w:val="19"/>
                <w:color w:val="auto"/>
              </w:rPr>
            </w:pPr>
          </w:p>
        </w:tc>
        <w:tc>
          <w:tcPr>
            <w:tcW w:w="13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4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gridSpan w:val="2"/>
            <w:shd w:val="clear" w:color="auto" w:fill="CFF0FC"/>
          </w:tcPr>
          <w:p>
            <w:pPr>
              <w:jc w:val="right"/>
              <w:ind w:right="107"/>
              <w:spacing w:after="0"/>
              <w:rPr>
                <w:sz w:val="20"/>
                <w:szCs w:val="20"/>
                <w:color w:val="auto"/>
              </w:rPr>
            </w:pPr>
            <w:r>
              <w:rPr>
                <w:rFonts w:ascii="Arial" w:cs="Arial" w:eastAsia="Arial" w:hAnsi="Arial"/>
                <w:sz w:val="15"/>
                <w:szCs w:val="15"/>
                <w:color w:val="auto"/>
                <w:w w:val="71"/>
              </w:rPr>
              <w:t>$</w:t>
            </w:r>
          </w:p>
        </w:tc>
        <w:tc>
          <w:tcPr>
            <w:tcW w:w="1400" w:type="dxa"/>
            <w:vAlign w:val="bottom"/>
            <w:tcBorders>
              <w:top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272,586</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080" w:type="dxa"/>
            <w:vAlign w:val="bottom"/>
            <w:gridSpan w:val="2"/>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200" w:type="dxa"/>
            <w:vAlign w:val="bottom"/>
            <w:gridSpan w:val="2"/>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gridSpan w:val="2"/>
          </w:tcPr>
          <w:p>
            <w:pPr>
              <w:spacing w:after="0"/>
              <w:rPr>
                <w:sz w:val="19"/>
                <w:szCs w:val="19"/>
                <w:color w:val="auto"/>
              </w:rPr>
            </w:pPr>
          </w:p>
        </w:tc>
        <w:tc>
          <w:tcPr>
            <w:tcW w:w="1400" w:type="dxa"/>
            <w:vAlign w:val="bottom"/>
            <w:gridSpan w:val="2"/>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160" w:type="dxa"/>
            <w:vAlign w:val="bottom"/>
            <w:gridSpan w:val="3"/>
            <w:shd w:val="clear" w:color="auto" w:fill="CFF0FC"/>
          </w:tcPr>
          <w:p>
            <w:pPr>
              <w:spacing w:after="0"/>
              <w:rPr>
                <w:sz w:val="20"/>
                <w:szCs w:val="20"/>
                <w:color w:val="auto"/>
              </w:rPr>
            </w:pPr>
            <w:r>
              <w:rPr>
                <w:rFonts w:ascii="Arial" w:cs="Arial" w:eastAsia="Arial" w:hAnsi="Arial"/>
                <w:sz w:val="18"/>
                <w:szCs w:val="18"/>
                <w:color w:val="auto"/>
              </w:rPr>
              <w:t>Adjusted EBITDA</w:t>
            </w:r>
          </w:p>
        </w:tc>
        <w:tc>
          <w:tcPr>
            <w:tcW w:w="400" w:type="dxa"/>
            <w:vAlign w:val="bottom"/>
            <w:gridSpan w:val="2"/>
            <w:shd w:val="clear" w:color="auto" w:fill="CFF0FC"/>
          </w:tcPr>
          <w:p>
            <w:pPr>
              <w:jc w:val="right"/>
              <w:ind w:right="110"/>
              <w:spacing w:after="0"/>
              <w:rPr>
                <w:sz w:val="20"/>
                <w:szCs w:val="20"/>
                <w:color w:val="auto"/>
              </w:rPr>
            </w:pPr>
            <w:r>
              <w:rPr>
                <w:rFonts w:ascii="Arial" w:cs="Arial" w:eastAsia="Arial" w:hAnsi="Arial"/>
                <w:sz w:val="18"/>
                <w:szCs w:val="18"/>
                <w:color w:val="auto"/>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191,497</w:t>
            </w:r>
          </w:p>
        </w:tc>
        <w:tc>
          <w:tcPr>
            <w:tcW w:w="180" w:type="dxa"/>
            <w:vAlign w:val="bottom"/>
            <w:shd w:val="clear" w:color="auto" w:fill="CFF0FC"/>
          </w:tcPr>
          <w:p>
            <w:pPr>
              <w:spacing w:after="0"/>
              <w:rPr>
                <w:sz w:val="19"/>
                <w:szCs w:val="19"/>
                <w:color w:val="auto"/>
              </w:rPr>
            </w:pPr>
          </w:p>
        </w:tc>
        <w:tc>
          <w:tcPr>
            <w:tcW w:w="2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29,721</w:t>
            </w:r>
          </w:p>
        </w:tc>
        <w:tc>
          <w:tcPr>
            <w:tcW w:w="100" w:type="dxa"/>
            <w:vAlign w:val="bottom"/>
            <w:shd w:val="clear" w:color="auto" w:fill="CFF0FC"/>
          </w:tcPr>
          <w:p>
            <w:pPr>
              <w:spacing w:after="0"/>
              <w:rPr>
                <w:sz w:val="19"/>
                <w:szCs w:val="19"/>
                <w:color w:val="auto"/>
              </w:rPr>
            </w:pPr>
          </w:p>
        </w:tc>
        <w:tc>
          <w:tcPr>
            <w:tcW w:w="2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1560" w:type="dxa"/>
            <w:vAlign w:val="bottom"/>
            <w:gridSpan w:val="3"/>
            <w:shd w:val="clear" w:color="auto" w:fill="CFF0FC"/>
          </w:tcPr>
          <w:p>
            <w:pPr>
              <w:jc w:val="right"/>
              <w:ind w:right="140"/>
              <w:spacing w:after="0"/>
              <w:rPr>
                <w:sz w:val="20"/>
                <w:szCs w:val="20"/>
                <w:color w:val="auto"/>
              </w:rPr>
            </w:pPr>
            <w:r>
              <w:rPr>
                <w:rFonts w:ascii="Arial" w:cs="Arial" w:eastAsia="Arial" w:hAnsi="Arial"/>
                <w:sz w:val="18"/>
                <w:szCs w:val="18"/>
                <w:color w:val="auto"/>
              </w:rPr>
              <w:t>(6,970)</w:t>
            </w:r>
          </w:p>
        </w:tc>
        <w:tc>
          <w:tcPr>
            <w:tcW w:w="360" w:type="dxa"/>
            <w:vAlign w:val="bottom"/>
            <w:gridSpan w:val="3"/>
            <w:shd w:val="clear" w:color="auto" w:fill="CFF0FC"/>
          </w:tcPr>
          <w:p>
            <w:pPr>
              <w:jc w:val="right"/>
              <w:ind w:right="107"/>
              <w:spacing w:after="0"/>
              <w:rPr>
                <w:sz w:val="20"/>
                <w:szCs w:val="20"/>
                <w:color w:val="auto"/>
              </w:rPr>
            </w:pPr>
            <w:r>
              <w:rPr>
                <w:rFonts w:ascii="Arial" w:cs="Arial" w:eastAsia="Arial" w:hAnsi="Arial"/>
                <w:sz w:val="18"/>
                <w:szCs w:val="18"/>
                <w:color w:val="auto"/>
              </w:rPr>
              <w:t>$</w:t>
            </w:r>
          </w:p>
        </w:tc>
        <w:tc>
          <w:tcPr>
            <w:tcW w:w="140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214,248</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60" w:type="dxa"/>
            <w:vAlign w:val="bottom"/>
            <w:gridSpan w:val="3"/>
          </w:tcPr>
          <w:p>
            <w:pPr>
              <w:spacing w:after="0"/>
              <w:rPr>
                <w:sz w:val="20"/>
                <w:szCs w:val="20"/>
                <w:color w:val="auto"/>
              </w:rPr>
            </w:pPr>
            <w:r>
              <w:rPr>
                <w:rFonts w:ascii="Arial" w:cs="Arial" w:eastAsia="Arial" w:hAnsi="Arial"/>
                <w:sz w:val="18"/>
                <w:szCs w:val="18"/>
                <w:color w:val="auto"/>
              </w:rPr>
              <w:t>Less:</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60" w:type="dxa"/>
            <w:vAlign w:val="bottom"/>
            <w:gridSpan w:val="3"/>
            <w:shd w:val="clear" w:color="auto" w:fill="CFF0FC"/>
          </w:tcPr>
          <w:p>
            <w:pPr>
              <w:ind w:left="140"/>
              <w:spacing w:after="0"/>
              <w:rPr>
                <w:sz w:val="20"/>
                <w:szCs w:val="20"/>
                <w:color w:val="auto"/>
              </w:rPr>
            </w:pPr>
            <w:r>
              <w:rPr>
                <w:rFonts w:ascii="Arial" w:cs="Arial" w:eastAsia="Arial" w:hAnsi="Arial"/>
                <w:sz w:val="18"/>
                <w:szCs w:val="18"/>
                <w:color w:val="auto"/>
              </w:rPr>
              <w:t>Interest expense</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7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40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140,581</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60" w:type="dxa"/>
            <w:vAlign w:val="bottom"/>
            <w:gridSpan w:val="3"/>
          </w:tcPr>
          <w:p>
            <w:pPr>
              <w:ind w:left="140"/>
              <w:spacing w:after="0"/>
              <w:rPr>
                <w:sz w:val="20"/>
                <w:szCs w:val="20"/>
                <w:color w:val="auto"/>
              </w:rPr>
            </w:pPr>
            <w:r>
              <w:rPr>
                <w:rFonts w:ascii="Arial" w:cs="Arial" w:eastAsia="Arial" w:hAnsi="Arial"/>
                <w:sz w:val="18"/>
                <w:szCs w:val="18"/>
                <w:color w:val="auto"/>
              </w:rPr>
              <w:t>Depreciation and amortization</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42,226</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760" w:type="dxa"/>
            <w:vAlign w:val="bottom"/>
          </w:tcPr>
          <w:p>
            <w:pPr>
              <w:jc w:val="right"/>
              <w:spacing w:after="0"/>
              <w:rPr>
                <w:sz w:val="20"/>
                <w:szCs w:val="20"/>
                <w:color w:val="auto"/>
              </w:rPr>
            </w:pPr>
            <w:r>
              <w:rPr>
                <w:rFonts w:ascii="Arial" w:cs="Arial" w:eastAsia="Arial" w:hAnsi="Arial"/>
                <w:sz w:val="18"/>
                <w:szCs w:val="18"/>
                <w:color w:val="auto"/>
              </w:rPr>
              <w:t>28,670</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68</w:t>
            </w: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00" w:type="dxa"/>
            <w:vAlign w:val="bottom"/>
            <w:gridSpan w:val="2"/>
          </w:tcPr>
          <w:p>
            <w:pPr>
              <w:jc w:val="right"/>
              <w:ind w:right="20"/>
              <w:spacing w:after="0"/>
              <w:rPr>
                <w:sz w:val="20"/>
                <w:szCs w:val="20"/>
                <w:color w:val="auto"/>
              </w:rPr>
            </w:pPr>
            <w:r>
              <w:rPr>
                <w:rFonts w:ascii="Arial" w:cs="Arial" w:eastAsia="Arial" w:hAnsi="Arial"/>
                <w:sz w:val="18"/>
                <w:szCs w:val="18"/>
                <w:color w:val="auto"/>
              </w:rPr>
              <w:t>70,964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160" w:type="dxa"/>
            <w:vAlign w:val="bottom"/>
            <w:gridSpan w:val="3"/>
            <w:shd w:val="clear" w:color="auto" w:fill="CFF0FC"/>
          </w:tcPr>
          <w:p>
            <w:pPr>
              <w:ind w:left="140"/>
              <w:spacing w:after="0"/>
              <w:rPr>
                <w:sz w:val="20"/>
                <w:szCs w:val="20"/>
                <w:color w:val="auto"/>
              </w:rPr>
            </w:pPr>
            <w:r>
              <w:rPr>
                <w:rFonts w:ascii="Arial" w:cs="Arial" w:eastAsia="Arial" w:hAnsi="Arial"/>
                <w:sz w:val="18"/>
                <w:szCs w:val="18"/>
                <w:color w:val="auto"/>
              </w:rPr>
              <w:t>Other, net</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7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40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1,318</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60" w:type="dxa"/>
            <w:vAlign w:val="bottom"/>
            <w:gridSpan w:val="3"/>
          </w:tcPr>
          <w:p>
            <w:pPr>
              <w:ind w:left="140"/>
              <w:spacing w:after="0"/>
              <w:rPr>
                <w:sz w:val="20"/>
                <w:szCs w:val="20"/>
                <w:color w:val="auto"/>
              </w:rPr>
            </w:pPr>
            <w:r>
              <w:rPr>
                <w:rFonts w:ascii="Arial" w:cs="Arial" w:eastAsia="Arial" w:hAnsi="Arial"/>
                <w:sz w:val="18"/>
                <w:szCs w:val="18"/>
                <w:color w:val="auto"/>
              </w:rPr>
              <w:t>Transaction related and other costs</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00" w:type="dxa"/>
            <w:vAlign w:val="bottom"/>
            <w:gridSpan w:val="2"/>
          </w:tcPr>
          <w:p>
            <w:pPr>
              <w:jc w:val="right"/>
              <w:ind w:right="20"/>
              <w:spacing w:after="0"/>
              <w:rPr>
                <w:sz w:val="20"/>
                <w:szCs w:val="20"/>
                <w:color w:val="auto"/>
              </w:rPr>
            </w:pPr>
            <w:r>
              <w:rPr>
                <w:rFonts w:ascii="Arial" w:cs="Arial" w:eastAsia="Arial" w:hAnsi="Arial"/>
                <w:sz w:val="18"/>
                <w:szCs w:val="18"/>
                <w:color w:val="auto"/>
              </w:rPr>
              <w:t>4,137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60" w:type="dxa"/>
            <w:vAlign w:val="bottom"/>
            <w:gridSpan w:val="3"/>
            <w:shd w:val="clear" w:color="auto" w:fill="CFF0FC"/>
          </w:tcPr>
          <w:p>
            <w:pPr>
              <w:ind w:left="140"/>
              <w:spacing w:after="0"/>
              <w:rPr>
                <w:sz w:val="20"/>
                <w:szCs w:val="20"/>
                <w:color w:val="auto"/>
              </w:rPr>
            </w:pPr>
            <w:r>
              <w:rPr>
                <w:rFonts w:ascii="Arial" w:cs="Arial" w:eastAsia="Arial" w:hAnsi="Arial"/>
                <w:sz w:val="18"/>
                <w:szCs w:val="18"/>
                <w:color w:val="auto"/>
              </w:rPr>
              <w:t>Stock-based compensation</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7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40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3,335</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160" w:type="dxa"/>
            <w:vAlign w:val="bottom"/>
            <w:gridSpan w:val="3"/>
          </w:tcPr>
          <w:p>
            <w:pPr>
              <w:ind w:left="140"/>
              <w:spacing w:after="0"/>
              <w:rPr>
                <w:sz w:val="20"/>
                <w:szCs w:val="20"/>
                <w:color w:val="auto"/>
              </w:rPr>
            </w:pPr>
            <w:r>
              <w:rPr>
                <w:rFonts w:ascii="Arial" w:cs="Arial" w:eastAsia="Arial" w:hAnsi="Arial"/>
                <w:sz w:val="18"/>
                <w:szCs w:val="18"/>
                <w:color w:val="auto"/>
              </w:rPr>
              <w:t>Income tax benefit</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00" w:type="dxa"/>
            <w:vAlign w:val="bottom"/>
            <w:gridSpan w:val="3"/>
          </w:tcPr>
          <w:p>
            <w:pPr>
              <w:jc w:val="right"/>
              <w:ind w:right="40"/>
              <w:spacing w:after="0"/>
              <w:rPr>
                <w:sz w:val="20"/>
                <w:szCs w:val="20"/>
                <w:color w:val="auto"/>
              </w:rPr>
            </w:pPr>
            <w:r>
              <w:rPr>
                <w:rFonts w:ascii="Arial" w:cs="Arial" w:eastAsia="Arial" w:hAnsi="Arial"/>
                <w:sz w:val="18"/>
                <w:szCs w:val="18"/>
                <w:color w:val="auto"/>
              </w:rPr>
              <w:t>(2,557)</w:t>
            </w:r>
          </w:p>
        </w:tc>
        <w:tc>
          <w:tcPr>
            <w:tcW w:w="0" w:type="dxa"/>
            <w:vAlign w:val="bottom"/>
          </w:tcPr>
          <w:p>
            <w:pPr>
              <w:spacing w:after="0"/>
              <w:rPr>
                <w:sz w:val="1"/>
                <w:szCs w:val="1"/>
                <w:color w:val="auto"/>
              </w:rPr>
            </w:pPr>
          </w:p>
        </w:tc>
      </w:tr>
      <w:tr>
        <w:trPr>
          <w:trHeight w:val="215"/>
        </w:trPr>
        <w:tc>
          <w:tcPr>
            <w:tcW w:w="3160" w:type="dxa"/>
            <w:vAlign w:val="bottom"/>
            <w:gridSpan w:val="3"/>
            <w:shd w:val="clear" w:color="auto" w:fill="CFF0FC"/>
          </w:tcPr>
          <w:p>
            <w:pPr>
              <w:ind w:left="140"/>
              <w:spacing w:after="0"/>
              <w:rPr>
                <w:sz w:val="20"/>
                <w:szCs w:val="20"/>
                <w:color w:val="auto"/>
              </w:rPr>
            </w:pPr>
            <w:r>
              <w:rPr>
                <w:rFonts w:ascii="Arial" w:cs="Arial" w:eastAsia="Arial" w:hAnsi="Arial"/>
                <w:sz w:val="18"/>
                <w:szCs w:val="18"/>
                <w:color w:val="auto"/>
                <w:w w:val="96"/>
              </w:rPr>
              <w:t>Adjustments for equity in earnings from</w:t>
            </w:r>
          </w:p>
        </w:tc>
        <w:tc>
          <w:tcPr>
            <w:tcW w:w="1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3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7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36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400" w:type="dxa"/>
            <w:vAlign w:val="bottom"/>
            <w:gridSpan w:val="2"/>
            <w:vMerge w:val="restart"/>
            <w:shd w:val="clear" w:color="auto" w:fill="CFF0FC"/>
          </w:tcPr>
          <w:p>
            <w:pPr>
              <w:jc w:val="right"/>
              <w:ind w:right="20"/>
              <w:spacing w:after="0"/>
              <w:rPr>
                <w:sz w:val="20"/>
                <w:szCs w:val="20"/>
                <w:color w:val="auto"/>
              </w:rPr>
            </w:pPr>
            <w:r>
              <w:rPr>
                <w:rFonts w:ascii="Arial" w:cs="Arial" w:eastAsia="Arial" w:hAnsi="Arial"/>
                <w:sz w:val="18"/>
                <w:szCs w:val="18"/>
                <w:color w:val="auto"/>
              </w:rPr>
              <w:t>972</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122"/>
        </w:trPr>
        <w:tc>
          <w:tcPr>
            <w:tcW w:w="3160" w:type="dxa"/>
            <w:vAlign w:val="bottom"/>
            <w:gridSpan w:val="3"/>
            <w:vMerge w:val="restart"/>
            <w:shd w:val="clear" w:color="auto" w:fill="CFF0FC"/>
          </w:tcPr>
          <w:p>
            <w:pPr>
              <w:ind w:left="140"/>
              <w:spacing w:after="0"/>
              <w:rPr>
                <w:sz w:val="20"/>
                <w:szCs w:val="20"/>
                <w:color w:val="auto"/>
              </w:rPr>
            </w:pPr>
            <w:r>
              <w:rPr>
                <w:rFonts w:ascii="Arial" w:cs="Arial" w:eastAsia="Arial" w:hAnsi="Arial"/>
                <w:sz w:val="18"/>
                <w:szCs w:val="18"/>
                <w:color w:val="auto"/>
              </w:rPr>
              <w:t>unconsolidated entities</w:t>
            </w:r>
          </w:p>
        </w:tc>
        <w:tc>
          <w:tcPr>
            <w:tcW w:w="100" w:type="dxa"/>
            <w:vAlign w:val="bottom"/>
            <w:shd w:val="clear" w:color="auto" w:fill="CFF0FC"/>
          </w:tcPr>
          <w:p>
            <w:pPr>
              <w:spacing w:after="0"/>
              <w:rPr>
                <w:sz w:val="10"/>
                <w:szCs w:val="10"/>
                <w:color w:val="auto"/>
              </w:rPr>
            </w:pPr>
          </w:p>
        </w:tc>
        <w:tc>
          <w:tcPr>
            <w:tcW w:w="300" w:type="dxa"/>
            <w:vAlign w:val="bottom"/>
            <w:shd w:val="clear" w:color="auto" w:fill="CFF0FC"/>
          </w:tcPr>
          <w:p>
            <w:pPr>
              <w:spacing w:after="0"/>
              <w:rPr>
                <w:sz w:val="10"/>
                <w:szCs w:val="10"/>
                <w:color w:val="auto"/>
              </w:rPr>
            </w:pPr>
          </w:p>
        </w:tc>
        <w:tc>
          <w:tcPr>
            <w:tcW w:w="1320" w:type="dxa"/>
            <w:vAlign w:val="bottom"/>
            <w:shd w:val="clear" w:color="auto" w:fill="CFF0FC"/>
          </w:tcPr>
          <w:p>
            <w:pPr>
              <w:spacing w:after="0"/>
              <w:rPr>
                <w:sz w:val="10"/>
                <w:szCs w:val="10"/>
                <w:color w:val="auto"/>
              </w:rPr>
            </w:pPr>
          </w:p>
        </w:tc>
        <w:tc>
          <w:tcPr>
            <w:tcW w:w="180" w:type="dxa"/>
            <w:vAlign w:val="bottom"/>
            <w:shd w:val="clear" w:color="auto" w:fill="CFF0FC"/>
          </w:tcPr>
          <w:p>
            <w:pPr>
              <w:spacing w:after="0"/>
              <w:rPr>
                <w:sz w:val="10"/>
                <w:szCs w:val="10"/>
                <w:color w:val="auto"/>
              </w:rPr>
            </w:pPr>
          </w:p>
        </w:tc>
        <w:tc>
          <w:tcPr>
            <w:tcW w:w="120" w:type="dxa"/>
            <w:vAlign w:val="bottom"/>
            <w:shd w:val="clear" w:color="auto" w:fill="CFF0FC"/>
          </w:tcPr>
          <w:p>
            <w:pPr>
              <w:spacing w:after="0"/>
              <w:rPr>
                <w:sz w:val="10"/>
                <w:szCs w:val="10"/>
                <w:color w:val="auto"/>
              </w:rPr>
            </w:pPr>
          </w:p>
        </w:tc>
        <w:tc>
          <w:tcPr>
            <w:tcW w:w="120" w:type="dxa"/>
            <w:vAlign w:val="bottom"/>
            <w:shd w:val="clear" w:color="auto" w:fill="CFF0FC"/>
          </w:tcPr>
          <w:p>
            <w:pPr>
              <w:spacing w:after="0"/>
              <w:rPr>
                <w:sz w:val="10"/>
                <w:szCs w:val="10"/>
                <w:color w:val="auto"/>
              </w:rPr>
            </w:pPr>
          </w:p>
        </w:tc>
        <w:tc>
          <w:tcPr>
            <w:tcW w:w="40" w:type="dxa"/>
            <w:vAlign w:val="bottom"/>
            <w:shd w:val="clear" w:color="auto" w:fill="CFF0FC"/>
          </w:tcPr>
          <w:p>
            <w:pPr>
              <w:spacing w:after="0"/>
              <w:rPr>
                <w:sz w:val="10"/>
                <w:szCs w:val="10"/>
                <w:color w:val="auto"/>
              </w:rPr>
            </w:pPr>
          </w:p>
        </w:tc>
        <w:tc>
          <w:tcPr>
            <w:tcW w:w="140" w:type="dxa"/>
            <w:vAlign w:val="bottom"/>
            <w:shd w:val="clear" w:color="auto" w:fill="CFF0FC"/>
          </w:tcPr>
          <w:p>
            <w:pPr>
              <w:spacing w:after="0"/>
              <w:rPr>
                <w:sz w:val="10"/>
                <w:szCs w:val="10"/>
                <w:color w:val="auto"/>
              </w:rPr>
            </w:pPr>
          </w:p>
        </w:tc>
        <w:tc>
          <w:tcPr>
            <w:tcW w:w="1760" w:type="dxa"/>
            <w:vAlign w:val="bottom"/>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180" w:type="dxa"/>
            <w:vAlign w:val="bottom"/>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200" w:type="dxa"/>
            <w:vAlign w:val="bottom"/>
            <w:shd w:val="clear" w:color="auto" w:fill="CFF0FC"/>
          </w:tcPr>
          <w:p>
            <w:pPr>
              <w:spacing w:after="0"/>
              <w:rPr>
                <w:sz w:val="10"/>
                <w:szCs w:val="10"/>
                <w:color w:val="auto"/>
              </w:rPr>
            </w:pPr>
          </w:p>
        </w:tc>
        <w:tc>
          <w:tcPr>
            <w:tcW w:w="1360" w:type="dxa"/>
            <w:vAlign w:val="bottom"/>
            <w:shd w:val="clear" w:color="auto" w:fill="CFF0FC"/>
          </w:tcPr>
          <w:p>
            <w:pPr>
              <w:spacing w:after="0"/>
              <w:rPr>
                <w:sz w:val="10"/>
                <w:szCs w:val="10"/>
                <w:color w:val="auto"/>
              </w:rPr>
            </w:pPr>
          </w:p>
        </w:tc>
        <w:tc>
          <w:tcPr>
            <w:tcW w:w="40" w:type="dxa"/>
            <w:vAlign w:val="bottom"/>
            <w:shd w:val="clear" w:color="auto" w:fill="CFF0FC"/>
          </w:tcPr>
          <w:p>
            <w:pPr>
              <w:spacing w:after="0"/>
              <w:rPr>
                <w:sz w:val="10"/>
                <w:szCs w:val="10"/>
                <w:color w:val="auto"/>
              </w:rPr>
            </w:pPr>
          </w:p>
        </w:tc>
        <w:tc>
          <w:tcPr>
            <w:tcW w:w="160" w:type="dxa"/>
            <w:vAlign w:val="bottom"/>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40" w:type="dxa"/>
            <w:vAlign w:val="bottom"/>
            <w:shd w:val="clear" w:color="auto" w:fill="CFF0FC"/>
          </w:tcPr>
          <w:p>
            <w:pPr>
              <w:spacing w:after="0"/>
              <w:rPr>
                <w:sz w:val="10"/>
                <w:szCs w:val="10"/>
                <w:color w:val="auto"/>
              </w:rPr>
            </w:pPr>
          </w:p>
        </w:tc>
        <w:tc>
          <w:tcPr>
            <w:tcW w:w="220" w:type="dxa"/>
            <w:vAlign w:val="bottom"/>
            <w:shd w:val="clear" w:color="auto" w:fill="CFF0FC"/>
          </w:tcPr>
          <w:p>
            <w:pPr>
              <w:spacing w:after="0"/>
              <w:rPr>
                <w:sz w:val="10"/>
                <w:szCs w:val="10"/>
                <w:color w:val="auto"/>
              </w:rPr>
            </w:pPr>
          </w:p>
        </w:tc>
        <w:tc>
          <w:tcPr>
            <w:tcW w:w="1400" w:type="dxa"/>
            <w:vAlign w:val="bottom"/>
            <w:gridSpan w:val="2"/>
            <w:vMerge w:val="continue"/>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3160" w:type="dxa"/>
            <w:vAlign w:val="bottom"/>
            <w:gridSpan w:val="3"/>
            <w:vMerge w:val="continue"/>
            <w:shd w:val="clear" w:color="auto" w:fill="CFF0FC"/>
          </w:tcPr>
          <w:p>
            <w:pPr>
              <w:spacing w:after="0"/>
              <w:rPr>
                <w:sz w:val="9"/>
                <w:szCs w:val="9"/>
                <w:color w:val="auto"/>
              </w:rPr>
            </w:pPr>
          </w:p>
        </w:tc>
        <w:tc>
          <w:tcPr>
            <w:tcW w:w="100" w:type="dxa"/>
            <w:vAlign w:val="bottom"/>
            <w:shd w:val="clear" w:color="auto" w:fill="CFF0FC"/>
          </w:tcPr>
          <w:p>
            <w:pPr>
              <w:spacing w:after="0"/>
              <w:rPr>
                <w:sz w:val="9"/>
                <w:szCs w:val="9"/>
                <w:color w:val="auto"/>
              </w:rPr>
            </w:pPr>
          </w:p>
        </w:tc>
        <w:tc>
          <w:tcPr>
            <w:tcW w:w="300" w:type="dxa"/>
            <w:vAlign w:val="bottom"/>
            <w:shd w:val="clear" w:color="auto" w:fill="CFF0FC"/>
          </w:tcPr>
          <w:p>
            <w:pPr>
              <w:spacing w:after="0"/>
              <w:rPr>
                <w:sz w:val="9"/>
                <w:szCs w:val="9"/>
                <w:color w:val="auto"/>
              </w:rPr>
            </w:pPr>
          </w:p>
        </w:tc>
        <w:tc>
          <w:tcPr>
            <w:tcW w:w="1320" w:type="dxa"/>
            <w:vAlign w:val="bottom"/>
            <w:shd w:val="clear" w:color="auto" w:fill="CFF0FC"/>
          </w:tcPr>
          <w:p>
            <w:pPr>
              <w:spacing w:after="0"/>
              <w:rPr>
                <w:sz w:val="9"/>
                <w:szCs w:val="9"/>
                <w:color w:val="auto"/>
              </w:rPr>
            </w:pPr>
          </w:p>
        </w:tc>
        <w:tc>
          <w:tcPr>
            <w:tcW w:w="180" w:type="dxa"/>
            <w:vAlign w:val="bottom"/>
            <w:shd w:val="clear" w:color="auto" w:fill="CFF0FC"/>
          </w:tcPr>
          <w:p>
            <w:pPr>
              <w:spacing w:after="0"/>
              <w:rPr>
                <w:sz w:val="9"/>
                <w:szCs w:val="9"/>
                <w:color w:val="auto"/>
              </w:rPr>
            </w:pPr>
          </w:p>
        </w:tc>
        <w:tc>
          <w:tcPr>
            <w:tcW w:w="120" w:type="dxa"/>
            <w:vAlign w:val="bottom"/>
            <w:shd w:val="clear" w:color="auto" w:fill="CFF0FC"/>
          </w:tcPr>
          <w:p>
            <w:pPr>
              <w:spacing w:after="0"/>
              <w:rPr>
                <w:sz w:val="9"/>
                <w:szCs w:val="9"/>
                <w:color w:val="auto"/>
              </w:rPr>
            </w:pPr>
          </w:p>
        </w:tc>
        <w:tc>
          <w:tcPr>
            <w:tcW w:w="120" w:type="dxa"/>
            <w:vAlign w:val="bottom"/>
            <w:shd w:val="clear" w:color="auto" w:fill="CFF0FC"/>
          </w:tcPr>
          <w:p>
            <w:pPr>
              <w:spacing w:after="0"/>
              <w:rPr>
                <w:sz w:val="9"/>
                <w:szCs w:val="9"/>
                <w:color w:val="auto"/>
              </w:rPr>
            </w:pPr>
          </w:p>
        </w:tc>
        <w:tc>
          <w:tcPr>
            <w:tcW w:w="40" w:type="dxa"/>
            <w:vAlign w:val="bottom"/>
            <w:shd w:val="clear" w:color="auto" w:fill="CFF0FC"/>
          </w:tcPr>
          <w:p>
            <w:pPr>
              <w:spacing w:after="0"/>
              <w:rPr>
                <w:sz w:val="9"/>
                <w:szCs w:val="9"/>
                <w:color w:val="auto"/>
              </w:rPr>
            </w:pPr>
          </w:p>
        </w:tc>
        <w:tc>
          <w:tcPr>
            <w:tcW w:w="140" w:type="dxa"/>
            <w:vAlign w:val="bottom"/>
            <w:shd w:val="clear" w:color="auto" w:fill="CFF0FC"/>
          </w:tcPr>
          <w:p>
            <w:pPr>
              <w:spacing w:after="0"/>
              <w:rPr>
                <w:sz w:val="9"/>
                <w:szCs w:val="9"/>
                <w:color w:val="auto"/>
              </w:rPr>
            </w:pPr>
          </w:p>
        </w:tc>
        <w:tc>
          <w:tcPr>
            <w:tcW w:w="1760" w:type="dxa"/>
            <w:vAlign w:val="bottom"/>
            <w:shd w:val="clear" w:color="auto" w:fill="CFF0FC"/>
          </w:tcPr>
          <w:p>
            <w:pPr>
              <w:spacing w:after="0"/>
              <w:rPr>
                <w:sz w:val="9"/>
                <w:szCs w:val="9"/>
                <w:color w:val="auto"/>
              </w:rPr>
            </w:pPr>
          </w:p>
        </w:tc>
        <w:tc>
          <w:tcPr>
            <w:tcW w:w="100" w:type="dxa"/>
            <w:vAlign w:val="bottom"/>
            <w:shd w:val="clear" w:color="auto" w:fill="CFF0FC"/>
          </w:tcPr>
          <w:p>
            <w:pPr>
              <w:spacing w:after="0"/>
              <w:rPr>
                <w:sz w:val="9"/>
                <w:szCs w:val="9"/>
                <w:color w:val="auto"/>
              </w:rPr>
            </w:pPr>
          </w:p>
        </w:tc>
        <w:tc>
          <w:tcPr>
            <w:tcW w:w="180" w:type="dxa"/>
            <w:vAlign w:val="bottom"/>
            <w:shd w:val="clear" w:color="auto" w:fill="CFF0FC"/>
          </w:tcPr>
          <w:p>
            <w:pPr>
              <w:spacing w:after="0"/>
              <w:rPr>
                <w:sz w:val="9"/>
                <w:szCs w:val="9"/>
                <w:color w:val="auto"/>
              </w:rPr>
            </w:pPr>
          </w:p>
        </w:tc>
        <w:tc>
          <w:tcPr>
            <w:tcW w:w="100" w:type="dxa"/>
            <w:vAlign w:val="bottom"/>
            <w:shd w:val="clear" w:color="auto" w:fill="CFF0FC"/>
          </w:tcPr>
          <w:p>
            <w:pPr>
              <w:spacing w:after="0"/>
              <w:rPr>
                <w:sz w:val="9"/>
                <w:szCs w:val="9"/>
                <w:color w:val="auto"/>
              </w:rPr>
            </w:pPr>
          </w:p>
        </w:tc>
        <w:tc>
          <w:tcPr>
            <w:tcW w:w="200" w:type="dxa"/>
            <w:vAlign w:val="bottom"/>
            <w:shd w:val="clear" w:color="auto" w:fill="CFF0FC"/>
          </w:tcPr>
          <w:p>
            <w:pPr>
              <w:spacing w:after="0"/>
              <w:rPr>
                <w:sz w:val="9"/>
                <w:szCs w:val="9"/>
                <w:color w:val="auto"/>
              </w:rPr>
            </w:pPr>
          </w:p>
        </w:tc>
        <w:tc>
          <w:tcPr>
            <w:tcW w:w="1360" w:type="dxa"/>
            <w:vAlign w:val="bottom"/>
            <w:shd w:val="clear" w:color="auto" w:fill="CFF0FC"/>
          </w:tcPr>
          <w:p>
            <w:pPr>
              <w:spacing w:after="0"/>
              <w:rPr>
                <w:sz w:val="9"/>
                <w:szCs w:val="9"/>
                <w:color w:val="auto"/>
              </w:rPr>
            </w:pPr>
          </w:p>
        </w:tc>
        <w:tc>
          <w:tcPr>
            <w:tcW w:w="40" w:type="dxa"/>
            <w:vAlign w:val="bottom"/>
            <w:shd w:val="clear" w:color="auto" w:fill="CFF0FC"/>
          </w:tcPr>
          <w:p>
            <w:pPr>
              <w:spacing w:after="0"/>
              <w:rPr>
                <w:sz w:val="9"/>
                <w:szCs w:val="9"/>
                <w:color w:val="auto"/>
              </w:rPr>
            </w:pPr>
          </w:p>
        </w:tc>
        <w:tc>
          <w:tcPr>
            <w:tcW w:w="160" w:type="dxa"/>
            <w:vAlign w:val="bottom"/>
            <w:shd w:val="clear" w:color="auto" w:fill="CFF0FC"/>
          </w:tcPr>
          <w:p>
            <w:pPr>
              <w:spacing w:after="0"/>
              <w:rPr>
                <w:sz w:val="9"/>
                <w:szCs w:val="9"/>
                <w:color w:val="auto"/>
              </w:rPr>
            </w:pPr>
          </w:p>
        </w:tc>
        <w:tc>
          <w:tcPr>
            <w:tcW w:w="100" w:type="dxa"/>
            <w:vAlign w:val="bottom"/>
            <w:shd w:val="clear" w:color="auto" w:fill="CFF0FC"/>
          </w:tcPr>
          <w:p>
            <w:pPr>
              <w:spacing w:after="0"/>
              <w:rPr>
                <w:sz w:val="9"/>
                <w:szCs w:val="9"/>
                <w:color w:val="auto"/>
              </w:rPr>
            </w:pPr>
          </w:p>
        </w:tc>
        <w:tc>
          <w:tcPr>
            <w:tcW w:w="40" w:type="dxa"/>
            <w:vAlign w:val="bottom"/>
            <w:tcBorders>
              <w:bottom w:val="single" w:sz="8" w:color="auto"/>
            </w:tcBorders>
            <w:shd w:val="clear" w:color="auto" w:fill="CFF0FC"/>
          </w:tcPr>
          <w:p>
            <w:pPr>
              <w:spacing w:after="0"/>
              <w:rPr>
                <w:sz w:val="9"/>
                <w:szCs w:val="9"/>
                <w:color w:val="auto"/>
              </w:rPr>
            </w:pPr>
          </w:p>
        </w:tc>
        <w:tc>
          <w:tcPr>
            <w:tcW w:w="220" w:type="dxa"/>
            <w:vAlign w:val="bottom"/>
            <w:tcBorders>
              <w:bottom w:val="single" w:sz="8" w:color="auto"/>
            </w:tcBorders>
            <w:shd w:val="clear" w:color="auto" w:fill="CFF0FC"/>
          </w:tcPr>
          <w:p>
            <w:pPr>
              <w:spacing w:after="0"/>
              <w:rPr>
                <w:sz w:val="9"/>
                <w:szCs w:val="9"/>
                <w:color w:val="auto"/>
              </w:rPr>
            </w:pPr>
          </w:p>
        </w:tc>
        <w:tc>
          <w:tcPr>
            <w:tcW w:w="1380" w:type="dxa"/>
            <w:vAlign w:val="bottom"/>
            <w:tcBorders>
              <w:bottom w:val="single" w:sz="8" w:color="auto"/>
            </w:tcBorders>
            <w:shd w:val="clear" w:color="auto" w:fill="CFF0FC"/>
          </w:tcPr>
          <w:p>
            <w:pPr>
              <w:spacing w:after="0"/>
              <w:rPr>
                <w:sz w:val="9"/>
                <w:szCs w:val="9"/>
                <w:color w:val="auto"/>
              </w:rPr>
            </w:pPr>
          </w:p>
        </w:tc>
        <w:tc>
          <w:tcPr>
            <w:tcW w:w="20" w:type="dxa"/>
            <w:vAlign w:val="bottom"/>
            <w:tcBorders>
              <w:bottom w:val="single" w:sz="8" w:color="auto"/>
            </w:tcBorders>
            <w:shd w:val="clear" w:color="auto" w:fill="CFF0FC"/>
          </w:tcPr>
          <w:p>
            <w:pPr>
              <w:spacing w:after="0"/>
              <w:rPr>
                <w:sz w:val="9"/>
                <w:szCs w:val="9"/>
                <w:color w:val="auto"/>
              </w:rPr>
            </w:pPr>
          </w:p>
        </w:tc>
        <w:tc>
          <w:tcPr>
            <w:tcW w:w="100" w:type="dxa"/>
            <w:vAlign w:val="bottom"/>
            <w:shd w:val="clear" w:color="auto" w:fill="CFF0FC"/>
          </w:tcPr>
          <w:p>
            <w:pPr>
              <w:spacing w:after="0"/>
              <w:rPr>
                <w:sz w:val="9"/>
                <w:szCs w:val="9"/>
                <w:color w:val="auto"/>
              </w:rPr>
            </w:pPr>
          </w:p>
        </w:tc>
        <w:tc>
          <w:tcPr>
            <w:tcW w:w="0" w:type="dxa"/>
            <w:vAlign w:val="bottom"/>
          </w:tcPr>
          <w:p>
            <w:pPr>
              <w:spacing w:after="0"/>
              <w:rPr>
                <w:sz w:val="1"/>
                <w:szCs w:val="1"/>
                <w:color w:val="auto"/>
              </w:rPr>
            </w:pPr>
          </w:p>
        </w:tc>
      </w:tr>
      <w:tr>
        <w:trPr>
          <w:trHeight w:val="223"/>
        </w:trPr>
        <w:tc>
          <w:tcPr>
            <w:tcW w:w="3160" w:type="dxa"/>
            <w:vAlign w:val="bottom"/>
            <w:gridSpan w:val="3"/>
          </w:tcPr>
          <w:p>
            <w:pPr>
              <w:spacing w:after="0"/>
              <w:rPr>
                <w:sz w:val="20"/>
                <w:szCs w:val="20"/>
                <w:color w:val="auto"/>
              </w:rPr>
            </w:pPr>
            <w:r>
              <w:rPr>
                <w:rFonts w:ascii="Arial" w:cs="Arial" w:eastAsia="Arial" w:hAnsi="Arial"/>
                <w:sz w:val="18"/>
                <w:szCs w:val="18"/>
                <w:color w:val="auto"/>
              </w:rPr>
              <w:t>Net loss</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Borders>
              <w:bottom w:val="single" w:sz="8" w:color="auto"/>
            </w:tcBorders>
            <w:gridSpan w:val="2"/>
          </w:tcPr>
          <w:p>
            <w:pPr>
              <w:jc w:val="right"/>
              <w:ind w:right="107"/>
              <w:spacing w:after="0"/>
              <w:rPr>
                <w:sz w:val="20"/>
                <w:szCs w:val="20"/>
                <w:color w:val="auto"/>
              </w:rPr>
            </w:pPr>
            <w:r>
              <w:rPr>
                <w:rFonts w:ascii="Arial" w:cs="Arial" w:eastAsia="Arial" w:hAnsi="Arial"/>
                <w:sz w:val="15"/>
                <w:szCs w:val="15"/>
                <w:color w:val="auto"/>
                <w:w w:val="71"/>
              </w:rPr>
              <w:t>$</w:t>
            </w:r>
          </w:p>
        </w:tc>
        <w:tc>
          <w:tcPr>
            <w:tcW w:w="140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(4,502)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0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760" w:type="dxa"/>
            <w:vAlign w:val="bottom"/>
            <w:vMerge w:val="restart"/>
          </w:tcPr>
          <w:p>
            <w:pPr>
              <w:jc w:val="right"/>
              <w:ind w:right="1430"/>
              <w:spacing w:after="0"/>
              <w:rPr>
                <w:sz w:val="20"/>
                <w:szCs w:val="20"/>
                <w:color w:val="auto"/>
              </w:rPr>
            </w:pPr>
            <w:r>
              <w:rPr>
                <w:rFonts w:ascii="Arial" w:cs="Arial" w:eastAsia="Arial" w:hAnsi="Arial"/>
                <w:sz w:val="18"/>
                <w:szCs w:val="18"/>
                <w:color w:val="auto"/>
              </w:rPr>
              <w:t>30</w:t>
            </w: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5"/>
        </w:trPr>
        <w:tc>
          <w:tcPr>
            <w:tcW w:w="3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76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300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132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176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136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13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30" w:name="page31"/>
    <w:bookmarkEnd w:id="30"/>
    <w:tbl>
      <w:tblPr>
        <w:tblLayout w:type="fixed"/>
        <w:tblInd w:w="0" w:type="dxa"/>
        <w:tblCellMar>
          <w:top w:w="0" w:type="dxa"/>
          <w:left w:w="0" w:type="dxa"/>
          <w:bottom w:w="0" w:type="dxa"/>
          <w:right w:w="0" w:type="dxa"/>
        </w:tblCellMar>
      </w:tblPr>
      <w:tr>
        <w:trPr>
          <w:trHeight w:val="207"/>
        </w:trPr>
        <w:tc>
          <w:tcPr>
            <w:tcW w:w="5320" w:type="dxa"/>
            <w:vAlign w:val="bottom"/>
            <w:gridSpan w:val="3"/>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Table of Contents</w:t>
              </w:r>
            </w:hyperlink>
          </w:p>
        </w:tc>
        <w:tc>
          <w:tcPr>
            <w:tcW w:w="2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
        </w:trPr>
        <w:tc>
          <w:tcPr>
            <w:tcW w:w="1280" w:type="dxa"/>
            <w:vAlign w:val="bottom"/>
            <w:shd w:val="clear" w:color="auto" w:fill="0000EE"/>
          </w:tcPr>
          <w:p>
            <w:pPr>
              <w:spacing w:after="0" w:line="20" w:lineRule="exact"/>
              <w:rPr>
                <w:sz w:val="1"/>
                <w:szCs w:val="1"/>
                <w:color w:val="auto"/>
              </w:rPr>
            </w:pPr>
          </w:p>
        </w:tc>
        <w:tc>
          <w:tcPr>
            <w:tcW w:w="404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884"/>
        </w:trPr>
        <w:tc>
          <w:tcPr>
            <w:tcW w:w="5320" w:type="dxa"/>
            <w:vAlign w:val="bottom"/>
            <w:gridSpan w:val="3"/>
          </w:tcPr>
          <w:p>
            <w:pPr>
              <w:spacing w:after="0"/>
              <w:rPr>
                <w:sz w:val="20"/>
                <w:szCs w:val="20"/>
                <w:color w:val="auto"/>
              </w:rPr>
            </w:pPr>
            <w:r>
              <w:rPr>
                <w:rFonts w:ascii="Arial" w:cs="Arial" w:eastAsia="Arial" w:hAnsi="Arial"/>
                <w:sz w:val="18"/>
                <w:szCs w:val="18"/>
                <w:b w:val="1"/>
                <w:bCs w:val="1"/>
                <w:i w:val="1"/>
                <w:iCs w:val="1"/>
                <w:color w:val="auto"/>
              </w:rPr>
              <w:t>Summary of Operating Metrics</w:t>
            </w: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68"/>
        </w:trPr>
        <w:tc>
          <w:tcPr>
            <w:tcW w:w="128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720" w:type="dxa"/>
            <w:vAlign w:val="bottom"/>
            <w:gridSpan w:val="6"/>
          </w:tcPr>
          <w:p>
            <w:pPr>
              <w:jc w:val="right"/>
              <w:ind w:right="240"/>
              <w:spacing w:after="0"/>
              <w:rPr>
                <w:sz w:val="20"/>
                <w:szCs w:val="20"/>
                <w:color w:val="auto"/>
              </w:rPr>
            </w:pPr>
            <w:r>
              <w:rPr>
                <w:rFonts w:ascii="Arial" w:cs="Arial" w:eastAsia="Arial" w:hAnsi="Arial"/>
                <w:sz w:val="18"/>
                <w:szCs w:val="18"/>
                <w:b w:val="1"/>
                <w:bCs w:val="1"/>
                <w:color w:val="auto"/>
                <w:w w:val="95"/>
              </w:rPr>
              <w:t>Operating Metrics</w:t>
            </w: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34"/>
        </w:trPr>
        <w:tc>
          <w:tcPr>
            <w:tcW w:w="1280" w:type="dxa"/>
            <w:vAlign w:val="bottom"/>
          </w:tcPr>
          <w:p>
            <w:pPr>
              <w:spacing w:after="0"/>
              <w:rPr>
                <w:sz w:val="20"/>
                <w:szCs w:val="20"/>
                <w:color w:val="auto"/>
              </w:rPr>
            </w:pPr>
          </w:p>
        </w:tc>
        <w:tc>
          <w:tcPr>
            <w:tcW w:w="39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1660" w:type="dxa"/>
            <w:vAlign w:val="bottom"/>
            <w:tcBorders>
              <w:bottom w:val="single" w:sz="8" w:color="auto"/>
            </w:tcBorders>
            <w:gridSpan w:val="5"/>
          </w:tcPr>
          <w:p>
            <w:pPr>
              <w:jc w:val="right"/>
              <w:ind w:right="340"/>
              <w:spacing w:after="0"/>
              <w:rPr>
                <w:sz w:val="20"/>
                <w:szCs w:val="20"/>
                <w:color w:val="auto"/>
              </w:rPr>
            </w:pPr>
            <w:r>
              <w:rPr>
                <w:rFonts w:ascii="Arial" w:cs="Arial" w:eastAsia="Arial" w:hAnsi="Arial"/>
                <w:sz w:val="18"/>
                <w:szCs w:val="18"/>
                <w:b w:val="1"/>
                <w:bCs w:val="1"/>
                <w:color w:val="auto"/>
                <w:w w:val="97"/>
              </w:rPr>
              <w:t>As of March 31,</w:t>
            </w:r>
          </w:p>
        </w:tc>
        <w:tc>
          <w:tcPr>
            <w:tcW w:w="22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05"/>
        </w:trPr>
        <w:tc>
          <w:tcPr>
            <w:tcW w:w="1280" w:type="dxa"/>
            <w:vAlign w:val="bottom"/>
          </w:tcPr>
          <w:p>
            <w:pPr>
              <w:spacing w:after="0"/>
              <w:rPr>
                <w:sz w:val="17"/>
                <w:szCs w:val="17"/>
                <w:color w:val="auto"/>
              </w:rPr>
            </w:pPr>
          </w:p>
        </w:tc>
        <w:tc>
          <w:tcPr>
            <w:tcW w:w="39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140" w:type="dxa"/>
            <w:vAlign w:val="bottom"/>
          </w:tcPr>
          <w:p>
            <w:pPr>
              <w:jc w:val="center"/>
              <w:spacing w:after="0" w:line="205" w:lineRule="exact"/>
              <w:rPr>
                <w:sz w:val="20"/>
                <w:szCs w:val="20"/>
                <w:color w:val="auto"/>
              </w:rPr>
            </w:pPr>
            <w:r>
              <w:rPr>
                <w:rFonts w:ascii="Arial" w:cs="Arial" w:eastAsia="Arial" w:hAnsi="Arial"/>
                <w:sz w:val="18"/>
                <w:szCs w:val="18"/>
                <w:b w:val="1"/>
                <w:bCs w:val="1"/>
                <w:color w:val="auto"/>
                <w:w w:val="92"/>
              </w:rPr>
              <w:t>% Increase /</w:t>
            </w: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4"/>
        </w:trPr>
        <w:tc>
          <w:tcPr>
            <w:tcW w:w="1280" w:type="dxa"/>
            <w:vAlign w:val="bottom"/>
          </w:tcPr>
          <w:p>
            <w:pPr>
              <w:spacing w:after="0"/>
              <w:rPr>
                <w:sz w:val="20"/>
                <w:szCs w:val="20"/>
                <w:color w:val="auto"/>
              </w:rPr>
            </w:pPr>
          </w:p>
        </w:tc>
        <w:tc>
          <w:tcPr>
            <w:tcW w:w="39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0" w:type="dxa"/>
            <w:vAlign w:val="bottom"/>
          </w:tcPr>
          <w:p>
            <w:pPr>
              <w:jc w:val="right"/>
              <w:ind w:right="47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c>
          <w:tcPr>
            <w:tcW w:w="1640" w:type="dxa"/>
            <w:vAlign w:val="bottom"/>
            <w:gridSpan w:val="5"/>
          </w:tcPr>
          <w:p>
            <w:pPr>
              <w:ind w:left="720"/>
              <w:spacing w:after="0"/>
              <w:rPr>
                <w:sz w:val="20"/>
                <w:szCs w:val="20"/>
                <w:color w:val="auto"/>
              </w:rPr>
            </w:pPr>
            <w:r>
              <w:rPr>
                <w:rFonts w:ascii="Arial" w:cs="Arial" w:eastAsia="Arial" w:hAnsi="Arial"/>
                <w:sz w:val="18"/>
                <w:szCs w:val="18"/>
                <w:b w:val="1"/>
                <w:bCs w:val="1"/>
                <w:color w:val="auto"/>
              </w:rPr>
              <w:t>2021</w:t>
            </w: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60" w:type="dxa"/>
            <w:vAlign w:val="bottom"/>
            <w:gridSpan w:val="3"/>
          </w:tcPr>
          <w:p>
            <w:pPr>
              <w:jc w:val="center"/>
              <w:ind w:right="180"/>
              <w:spacing w:after="0"/>
              <w:rPr>
                <w:sz w:val="20"/>
                <w:szCs w:val="20"/>
                <w:color w:val="auto"/>
              </w:rPr>
            </w:pPr>
            <w:r>
              <w:rPr>
                <w:rFonts w:ascii="Arial" w:cs="Arial" w:eastAsia="Arial" w:hAnsi="Arial"/>
                <w:sz w:val="18"/>
                <w:szCs w:val="18"/>
                <w:b w:val="1"/>
                <w:bCs w:val="1"/>
                <w:color w:val="auto"/>
                <w:w w:val="86"/>
              </w:rPr>
              <w:t>(Decrease)</w:t>
            </w:r>
          </w:p>
        </w:tc>
      </w:tr>
      <w:tr>
        <w:trPr>
          <w:trHeight w:val="223"/>
        </w:trPr>
        <w:tc>
          <w:tcPr>
            <w:tcW w:w="5320" w:type="dxa"/>
            <w:vAlign w:val="bottom"/>
            <w:tcBorders>
              <w:top w:val="single" w:sz="8" w:color="CFF0FC"/>
            </w:tcBorders>
            <w:gridSpan w:val="3"/>
            <w:shd w:val="clear" w:color="auto" w:fill="CFF0FC"/>
          </w:tcPr>
          <w:p>
            <w:pPr>
              <w:spacing w:after="0"/>
              <w:rPr>
                <w:sz w:val="20"/>
                <w:szCs w:val="20"/>
                <w:color w:val="auto"/>
              </w:rPr>
            </w:pPr>
            <w:r>
              <w:rPr>
                <w:rFonts w:ascii="Arial" w:cs="Arial" w:eastAsia="Arial" w:hAnsi="Arial"/>
                <w:sz w:val="18"/>
                <w:szCs w:val="18"/>
                <w:b w:val="1"/>
                <w:bCs w:val="1"/>
                <w:color w:val="auto"/>
              </w:rPr>
              <w:t>Operating metrics:</w:t>
            </w:r>
          </w:p>
        </w:tc>
        <w:tc>
          <w:tcPr>
            <w:tcW w:w="200" w:type="dxa"/>
            <w:vAlign w:val="bottom"/>
            <w:tcBorders>
              <w:top w:val="single" w:sz="8" w:color="CFF0FC"/>
            </w:tcBorders>
            <w:shd w:val="clear" w:color="auto" w:fill="CFF0FC"/>
          </w:tcPr>
          <w:p>
            <w:pPr>
              <w:spacing w:after="0"/>
              <w:rPr>
                <w:sz w:val="19"/>
                <w:szCs w:val="19"/>
                <w:color w:val="auto"/>
              </w:rPr>
            </w:pPr>
          </w:p>
        </w:tc>
        <w:tc>
          <w:tcPr>
            <w:tcW w:w="9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spacing w:after="0"/>
              <w:rPr>
                <w:sz w:val="19"/>
                <w:szCs w:val="19"/>
                <w:color w:val="auto"/>
              </w:rPr>
            </w:pPr>
          </w:p>
        </w:tc>
        <w:tc>
          <w:tcPr>
            <w:tcW w:w="100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6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54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780" w:type="dxa"/>
            <w:vAlign w:val="bottom"/>
            <w:tcBorders>
              <w:top w:val="single" w:sz="8" w:color="auto"/>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40" w:type="dxa"/>
            <w:vAlign w:val="bottom"/>
            <w:tcBorders>
              <w:top w:val="single" w:sz="8" w:color="auto"/>
            </w:tcBorders>
            <w:shd w:val="clear" w:color="auto" w:fill="CFF0FC"/>
          </w:tcPr>
          <w:p>
            <w:pPr>
              <w:spacing w:after="0"/>
              <w:rPr>
                <w:sz w:val="19"/>
                <w:szCs w:val="19"/>
                <w:color w:val="auto"/>
              </w:rPr>
            </w:pPr>
          </w:p>
        </w:tc>
        <w:tc>
          <w:tcPr>
            <w:tcW w:w="1140" w:type="dxa"/>
            <w:vAlign w:val="bottom"/>
            <w:tcBorders>
              <w:top w:val="single" w:sz="8" w:color="auto"/>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r>
      <w:tr>
        <w:trPr>
          <w:trHeight w:val="229"/>
        </w:trPr>
        <w:tc>
          <w:tcPr>
            <w:tcW w:w="5320" w:type="dxa"/>
            <w:vAlign w:val="bottom"/>
            <w:gridSpan w:val="3"/>
          </w:tcPr>
          <w:p>
            <w:pPr>
              <w:ind w:left="260"/>
              <w:spacing w:after="0"/>
              <w:rPr>
                <w:sz w:val="20"/>
                <w:szCs w:val="20"/>
                <w:color w:val="auto"/>
              </w:rPr>
            </w:pPr>
            <w:r>
              <w:rPr>
                <w:rFonts w:ascii="Arial" w:cs="Arial" w:eastAsia="Arial" w:hAnsi="Arial"/>
                <w:sz w:val="18"/>
                <w:szCs w:val="18"/>
                <w:color w:val="auto"/>
              </w:rPr>
              <w:t>Leasing:</w:t>
            </w:r>
          </w:p>
        </w:tc>
        <w:tc>
          <w:tcPr>
            <w:tcW w:w="2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29"/>
        </w:trPr>
        <w:tc>
          <w:tcPr>
            <w:tcW w:w="5320" w:type="dxa"/>
            <w:vAlign w:val="bottom"/>
            <w:gridSpan w:val="3"/>
            <w:shd w:val="clear" w:color="auto" w:fill="CFF0FC"/>
          </w:tcPr>
          <w:p>
            <w:pPr>
              <w:ind w:left="500"/>
              <w:spacing w:after="0"/>
              <w:rPr>
                <w:sz w:val="20"/>
                <w:szCs w:val="20"/>
                <w:color w:val="auto"/>
              </w:rPr>
            </w:pPr>
            <w:r>
              <w:rPr>
                <w:rFonts w:ascii="Arial" w:cs="Arial" w:eastAsia="Arial" w:hAnsi="Arial"/>
                <w:sz w:val="18"/>
                <w:szCs w:val="18"/>
                <w:color w:val="auto"/>
              </w:rPr>
              <w:t>Fiber strand miles</w:t>
            </w:r>
          </w:p>
        </w:tc>
        <w:tc>
          <w:tcPr>
            <w:tcW w:w="20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4,910,000</w:t>
            </w:r>
          </w:p>
        </w:tc>
        <w:tc>
          <w:tcPr>
            <w:tcW w:w="10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4"/>
              </w:rPr>
              <w:t>4,550,000</w:t>
            </w:r>
          </w:p>
        </w:tc>
        <w:tc>
          <w:tcPr>
            <w:tcW w:w="80" w:type="dxa"/>
            <w:vAlign w:val="bottom"/>
            <w:shd w:val="clear" w:color="auto" w:fill="CFF0FC"/>
          </w:tcPr>
          <w:p>
            <w:pPr>
              <w:spacing w:after="0"/>
              <w:rPr>
                <w:sz w:val="19"/>
                <w:szCs w:val="19"/>
                <w:color w:val="auto"/>
              </w:rPr>
            </w:pPr>
          </w:p>
        </w:tc>
        <w:tc>
          <w:tcPr>
            <w:tcW w:w="1400" w:type="dxa"/>
            <w:vAlign w:val="bottom"/>
            <w:gridSpan w:val="3"/>
            <w:shd w:val="clear" w:color="auto" w:fill="CFF0FC"/>
          </w:tcPr>
          <w:p>
            <w:pPr>
              <w:jc w:val="center"/>
              <w:ind w:left="110"/>
              <w:spacing w:after="0"/>
              <w:rPr>
                <w:sz w:val="20"/>
                <w:szCs w:val="20"/>
                <w:color w:val="auto"/>
              </w:rPr>
            </w:pPr>
            <w:r>
              <w:rPr>
                <w:rFonts w:ascii="Arial" w:cs="Arial" w:eastAsia="Arial" w:hAnsi="Arial"/>
                <w:sz w:val="18"/>
                <w:szCs w:val="18"/>
                <w:color w:val="auto"/>
                <w:w w:val="87"/>
              </w:rPr>
              <w:t>7.9%</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30"/>
        </w:trPr>
        <w:tc>
          <w:tcPr>
            <w:tcW w:w="5320" w:type="dxa"/>
            <w:vAlign w:val="bottom"/>
            <w:gridSpan w:val="3"/>
          </w:tcPr>
          <w:p>
            <w:pPr>
              <w:ind w:left="500"/>
              <w:spacing w:after="0"/>
              <w:rPr>
                <w:sz w:val="20"/>
                <w:szCs w:val="20"/>
                <w:color w:val="auto"/>
              </w:rPr>
            </w:pPr>
            <w:r>
              <w:rPr>
                <w:rFonts w:ascii="Arial" w:cs="Arial" w:eastAsia="Arial" w:hAnsi="Arial"/>
                <w:sz w:val="18"/>
                <w:szCs w:val="18"/>
                <w:color w:val="auto"/>
              </w:rPr>
              <w:t>Copper strand miles</w:t>
            </w:r>
          </w:p>
        </w:tc>
        <w:tc>
          <w:tcPr>
            <w:tcW w:w="2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230,000</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230,000</w:t>
            </w:r>
          </w:p>
        </w:tc>
        <w:tc>
          <w:tcPr>
            <w:tcW w:w="80" w:type="dxa"/>
            <w:vAlign w:val="bottom"/>
          </w:tcPr>
          <w:p>
            <w:pPr>
              <w:spacing w:after="0"/>
              <w:rPr>
                <w:sz w:val="19"/>
                <w:szCs w:val="19"/>
                <w:color w:val="auto"/>
              </w:rPr>
            </w:pPr>
          </w:p>
        </w:tc>
        <w:tc>
          <w:tcPr>
            <w:tcW w:w="1400" w:type="dxa"/>
            <w:vAlign w:val="bottom"/>
            <w:gridSpan w:val="3"/>
          </w:tcPr>
          <w:p>
            <w:pPr>
              <w:jc w:val="center"/>
              <w:ind w:left="110"/>
              <w:spacing w:after="0"/>
              <w:rPr>
                <w:sz w:val="20"/>
                <w:szCs w:val="20"/>
                <w:color w:val="auto"/>
              </w:rPr>
            </w:pPr>
            <w:r>
              <w:rPr>
                <w:rFonts w:ascii="Arial" w:cs="Arial" w:eastAsia="Arial" w:hAnsi="Arial"/>
                <w:sz w:val="18"/>
                <w:szCs w:val="18"/>
                <w:color w:val="auto"/>
                <w:w w:val="87"/>
              </w:rPr>
              <w:t>0.0%</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29"/>
        </w:trPr>
        <w:tc>
          <w:tcPr>
            <w:tcW w:w="5320" w:type="dxa"/>
            <w:vAlign w:val="bottom"/>
            <w:gridSpan w:val="3"/>
            <w:shd w:val="clear" w:color="auto" w:fill="CFF0FC"/>
          </w:tcPr>
          <w:p>
            <w:pPr>
              <w:ind w:left="260"/>
              <w:spacing w:after="0"/>
              <w:rPr>
                <w:sz w:val="20"/>
                <w:szCs w:val="20"/>
                <w:color w:val="auto"/>
              </w:rPr>
            </w:pPr>
            <w:r>
              <w:rPr>
                <w:rFonts w:ascii="Arial" w:cs="Arial" w:eastAsia="Arial" w:hAnsi="Arial"/>
                <w:sz w:val="18"/>
                <w:szCs w:val="18"/>
                <w:color w:val="auto"/>
              </w:rPr>
              <w:t>Fiber Infrastructure:</w:t>
            </w:r>
          </w:p>
        </w:tc>
        <w:tc>
          <w:tcPr>
            <w:tcW w:w="20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30"/>
        </w:trPr>
        <w:tc>
          <w:tcPr>
            <w:tcW w:w="5320" w:type="dxa"/>
            <w:vAlign w:val="bottom"/>
            <w:gridSpan w:val="3"/>
          </w:tcPr>
          <w:p>
            <w:pPr>
              <w:ind w:left="500"/>
              <w:spacing w:after="0"/>
              <w:rPr>
                <w:sz w:val="20"/>
                <w:szCs w:val="20"/>
                <w:color w:val="auto"/>
              </w:rPr>
            </w:pPr>
            <w:r>
              <w:rPr>
                <w:rFonts w:ascii="Arial" w:cs="Arial" w:eastAsia="Arial" w:hAnsi="Arial"/>
                <w:sz w:val="18"/>
                <w:szCs w:val="18"/>
                <w:color w:val="auto"/>
              </w:rPr>
              <w:t>Fiber strand miles</w:t>
            </w:r>
          </w:p>
        </w:tc>
        <w:tc>
          <w:tcPr>
            <w:tcW w:w="2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2,760,000</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4"/>
              </w:rPr>
              <w:t>2,490,000</w:t>
            </w:r>
          </w:p>
        </w:tc>
        <w:tc>
          <w:tcPr>
            <w:tcW w:w="80" w:type="dxa"/>
            <w:vAlign w:val="bottom"/>
          </w:tcPr>
          <w:p>
            <w:pPr>
              <w:spacing w:after="0"/>
              <w:rPr>
                <w:sz w:val="19"/>
                <w:szCs w:val="19"/>
                <w:color w:val="auto"/>
              </w:rPr>
            </w:pPr>
          </w:p>
        </w:tc>
        <w:tc>
          <w:tcPr>
            <w:tcW w:w="1400" w:type="dxa"/>
            <w:vAlign w:val="bottom"/>
            <w:gridSpan w:val="3"/>
          </w:tcPr>
          <w:p>
            <w:pPr>
              <w:jc w:val="center"/>
              <w:ind w:left="110"/>
              <w:spacing w:after="0"/>
              <w:rPr>
                <w:sz w:val="20"/>
                <w:szCs w:val="20"/>
                <w:color w:val="auto"/>
              </w:rPr>
            </w:pPr>
            <w:r>
              <w:rPr>
                <w:rFonts w:ascii="Arial" w:cs="Arial" w:eastAsia="Arial" w:hAnsi="Arial"/>
                <w:sz w:val="18"/>
                <w:szCs w:val="18"/>
                <w:color w:val="auto"/>
                <w:w w:val="93"/>
              </w:rPr>
              <w:t>10.8%</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29"/>
        </w:trPr>
        <w:tc>
          <w:tcPr>
            <w:tcW w:w="5320" w:type="dxa"/>
            <w:vAlign w:val="bottom"/>
            <w:gridSpan w:val="3"/>
            <w:shd w:val="clear" w:color="auto" w:fill="CFF0FC"/>
          </w:tcPr>
          <w:p>
            <w:pPr>
              <w:ind w:left="500"/>
              <w:spacing w:after="0"/>
              <w:rPr>
                <w:sz w:val="20"/>
                <w:szCs w:val="20"/>
                <w:color w:val="auto"/>
              </w:rPr>
            </w:pPr>
            <w:r>
              <w:rPr>
                <w:rFonts w:ascii="Arial" w:cs="Arial" w:eastAsia="Arial" w:hAnsi="Arial"/>
                <w:sz w:val="18"/>
                <w:szCs w:val="18"/>
                <w:color w:val="auto"/>
              </w:rPr>
              <w:t>Customer connections</w:t>
            </w:r>
          </w:p>
        </w:tc>
        <w:tc>
          <w:tcPr>
            <w:tcW w:w="20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26,631</w:t>
            </w:r>
          </w:p>
        </w:tc>
        <w:tc>
          <w:tcPr>
            <w:tcW w:w="10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26,315</w:t>
            </w:r>
          </w:p>
        </w:tc>
        <w:tc>
          <w:tcPr>
            <w:tcW w:w="80" w:type="dxa"/>
            <w:vAlign w:val="bottom"/>
            <w:shd w:val="clear" w:color="auto" w:fill="CFF0FC"/>
          </w:tcPr>
          <w:p>
            <w:pPr>
              <w:spacing w:after="0"/>
              <w:rPr>
                <w:sz w:val="19"/>
                <w:szCs w:val="19"/>
                <w:color w:val="auto"/>
              </w:rPr>
            </w:pPr>
          </w:p>
        </w:tc>
        <w:tc>
          <w:tcPr>
            <w:tcW w:w="1400" w:type="dxa"/>
            <w:vAlign w:val="bottom"/>
            <w:gridSpan w:val="3"/>
            <w:shd w:val="clear" w:color="auto" w:fill="CFF0FC"/>
          </w:tcPr>
          <w:p>
            <w:pPr>
              <w:jc w:val="center"/>
              <w:ind w:left="110"/>
              <w:spacing w:after="0"/>
              <w:rPr>
                <w:sz w:val="20"/>
                <w:szCs w:val="20"/>
                <w:color w:val="auto"/>
              </w:rPr>
            </w:pPr>
            <w:r>
              <w:rPr>
                <w:rFonts w:ascii="Arial" w:cs="Arial" w:eastAsia="Arial" w:hAnsi="Arial"/>
                <w:sz w:val="18"/>
                <w:szCs w:val="18"/>
                <w:color w:val="auto"/>
                <w:w w:val="87"/>
              </w:rPr>
              <w:t>1.2%</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432"/>
        </w:trPr>
        <w:tc>
          <w:tcPr>
            <w:tcW w:w="5320" w:type="dxa"/>
            <w:vAlign w:val="bottom"/>
            <w:gridSpan w:val="3"/>
          </w:tcPr>
          <w:p>
            <w:pPr>
              <w:spacing w:after="0"/>
              <w:rPr>
                <w:sz w:val="20"/>
                <w:szCs w:val="20"/>
                <w:color w:val="auto"/>
              </w:rPr>
            </w:pPr>
            <w:r>
              <w:rPr>
                <w:rFonts w:ascii="Arial" w:cs="Arial" w:eastAsia="Arial" w:hAnsi="Arial"/>
                <w:sz w:val="18"/>
                <w:szCs w:val="18"/>
                <w:b w:val="1"/>
                <w:bCs w:val="1"/>
                <w:i w:val="1"/>
                <w:iCs w:val="1"/>
                <w:color w:val="auto"/>
              </w:rPr>
              <w:t>Revenues</w:t>
            </w: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73"/>
        </w:trPr>
        <w:tc>
          <w:tcPr>
            <w:tcW w:w="128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820" w:type="dxa"/>
            <w:vAlign w:val="bottom"/>
            <w:tcBorders>
              <w:bottom w:val="single" w:sz="8" w:color="auto"/>
            </w:tcBorders>
            <w:gridSpan w:val="8"/>
          </w:tcPr>
          <w:p>
            <w:pPr>
              <w:jc w:val="right"/>
              <w:ind w:right="260"/>
              <w:spacing w:after="0"/>
              <w:rPr>
                <w:sz w:val="20"/>
                <w:szCs w:val="20"/>
                <w:color w:val="auto"/>
              </w:rPr>
            </w:pPr>
            <w:r>
              <w:rPr>
                <w:rFonts w:ascii="Arial" w:cs="Arial" w:eastAsia="Arial" w:hAnsi="Arial"/>
                <w:sz w:val="18"/>
                <w:szCs w:val="18"/>
                <w:b w:val="1"/>
                <w:bCs w:val="1"/>
                <w:color w:val="auto"/>
                <w:w w:val="95"/>
              </w:rPr>
              <w:t>Three Months Ended March 31,</w:t>
            </w:r>
          </w:p>
        </w:tc>
        <w:tc>
          <w:tcPr>
            <w:tcW w:w="2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223"/>
        </w:trPr>
        <w:tc>
          <w:tcPr>
            <w:tcW w:w="1280" w:type="dxa"/>
            <w:vAlign w:val="bottom"/>
          </w:tcPr>
          <w:p>
            <w:pPr>
              <w:spacing w:after="0"/>
              <w:rPr>
                <w:sz w:val="19"/>
                <w:szCs w:val="19"/>
                <w:color w:val="auto"/>
              </w:rPr>
            </w:pPr>
          </w:p>
        </w:tc>
        <w:tc>
          <w:tcPr>
            <w:tcW w:w="39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gridSpan w:val="4"/>
          </w:tcPr>
          <w:p>
            <w:pPr>
              <w:jc w:val="right"/>
              <w:ind w:right="20"/>
              <w:spacing w:after="0"/>
              <w:rPr>
                <w:sz w:val="20"/>
                <w:szCs w:val="20"/>
                <w:color w:val="auto"/>
              </w:rPr>
            </w:pPr>
            <w:r>
              <w:rPr>
                <w:rFonts w:ascii="Arial" w:cs="Arial" w:eastAsia="Arial" w:hAnsi="Arial"/>
                <w:sz w:val="18"/>
                <w:szCs w:val="18"/>
                <w:b w:val="1"/>
                <w:bCs w:val="1"/>
                <w:color w:val="auto"/>
              </w:rPr>
              <w:t>2022</w:t>
            </w:r>
          </w:p>
        </w:tc>
        <w:tc>
          <w:tcPr>
            <w:tcW w:w="100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gridSpan w:val="3"/>
          </w:tcPr>
          <w:p>
            <w:pPr>
              <w:jc w:val="right"/>
              <w:ind w:right="930"/>
              <w:spacing w:after="0"/>
              <w:rPr>
                <w:sz w:val="20"/>
                <w:szCs w:val="20"/>
                <w:color w:val="auto"/>
              </w:rPr>
            </w:pPr>
            <w:r>
              <w:rPr>
                <w:rFonts w:ascii="Arial" w:cs="Arial" w:eastAsia="Arial" w:hAnsi="Arial"/>
                <w:sz w:val="18"/>
                <w:szCs w:val="18"/>
                <w:b w:val="1"/>
                <w:bCs w:val="1"/>
                <w:color w:val="auto"/>
                <w:w w:val="89"/>
              </w:rPr>
              <w:t>2021</w:t>
            </w:r>
          </w:p>
        </w:tc>
        <w:tc>
          <w:tcPr>
            <w:tcW w:w="2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05"/>
        </w:trPr>
        <w:tc>
          <w:tcPr>
            <w:tcW w:w="1280" w:type="dxa"/>
            <w:vAlign w:val="bottom"/>
          </w:tcPr>
          <w:p>
            <w:pPr>
              <w:spacing w:after="0"/>
              <w:rPr>
                <w:sz w:val="17"/>
                <w:szCs w:val="17"/>
                <w:color w:val="auto"/>
              </w:rPr>
            </w:pPr>
          </w:p>
        </w:tc>
        <w:tc>
          <w:tcPr>
            <w:tcW w:w="39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00" w:type="dxa"/>
            <w:vAlign w:val="bottom"/>
            <w:gridSpan w:val="2"/>
          </w:tcPr>
          <w:p>
            <w:pPr>
              <w:jc w:val="center"/>
              <w:ind w:right="40"/>
              <w:spacing w:after="0" w:line="205" w:lineRule="exact"/>
              <w:rPr>
                <w:sz w:val="20"/>
                <w:szCs w:val="20"/>
                <w:color w:val="auto"/>
              </w:rPr>
            </w:pPr>
            <w:r>
              <w:rPr>
                <w:rFonts w:ascii="Arial" w:cs="Arial" w:eastAsia="Arial" w:hAnsi="Arial"/>
                <w:sz w:val="18"/>
                <w:szCs w:val="18"/>
                <w:b w:val="1"/>
                <w:bCs w:val="1"/>
                <w:color w:val="auto"/>
                <w:w w:val="99"/>
              </w:rPr>
              <w:t>% of</w:t>
            </w: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160" w:type="dxa"/>
            <w:vAlign w:val="bottom"/>
            <w:gridSpan w:val="2"/>
          </w:tcPr>
          <w:p>
            <w:pPr>
              <w:jc w:val="center"/>
              <w:ind w:right="20"/>
              <w:spacing w:after="0" w:line="205" w:lineRule="exact"/>
              <w:rPr>
                <w:sz w:val="20"/>
                <w:szCs w:val="20"/>
                <w:color w:val="auto"/>
              </w:rPr>
            </w:pPr>
            <w:r>
              <w:rPr>
                <w:rFonts w:ascii="Arial" w:cs="Arial" w:eastAsia="Arial" w:hAnsi="Arial"/>
                <w:sz w:val="18"/>
                <w:szCs w:val="18"/>
                <w:b w:val="1"/>
                <w:bCs w:val="1"/>
                <w:color w:val="auto"/>
                <w:w w:val="99"/>
              </w:rPr>
              <w:t>% of</w:t>
            </w:r>
          </w:p>
        </w:tc>
        <w:tc>
          <w:tcPr>
            <w:tcW w:w="100" w:type="dxa"/>
            <w:vAlign w:val="bottom"/>
          </w:tcPr>
          <w:p>
            <w:pPr>
              <w:spacing w:after="0"/>
              <w:rPr>
                <w:sz w:val="17"/>
                <w:szCs w:val="17"/>
                <w:color w:val="auto"/>
              </w:rPr>
            </w:pPr>
          </w:p>
        </w:tc>
      </w:tr>
      <w:tr>
        <w:trPr>
          <w:trHeight w:val="216"/>
        </w:trPr>
        <w:tc>
          <w:tcPr>
            <w:tcW w:w="1280" w:type="dxa"/>
            <w:vAlign w:val="bottom"/>
          </w:tcPr>
          <w:p>
            <w:pPr>
              <w:spacing w:after="0"/>
              <w:rPr>
                <w:sz w:val="18"/>
                <w:szCs w:val="18"/>
                <w:color w:val="auto"/>
              </w:rPr>
            </w:pPr>
          </w:p>
        </w:tc>
        <w:tc>
          <w:tcPr>
            <w:tcW w:w="3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00" w:type="dxa"/>
            <w:vAlign w:val="bottom"/>
            <w:gridSpan w:val="2"/>
          </w:tcPr>
          <w:p>
            <w:pPr>
              <w:jc w:val="center"/>
              <w:ind w:right="40"/>
              <w:spacing w:after="0"/>
              <w:rPr>
                <w:sz w:val="20"/>
                <w:szCs w:val="20"/>
                <w:color w:val="auto"/>
              </w:rPr>
            </w:pPr>
            <w:r>
              <w:rPr>
                <w:rFonts w:ascii="Arial" w:cs="Arial" w:eastAsia="Arial" w:hAnsi="Arial"/>
                <w:sz w:val="18"/>
                <w:szCs w:val="18"/>
                <w:b w:val="1"/>
                <w:bCs w:val="1"/>
                <w:color w:val="auto"/>
                <w:w w:val="89"/>
              </w:rPr>
              <w:t>Consolidated</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6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87"/>
              </w:rPr>
              <w:t>Consolidated</w:t>
            </w:r>
          </w:p>
        </w:tc>
      </w:tr>
      <w:tr>
        <w:trPr>
          <w:trHeight w:val="234"/>
        </w:trPr>
        <w:tc>
          <w:tcPr>
            <w:tcW w:w="5320" w:type="dxa"/>
            <w:vAlign w:val="bottom"/>
            <w:gridSpan w:val="3"/>
          </w:tcPr>
          <w:p>
            <w:pPr>
              <w:spacing w:after="0"/>
              <w:rPr>
                <w:sz w:val="20"/>
                <w:szCs w:val="20"/>
                <w:color w:val="auto"/>
              </w:rPr>
            </w:pPr>
            <w:r>
              <w:rPr>
                <w:rFonts w:ascii="Arial" w:cs="Arial" w:eastAsia="Arial" w:hAnsi="Arial"/>
                <w:sz w:val="18"/>
                <w:szCs w:val="18"/>
                <w:color w:val="auto"/>
              </w:rPr>
              <w:t>(Thousands)</w:t>
            </w:r>
          </w:p>
        </w:tc>
        <w:tc>
          <w:tcPr>
            <w:tcW w:w="200" w:type="dxa"/>
            <w:vAlign w:val="bottom"/>
          </w:tcPr>
          <w:p>
            <w:pPr>
              <w:spacing w:after="0"/>
              <w:rPr>
                <w:sz w:val="20"/>
                <w:szCs w:val="20"/>
                <w:color w:val="auto"/>
              </w:rPr>
            </w:pPr>
          </w:p>
        </w:tc>
        <w:tc>
          <w:tcPr>
            <w:tcW w:w="1380" w:type="dxa"/>
            <w:vAlign w:val="bottom"/>
            <w:gridSpan w:val="4"/>
          </w:tcPr>
          <w:p>
            <w:pPr>
              <w:jc w:val="right"/>
              <w:ind w:right="660"/>
              <w:spacing w:after="0"/>
              <w:rPr>
                <w:sz w:val="20"/>
                <w:szCs w:val="20"/>
                <w:color w:val="auto"/>
              </w:rPr>
            </w:pPr>
            <w:r>
              <w:rPr>
                <w:rFonts w:ascii="Arial" w:cs="Arial" w:eastAsia="Arial" w:hAnsi="Arial"/>
                <w:sz w:val="18"/>
                <w:szCs w:val="18"/>
                <w:b w:val="1"/>
                <w:bCs w:val="1"/>
                <w:color w:val="auto"/>
              </w:rPr>
              <w:t>Amount</w:t>
            </w:r>
          </w:p>
        </w:tc>
        <w:tc>
          <w:tcPr>
            <w:tcW w:w="1100" w:type="dxa"/>
            <w:vAlign w:val="bottom"/>
            <w:gridSpan w:val="2"/>
          </w:tcPr>
          <w:p>
            <w:pPr>
              <w:jc w:val="center"/>
              <w:ind w:right="40"/>
              <w:spacing w:after="0"/>
              <w:rPr>
                <w:sz w:val="20"/>
                <w:szCs w:val="20"/>
                <w:color w:val="auto"/>
              </w:rPr>
            </w:pPr>
            <w:r>
              <w:rPr>
                <w:rFonts w:ascii="Arial" w:cs="Arial" w:eastAsia="Arial" w:hAnsi="Arial"/>
                <w:sz w:val="18"/>
                <w:szCs w:val="18"/>
                <w:b w:val="1"/>
                <w:bCs w:val="1"/>
                <w:color w:val="auto"/>
                <w:w w:val="86"/>
              </w:rPr>
              <w:t>Revenues</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w w:val="97"/>
              </w:rPr>
              <w:t>Amount</w:t>
            </w:r>
          </w:p>
        </w:tc>
        <w:tc>
          <w:tcPr>
            <w:tcW w:w="2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6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84"/>
              </w:rPr>
              <w:t>Revenues</w:t>
            </w:r>
          </w:p>
        </w:tc>
      </w:tr>
      <w:tr>
        <w:trPr>
          <w:trHeight w:val="223"/>
        </w:trPr>
        <w:tc>
          <w:tcPr>
            <w:tcW w:w="5180" w:type="dxa"/>
            <w:vAlign w:val="bottom"/>
            <w:tcBorders>
              <w:top w:val="single" w:sz="8" w:color="auto"/>
            </w:tcBorders>
            <w:gridSpan w:val="2"/>
            <w:shd w:val="clear" w:color="auto" w:fill="CFF0FC"/>
          </w:tcPr>
          <w:p>
            <w:pPr>
              <w:spacing w:after="0"/>
              <w:rPr>
                <w:sz w:val="20"/>
                <w:szCs w:val="20"/>
                <w:color w:val="auto"/>
              </w:rPr>
            </w:pPr>
            <w:r>
              <w:rPr>
                <w:rFonts w:ascii="Arial" w:cs="Arial" w:eastAsia="Arial" w:hAnsi="Arial"/>
                <w:sz w:val="18"/>
                <w:szCs w:val="18"/>
                <w:b w:val="1"/>
                <w:bCs w:val="1"/>
                <w:color w:val="auto"/>
              </w:rPr>
              <w:t>Revenues:</w:t>
            </w:r>
          </w:p>
        </w:tc>
        <w:tc>
          <w:tcPr>
            <w:tcW w:w="14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92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26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spacing w:after="0"/>
              <w:rPr>
                <w:sz w:val="19"/>
                <w:szCs w:val="19"/>
                <w:color w:val="auto"/>
              </w:rPr>
            </w:pPr>
          </w:p>
        </w:tc>
        <w:tc>
          <w:tcPr>
            <w:tcW w:w="100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6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54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780" w:type="dxa"/>
            <w:vAlign w:val="bottom"/>
            <w:tcBorders>
              <w:top w:val="single" w:sz="8" w:color="auto"/>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40" w:type="dxa"/>
            <w:vAlign w:val="bottom"/>
            <w:tcBorders>
              <w:top w:val="single" w:sz="8" w:color="CFF0FC"/>
            </w:tcBorders>
            <w:shd w:val="clear" w:color="auto" w:fill="CFF0FC"/>
          </w:tcPr>
          <w:p>
            <w:pPr>
              <w:spacing w:after="0"/>
              <w:rPr>
                <w:sz w:val="19"/>
                <w:szCs w:val="19"/>
                <w:color w:val="auto"/>
              </w:rPr>
            </w:pPr>
          </w:p>
        </w:tc>
        <w:tc>
          <w:tcPr>
            <w:tcW w:w="1140" w:type="dxa"/>
            <w:vAlign w:val="bottom"/>
            <w:tcBorders>
              <w:top w:val="single" w:sz="8" w:color="auto"/>
            </w:tcBorders>
            <w:shd w:val="clear" w:color="auto" w:fill="CFF0FC"/>
          </w:tcPr>
          <w:p>
            <w:pPr>
              <w:spacing w:after="0"/>
              <w:rPr>
                <w:sz w:val="19"/>
                <w:szCs w:val="19"/>
                <w:color w:val="auto"/>
              </w:rPr>
            </w:pPr>
          </w:p>
        </w:tc>
        <w:tc>
          <w:tcPr>
            <w:tcW w:w="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r>
      <w:tr>
        <w:trPr>
          <w:trHeight w:val="230"/>
        </w:trPr>
        <w:tc>
          <w:tcPr>
            <w:tcW w:w="5320" w:type="dxa"/>
            <w:vAlign w:val="bottom"/>
            <w:gridSpan w:val="3"/>
          </w:tcPr>
          <w:p>
            <w:pPr>
              <w:ind w:left="260"/>
              <w:spacing w:after="0"/>
              <w:rPr>
                <w:sz w:val="20"/>
                <w:szCs w:val="20"/>
                <w:color w:val="auto"/>
              </w:rPr>
            </w:pPr>
            <w:r>
              <w:rPr>
                <w:rFonts w:ascii="Arial" w:cs="Arial" w:eastAsia="Arial" w:hAnsi="Arial"/>
                <w:sz w:val="18"/>
                <w:szCs w:val="18"/>
                <w:color w:val="auto"/>
              </w:rPr>
              <w:t>Leasing</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204,641</w:t>
            </w:r>
          </w:p>
        </w:tc>
        <w:tc>
          <w:tcPr>
            <w:tcW w:w="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90"/>
              </w:rPr>
              <w:t>73.6%</w:t>
            </w:r>
          </w:p>
        </w:tc>
        <w:tc>
          <w:tcPr>
            <w:tcW w:w="100" w:type="dxa"/>
            <w:vAlign w:val="bottom"/>
          </w:tcPr>
          <w:p>
            <w:pPr>
              <w:spacing w:after="0"/>
              <w:rPr>
                <w:sz w:val="19"/>
                <w:szCs w:val="19"/>
                <w:color w:val="auto"/>
              </w:rPr>
            </w:pPr>
          </w:p>
        </w:tc>
        <w:tc>
          <w:tcPr>
            <w:tcW w:w="860" w:type="dxa"/>
            <w:vAlign w:val="bottom"/>
            <w:gridSpan w:val="4"/>
          </w:tcPr>
          <w:p>
            <w:pPr>
              <w:ind w:left="72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194,936</w:t>
            </w:r>
          </w:p>
        </w:tc>
        <w:tc>
          <w:tcPr>
            <w:tcW w:w="1400" w:type="dxa"/>
            <w:vAlign w:val="bottom"/>
            <w:gridSpan w:val="3"/>
          </w:tcPr>
          <w:p>
            <w:pPr>
              <w:jc w:val="center"/>
              <w:ind w:left="170"/>
              <w:spacing w:after="0"/>
              <w:rPr>
                <w:sz w:val="20"/>
                <w:szCs w:val="20"/>
                <w:color w:val="auto"/>
              </w:rPr>
            </w:pPr>
            <w:r>
              <w:rPr>
                <w:rFonts w:ascii="Arial" w:cs="Arial" w:eastAsia="Arial" w:hAnsi="Arial"/>
                <w:sz w:val="18"/>
                <w:szCs w:val="18"/>
                <w:color w:val="auto"/>
                <w:w w:val="90"/>
              </w:rPr>
              <w:t>71.5%</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29"/>
        </w:trPr>
        <w:tc>
          <w:tcPr>
            <w:tcW w:w="5320" w:type="dxa"/>
            <w:vAlign w:val="bottom"/>
            <w:gridSpan w:val="3"/>
            <w:shd w:val="clear" w:color="auto" w:fill="CFF0FC"/>
          </w:tcPr>
          <w:p>
            <w:pPr>
              <w:ind w:left="260"/>
              <w:spacing w:after="0"/>
              <w:rPr>
                <w:sz w:val="20"/>
                <w:szCs w:val="20"/>
                <w:color w:val="auto"/>
              </w:rPr>
            </w:pPr>
            <w:r>
              <w:rPr>
                <w:rFonts w:ascii="Arial" w:cs="Arial" w:eastAsia="Arial" w:hAnsi="Arial"/>
                <w:sz w:val="18"/>
                <w:szCs w:val="18"/>
                <w:color w:val="auto"/>
              </w:rPr>
              <w:t>Fiber Infrastructure</w:t>
            </w:r>
          </w:p>
        </w:tc>
        <w:tc>
          <w:tcPr>
            <w:tcW w:w="200" w:type="dxa"/>
            <w:vAlign w:val="bottom"/>
            <w:shd w:val="clear" w:color="auto" w:fill="CFF0FC"/>
          </w:tcPr>
          <w:p>
            <w:pPr>
              <w:spacing w:after="0"/>
              <w:rPr>
                <w:sz w:val="19"/>
                <w:szCs w:val="19"/>
                <w:color w:val="auto"/>
              </w:rPr>
            </w:pPr>
          </w:p>
        </w:tc>
        <w:tc>
          <w:tcPr>
            <w:tcW w:w="104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73,393</w:t>
            </w:r>
          </w:p>
        </w:tc>
        <w:tc>
          <w:tcPr>
            <w:tcW w:w="2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0"/>
              </w:rPr>
              <w:t>26.4%</w:t>
            </w:r>
          </w:p>
        </w:tc>
        <w:tc>
          <w:tcPr>
            <w:tcW w:w="10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77,650</w:t>
            </w:r>
          </w:p>
        </w:tc>
        <w:tc>
          <w:tcPr>
            <w:tcW w:w="1400" w:type="dxa"/>
            <w:vAlign w:val="bottom"/>
            <w:gridSpan w:val="3"/>
            <w:shd w:val="clear" w:color="auto" w:fill="CFF0FC"/>
          </w:tcPr>
          <w:p>
            <w:pPr>
              <w:jc w:val="center"/>
              <w:ind w:left="170"/>
              <w:spacing w:after="0"/>
              <w:rPr>
                <w:sz w:val="20"/>
                <w:szCs w:val="20"/>
                <w:color w:val="auto"/>
              </w:rPr>
            </w:pPr>
            <w:r>
              <w:rPr>
                <w:rFonts w:ascii="Arial" w:cs="Arial" w:eastAsia="Arial" w:hAnsi="Arial"/>
                <w:sz w:val="18"/>
                <w:szCs w:val="18"/>
                <w:color w:val="auto"/>
                <w:w w:val="90"/>
              </w:rPr>
              <w:t>28.5%</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23"/>
        </w:trPr>
        <w:tc>
          <w:tcPr>
            <w:tcW w:w="5320" w:type="dxa"/>
            <w:vAlign w:val="bottom"/>
            <w:gridSpan w:val="3"/>
          </w:tcPr>
          <w:p>
            <w:pPr>
              <w:ind w:left="380"/>
              <w:spacing w:after="0"/>
              <w:rPr>
                <w:sz w:val="20"/>
                <w:szCs w:val="20"/>
                <w:color w:val="auto"/>
              </w:rPr>
            </w:pPr>
            <w:r>
              <w:rPr>
                <w:rFonts w:ascii="Arial" w:cs="Arial" w:eastAsia="Arial" w:hAnsi="Arial"/>
                <w:sz w:val="18"/>
                <w:szCs w:val="18"/>
                <w:color w:val="auto"/>
              </w:rPr>
              <w:t>Total revenues</w:t>
            </w: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278,034</w:t>
            </w:r>
          </w:p>
        </w:tc>
        <w:tc>
          <w:tcPr>
            <w:tcW w:w="260" w:type="dxa"/>
            <w:vAlign w:val="bottom"/>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10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1"/>
              </w:rPr>
              <w:t>100.0%</w:t>
            </w:r>
          </w:p>
        </w:tc>
        <w:tc>
          <w:tcPr>
            <w:tcW w:w="100" w:type="dxa"/>
            <w:vAlign w:val="bottom"/>
            <w:tcBorders>
              <w:top w:val="single" w:sz="8" w:color="auto"/>
              <w:bottom w:val="single" w:sz="8" w:color="auto"/>
            </w:tcBorders>
          </w:tcPr>
          <w:p>
            <w:pPr>
              <w:spacing w:after="0"/>
              <w:rPr>
                <w:sz w:val="19"/>
                <w:szCs w:val="19"/>
                <w:color w:val="auto"/>
              </w:rPr>
            </w:pPr>
          </w:p>
        </w:tc>
        <w:tc>
          <w:tcPr>
            <w:tcW w:w="60" w:type="dxa"/>
            <w:vAlign w:val="bottom"/>
            <w:tcBorders>
              <w:top w:val="single" w:sz="8" w:color="auto"/>
              <w:bottom w:val="single" w:sz="8" w:color="auto"/>
            </w:tcBorders>
          </w:tcPr>
          <w:p>
            <w:pPr>
              <w:spacing w:after="0"/>
              <w:rPr>
                <w:sz w:val="19"/>
                <w:szCs w:val="19"/>
                <w:color w:val="auto"/>
              </w:rPr>
            </w:pPr>
          </w:p>
        </w:tc>
        <w:tc>
          <w:tcPr>
            <w:tcW w:w="660" w:type="dxa"/>
            <w:vAlign w:val="bottom"/>
            <w:gridSpan w:val="2"/>
          </w:tcPr>
          <w:p>
            <w:pPr>
              <w:spacing w:after="0"/>
              <w:rPr>
                <w:sz w:val="19"/>
                <w:szCs w:val="19"/>
                <w:color w:val="auto"/>
              </w:rPr>
            </w:pPr>
          </w:p>
        </w:tc>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86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272,586</w:t>
            </w:r>
          </w:p>
        </w:tc>
        <w:tc>
          <w:tcPr>
            <w:tcW w:w="260" w:type="dxa"/>
            <w:vAlign w:val="bottom"/>
            <w:gridSpan w:val="2"/>
          </w:tcPr>
          <w:p>
            <w:pPr>
              <w:spacing w:after="0"/>
              <w:rPr>
                <w:sz w:val="19"/>
                <w:szCs w:val="19"/>
                <w:color w:val="auto"/>
              </w:rPr>
            </w:pPr>
          </w:p>
        </w:tc>
        <w:tc>
          <w:tcPr>
            <w:tcW w:w="11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1"/>
              </w:rPr>
              <w:t>100.0%</w:t>
            </w:r>
          </w:p>
        </w:tc>
        <w:tc>
          <w:tcPr>
            <w:tcW w:w="20" w:type="dxa"/>
            <w:vAlign w:val="bottom"/>
            <w:tcBorders>
              <w:top w:val="single" w:sz="8" w:color="auto"/>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0"/>
        </w:trPr>
        <w:tc>
          <w:tcPr>
            <w:tcW w:w="128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40"/>
        <w:spacing w:after="0" w:line="254" w:lineRule="auto"/>
        <w:rPr>
          <w:sz w:val="20"/>
          <w:szCs w:val="20"/>
          <w:color w:val="auto"/>
        </w:rPr>
      </w:pPr>
      <w:r>
        <w:rPr>
          <w:rFonts w:ascii="Arial" w:cs="Arial" w:eastAsia="Arial" w:hAnsi="Arial"/>
          <w:sz w:val="18"/>
          <w:szCs w:val="18"/>
          <w:i w:val="1"/>
          <w:iCs w:val="1"/>
          <w:u w:val="single" w:color="auto"/>
          <w:color w:val="auto"/>
        </w:rPr>
        <w:t>Leasing</w:t>
      </w:r>
      <w:r>
        <w:rPr>
          <w:rFonts w:ascii="Arial" w:cs="Arial" w:eastAsia="Arial" w:hAnsi="Arial"/>
          <w:sz w:val="18"/>
          <w:szCs w:val="18"/>
          <w:i w:val="1"/>
          <w:iCs w:val="1"/>
          <w:color w:val="auto"/>
        </w:rPr>
        <w:t xml:space="preserve"> </w:t>
      </w:r>
      <w:r>
        <w:rPr>
          <w:rFonts w:ascii="Arial" w:cs="Arial" w:eastAsia="Arial" w:hAnsi="Arial"/>
          <w:sz w:val="18"/>
          <w:szCs w:val="18"/>
          <w:color w:val="auto"/>
        </w:rPr>
        <w:t>– Leasing revenues are primarily attributable to rental revenue from leasing our Distribution Systems to Windstream pursuant to the Windstream</w:t>
      </w:r>
      <w:r>
        <w:rPr>
          <w:rFonts w:ascii="Arial" w:cs="Arial" w:eastAsia="Arial" w:hAnsi="Arial"/>
          <w:sz w:val="18"/>
          <w:szCs w:val="18"/>
          <w:i w:val="1"/>
          <w:iCs w:val="1"/>
          <w:color w:val="auto"/>
        </w:rPr>
        <w:t xml:space="preserve"> </w:t>
      </w:r>
      <w:r>
        <w:rPr>
          <w:rFonts w:ascii="Arial" w:cs="Arial" w:eastAsia="Arial" w:hAnsi="Arial"/>
          <w:sz w:val="18"/>
          <w:szCs w:val="18"/>
          <w:color w:val="auto"/>
        </w:rPr>
        <w:t>Leases (and historically, the Master Lease). Under the Windstream Leases, Windstream is responsible for the costs related to operating the Distribution Systems, including property taxes, insurance, and maintenance and repair costs. As a result, we do not record an obligation related to the payment of property taxes, as Windstream makes direct payments to the taxing authorities. The initial term of the Windstream Leases expires on April 30, 2030. Annual rent under the Windstream Leases for the full year 2022 is $668.9 million and is subject to annual escalation at a rate of 0.5%. For a description of the Windstream Leases, see Part I, Item 2 Management’s Discussion and Analysis in “Liquidity and Capital Resources—Windstream Master Lease and Windstream Leases.”</w:t>
      </w:r>
    </w:p>
    <w:p>
      <w:pPr>
        <w:spacing w:after="0" w:line="195" w:lineRule="exact"/>
        <w:rPr>
          <w:sz w:val="20"/>
          <w:szCs w:val="20"/>
          <w:color w:val="auto"/>
        </w:rPr>
      </w:pPr>
    </w:p>
    <w:p>
      <w:pPr>
        <w:jc w:val="both"/>
        <w:ind w:right="180"/>
        <w:spacing w:after="0" w:line="263" w:lineRule="auto"/>
        <w:rPr>
          <w:sz w:val="20"/>
          <w:szCs w:val="20"/>
          <w:color w:val="auto"/>
        </w:rPr>
      </w:pPr>
      <w:r>
        <w:rPr>
          <w:rFonts w:ascii="Arial" w:cs="Arial" w:eastAsia="Arial" w:hAnsi="Arial"/>
          <w:sz w:val="18"/>
          <w:szCs w:val="18"/>
          <w:color w:val="auto"/>
        </w:rPr>
        <w:t>The rent for the first year of each renewal term will be an amount agreed to by us and Windstream. While the agreement requires that the renewal rent be “Fair Market Rent,” if we are unable to agree, the renewal Fair Market Rent will be determined by an independent appraisal process. Commencing with the second year of each renewal term, the renewal rent will increase at an escalation rate of 0.5%.</w:t>
      </w:r>
    </w:p>
    <w:p>
      <w:pPr>
        <w:spacing w:after="0" w:line="184" w:lineRule="exact"/>
        <w:rPr>
          <w:sz w:val="20"/>
          <w:szCs w:val="20"/>
          <w:color w:val="auto"/>
        </w:rPr>
      </w:pPr>
    </w:p>
    <w:p>
      <w:pPr>
        <w:ind w:right="80"/>
        <w:spacing w:after="0" w:line="275" w:lineRule="auto"/>
        <w:rPr>
          <w:sz w:val="20"/>
          <w:szCs w:val="20"/>
          <w:color w:val="auto"/>
        </w:rPr>
      </w:pPr>
      <w:r>
        <w:rPr>
          <w:rFonts w:ascii="Arial" w:cs="Arial" w:eastAsia="Arial" w:hAnsi="Arial"/>
          <w:sz w:val="17"/>
          <w:szCs w:val="17"/>
          <w:color w:val="auto"/>
        </w:rPr>
        <w:t>Pursuant to the Windstream Leases, Windstream (or any successor tenant under a Windstream Lease) has the right to cause Uniti to reimburse up to an aggregate $1.75 billion for certain growth capital improvements in long-term value accretive fiber and related assets made by Windstream (or the applicable tenant under the Windstream Lease) to certain ILEC and CLEC properties (the “Growth Capital Improvements” or “GCIs”). Uniti’s total annual reimbursement commitments to Windstream for the Growth Capital Improvements is discussed below in this Part I, Item 2 Management’s Discussion and Analysis in “Liquidity and Capital Resources—Windstream Master Lease and Windstream Leases.”</w:t>
      </w:r>
    </w:p>
    <w:p>
      <w:pPr>
        <w:spacing w:after="0" w:line="176" w:lineRule="exact"/>
        <w:rPr>
          <w:sz w:val="20"/>
          <w:szCs w:val="20"/>
          <w:color w:val="auto"/>
        </w:rPr>
      </w:pPr>
    </w:p>
    <w:p>
      <w:pPr>
        <w:jc w:val="both"/>
        <w:ind w:right="560"/>
        <w:spacing w:after="0" w:line="299" w:lineRule="auto"/>
        <w:rPr>
          <w:sz w:val="20"/>
          <w:szCs w:val="20"/>
          <w:color w:val="auto"/>
        </w:rPr>
      </w:pPr>
      <w:r>
        <w:rPr>
          <w:rFonts w:ascii="Arial" w:cs="Arial" w:eastAsia="Arial" w:hAnsi="Arial"/>
          <w:sz w:val="16"/>
          <w:szCs w:val="16"/>
          <w:color w:val="auto"/>
        </w:rPr>
        <w:t>Starting on the first anniversary of each installment of reimbursement for a Growth Capital Improvement, the rent payable by Windstream under the applicable Windstream Lease will increase by an amount equal to 8.0% (the “Rent Rate”) of such installment of reimbursement. The Rent Rate will thereafter increase to 100.5% of the prior Rent Rate on each anniversary of each reimbursement. In the event that the tenant’s interest in</w:t>
      </w:r>
    </w:p>
    <w:p>
      <w:pPr>
        <w:spacing w:after="0" w:line="2" w:lineRule="exact"/>
        <w:rPr>
          <w:sz w:val="20"/>
          <w:szCs w:val="20"/>
          <w:color w:val="auto"/>
        </w:rPr>
      </w:pPr>
    </w:p>
    <w:p>
      <w:pPr>
        <w:jc w:val="both"/>
        <w:spacing w:after="0" w:line="281" w:lineRule="auto"/>
        <w:rPr>
          <w:sz w:val="20"/>
          <w:szCs w:val="20"/>
          <w:color w:val="auto"/>
        </w:rPr>
      </w:pPr>
      <w:r>
        <w:rPr>
          <w:rFonts w:ascii="Arial" w:cs="Arial" w:eastAsia="Arial" w:hAnsi="Arial"/>
          <w:sz w:val="16"/>
          <w:szCs w:val="16"/>
          <w:color w:val="auto"/>
        </w:rPr>
        <w:t>either Windstream Lease is transferred by Windstream under the terms thereof (unless transferred to the same transferee), or if Uniti transfers its interests as landlord under either Windstream Lease (unless to the same transferee), the reimbursement rights and obligations will be allocated between the ILEC MLA and the CLEC MLA by Windstream, provided that the maximum that may be allocated to the CLEC MLA following such transfer is $20 million per year.</w:t>
      </w:r>
    </w:p>
    <w:p>
      <w:pPr>
        <w:spacing w:after="0" w:line="2" w:lineRule="exact"/>
        <w:rPr>
          <w:sz w:val="20"/>
          <w:szCs w:val="20"/>
          <w:color w:val="auto"/>
        </w:rPr>
      </w:pPr>
    </w:p>
    <w:p>
      <w:pPr>
        <w:ind w:right="100"/>
        <w:spacing w:after="0" w:line="260" w:lineRule="auto"/>
        <w:rPr>
          <w:sz w:val="20"/>
          <w:szCs w:val="20"/>
          <w:color w:val="auto"/>
        </w:rPr>
      </w:pPr>
      <w:r>
        <w:rPr>
          <w:rFonts w:ascii="Arial" w:cs="Arial" w:eastAsia="Arial" w:hAnsi="Arial"/>
          <w:sz w:val="18"/>
          <w:szCs w:val="18"/>
          <w:color w:val="auto"/>
        </w:rPr>
        <w:t>If Uniti fails to reimburse any Growth Capital Improvement reimbursement payment or equipment loan funding request as and when it is required to do so under the terms of the Windstream Leases, and such failure continues for thirty (30) days, then such unreimbursed</w:t>
      </w: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amounts may be applied as an offset against the rent owed by Windstream under the Windstream Leases (and such amounts will thereafter be treated as if Uniti had reimbursed them).</w:t>
      </w:r>
    </w:p>
    <w:p>
      <w:pPr>
        <w:spacing w:after="0" w:line="170"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The Windstream Leases provide that tenant funded capital improvements (“TCIs”), defined as maintenance, repair, overbuild, upgrade or replacement to the Distribution Systems, including without limitation, the replacement of copper distribution systems with fiber distribution systems, automatically become property of Uniti upon their construction by Windstream. We receive non-monetary consideration related to TCIs as they automatically become our property, and we recognize the cost basis of TCIs that are capital in nature as real estate investments and deferred revenue. We depreciate the real estate investments over their estimated useful lives and amortize the deferred revenue as additional leasing revenues over the same depreciable life of the TCI assets. TCIs exclude Growth Capital Improvements as and when reimbursed by Uniti.</w:t>
      </w:r>
    </w:p>
    <w:p>
      <w:pPr>
        <w:spacing w:after="0" w:line="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3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2900" w:type="dxa"/>
            <w:vAlign w:val="bottom"/>
            <w:tcBorders>
              <w:bottom w:val="single" w:sz="8" w:color="auto"/>
            </w:tcBorders>
            <w:gridSpan w:val="6"/>
          </w:tcPr>
          <w:p>
            <w:pPr>
              <w:ind w:left="20"/>
              <w:spacing w:after="0"/>
              <w:rPr>
                <w:sz w:val="20"/>
                <w:szCs w:val="20"/>
                <w:color w:val="auto"/>
              </w:rPr>
            </w:pPr>
            <w:r>
              <w:rPr>
                <w:rFonts w:ascii="Arial" w:cs="Arial" w:eastAsia="Arial" w:hAnsi="Arial"/>
                <w:sz w:val="18"/>
                <w:szCs w:val="18"/>
                <w:b w:val="1"/>
                <w:bCs w:val="1"/>
                <w:color w:val="auto"/>
              </w:rPr>
              <w:t>Three Months Ended March 31,</w:t>
            </w:r>
          </w:p>
        </w:tc>
        <w:tc>
          <w:tcPr>
            <w:tcW w:w="11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50"/>
        </w:trPr>
        <w:tc>
          <w:tcPr>
            <w:tcW w:w="53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2022</w:t>
            </w:r>
          </w:p>
        </w:tc>
        <w:tc>
          <w:tcPr>
            <w:tcW w:w="1220" w:type="dxa"/>
            <w:vAlign w:val="bottom"/>
            <w:tcBorders>
              <w:bottom w:val="single" w:sz="8" w:color="auto"/>
            </w:tcBorders>
          </w:tcPr>
          <w:p>
            <w:pPr>
              <w:spacing w:after="0"/>
              <w:rPr>
                <w:sz w:val="21"/>
                <w:szCs w:val="21"/>
                <w:color w:val="auto"/>
              </w:rPr>
            </w:pPr>
          </w:p>
        </w:tc>
        <w:tc>
          <w:tcPr>
            <w:tcW w:w="420" w:type="dxa"/>
            <w:vAlign w:val="bottom"/>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2021</w:t>
            </w:r>
          </w:p>
        </w:tc>
        <w:tc>
          <w:tcPr>
            <w:tcW w:w="120" w:type="dxa"/>
            <w:vAlign w:val="bottom"/>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116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05"/>
        </w:trPr>
        <w:tc>
          <w:tcPr>
            <w:tcW w:w="5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20" w:type="dxa"/>
            <w:vAlign w:val="bottom"/>
          </w:tcPr>
          <w:p>
            <w:pPr>
              <w:jc w:val="center"/>
              <w:spacing w:after="0" w:line="205" w:lineRule="exact"/>
              <w:rPr>
                <w:sz w:val="20"/>
                <w:szCs w:val="20"/>
                <w:color w:val="auto"/>
              </w:rPr>
            </w:pPr>
            <w:r>
              <w:rPr>
                <w:rFonts w:ascii="Arial" w:cs="Arial" w:eastAsia="Arial" w:hAnsi="Arial"/>
                <w:sz w:val="18"/>
                <w:szCs w:val="18"/>
                <w:b w:val="1"/>
                <w:bCs w:val="1"/>
                <w:color w:val="auto"/>
                <w:w w:val="90"/>
              </w:rPr>
              <w:t>% of Segment</w:t>
            </w:r>
          </w:p>
        </w:tc>
        <w:tc>
          <w:tcPr>
            <w:tcW w:w="4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60" w:type="dxa"/>
            <w:vAlign w:val="bottom"/>
          </w:tcPr>
          <w:p>
            <w:pPr>
              <w:jc w:val="center"/>
              <w:spacing w:after="0" w:line="205" w:lineRule="exact"/>
              <w:rPr>
                <w:sz w:val="20"/>
                <w:szCs w:val="20"/>
                <w:color w:val="auto"/>
              </w:rPr>
            </w:pPr>
            <w:r>
              <w:rPr>
                <w:rFonts w:ascii="Arial" w:cs="Arial" w:eastAsia="Arial" w:hAnsi="Arial"/>
                <w:sz w:val="18"/>
                <w:szCs w:val="18"/>
                <w:b w:val="1"/>
                <w:bCs w:val="1"/>
                <w:color w:val="auto"/>
                <w:w w:val="90"/>
              </w:rPr>
              <w:t>% of Segment</w:t>
            </w:r>
          </w:p>
        </w:tc>
        <w:tc>
          <w:tcPr>
            <w:tcW w:w="100" w:type="dxa"/>
            <w:vAlign w:val="bottom"/>
          </w:tcPr>
          <w:p>
            <w:pPr>
              <w:spacing w:after="0"/>
              <w:rPr>
                <w:sz w:val="17"/>
                <w:szCs w:val="17"/>
                <w:color w:val="auto"/>
              </w:rPr>
            </w:pPr>
          </w:p>
        </w:tc>
      </w:tr>
      <w:tr>
        <w:trPr>
          <w:trHeight w:val="234"/>
        </w:trPr>
        <w:tc>
          <w:tcPr>
            <w:tcW w:w="5380" w:type="dxa"/>
            <w:vAlign w:val="bottom"/>
          </w:tcPr>
          <w:p>
            <w:pPr>
              <w:spacing w:after="0"/>
              <w:rPr>
                <w:sz w:val="20"/>
                <w:szCs w:val="20"/>
                <w:color w:val="auto"/>
              </w:rPr>
            </w:pPr>
            <w:r>
              <w:rPr>
                <w:rFonts w:ascii="Arial" w:cs="Arial" w:eastAsia="Arial" w:hAnsi="Arial"/>
                <w:sz w:val="14"/>
                <w:szCs w:val="14"/>
                <w:color w:val="auto"/>
              </w:rPr>
              <w:t>(Thousands)</w:t>
            </w:r>
          </w:p>
        </w:tc>
        <w:tc>
          <w:tcPr>
            <w:tcW w:w="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60" w:type="dxa"/>
            <w:vAlign w:val="bottom"/>
            <w:gridSpan w:val="3"/>
          </w:tcPr>
          <w:p>
            <w:pPr>
              <w:jc w:val="right"/>
              <w:ind w:right="620"/>
              <w:spacing w:after="0"/>
              <w:rPr>
                <w:sz w:val="20"/>
                <w:szCs w:val="20"/>
                <w:color w:val="auto"/>
              </w:rPr>
            </w:pPr>
            <w:r>
              <w:rPr>
                <w:rFonts w:ascii="Arial" w:cs="Arial" w:eastAsia="Arial" w:hAnsi="Arial"/>
                <w:sz w:val="18"/>
                <w:szCs w:val="18"/>
                <w:b w:val="1"/>
                <w:bCs w:val="1"/>
                <w:color w:val="auto"/>
              </w:rPr>
              <w:t>Amount</w:t>
            </w:r>
          </w:p>
        </w:tc>
        <w:tc>
          <w:tcPr>
            <w:tcW w:w="1220" w:type="dxa"/>
            <w:vAlign w:val="bottom"/>
          </w:tcPr>
          <w:p>
            <w:pPr>
              <w:jc w:val="center"/>
              <w:spacing w:after="0"/>
              <w:rPr>
                <w:sz w:val="20"/>
                <w:szCs w:val="20"/>
                <w:color w:val="auto"/>
              </w:rPr>
            </w:pPr>
            <w:r>
              <w:rPr>
                <w:rFonts w:ascii="Arial" w:cs="Arial" w:eastAsia="Arial" w:hAnsi="Arial"/>
                <w:sz w:val="18"/>
                <w:szCs w:val="18"/>
                <w:b w:val="1"/>
                <w:bCs w:val="1"/>
                <w:color w:val="auto"/>
                <w:w w:val="84"/>
              </w:rPr>
              <w:t>Revenues</w:t>
            </w:r>
          </w:p>
        </w:tc>
        <w:tc>
          <w:tcPr>
            <w:tcW w:w="4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20" w:type="dxa"/>
            <w:vAlign w:val="bottom"/>
            <w:gridSpan w:val="3"/>
          </w:tcPr>
          <w:p>
            <w:pPr>
              <w:ind w:left="40"/>
              <w:spacing w:after="0"/>
              <w:rPr>
                <w:sz w:val="20"/>
                <w:szCs w:val="20"/>
                <w:color w:val="auto"/>
              </w:rPr>
            </w:pPr>
            <w:r>
              <w:rPr>
                <w:rFonts w:ascii="Arial" w:cs="Arial" w:eastAsia="Arial" w:hAnsi="Arial"/>
                <w:sz w:val="18"/>
                <w:szCs w:val="18"/>
                <w:b w:val="1"/>
                <w:bCs w:val="1"/>
                <w:color w:val="auto"/>
              </w:rPr>
              <w:t>Amount</w:t>
            </w:r>
          </w:p>
        </w:tc>
        <w:tc>
          <w:tcPr>
            <w:tcW w:w="126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84"/>
              </w:rPr>
              <w:t>Revenues</w:t>
            </w:r>
          </w:p>
        </w:tc>
      </w:tr>
      <w:tr>
        <w:trPr>
          <w:trHeight w:val="223"/>
        </w:trPr>
        <w:tc>
          <w:tcPr>
            <w:tcW w:w="53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Leasing revenues:</w:t>
            </w:r>
          </w:p>
        </w:tc>
        <w:tc>
          <w:tcPr>
            <w:tcW w:w="14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1060" w:type="dxa"/>
            <w:vAlign w:val="bottom"/>
            <w:tcBorders>
              <w:top w:val="single" w:sz="8" w:color="auto"/>
            </w:tcBorders>
            <w:shd w:val="clear" w:color="auto" w:fill="CFF0FC"/>
          </w:tcPr>
          <w:p>
            <w:pPr>
              <w:spacing w:after="0"/>
              <w:rPr>
                <w:sz w:val="19"/>
                <w:szCs w:val="19"/>
                <w:color w:val="auto"/>
              </w:rPr>
            </w:pPr>
          </w:p>
        </w:tc>
        <w:tc>
          <w:tcPr>
            <w:tcW w:w="260" w:type="dxa"/>
            <w:vAlign w:val="bottom"/>
            <w:tcBorders>
              <w:top w:val="single" w:sz="8" w:color="CFF0FC"/>
            </w:tcBorders>
            <w:shd w:val="clear" w:color="auto" w:fill="CFF0FC"/>
          </w:tcPr>
          <w:p>
            <w:pPr>
              <w:spacing w:after="0"/>
              <w:rPr>
                <w:sz w:val="19"/>
                <w:szCs w:val="19"/>
                <w:color w:val="auto"/>
              </w:rPr>
            </w:pPr>
          </w:p>
        </w:tc>
        <w:tc>
          <w:tcPr>
            <w:tcW w:w="40" w:type="dxa"/>
            <w:vAlign w:val="bottom"/>
            <w:tcBorders>
              <w:top w:val="single" w:sz="8" w:color="auto"/>
            </w:tcBorders>
            <w:shd w:val="clear" w:color="auto" w:fill="CFF0FC"/>
          </w:tcPr>
          <w:p>
            <w:pPr>
              <w:spacing w:after="0"/>
              <w:rPr>
                <w:sz w:val="19"/>
                <w:szCs w:val="19"/>
                <w:color w:val="auto"/>
              </w:rPr>
            </w:pPr>
          </w:p>
        </w:tc>
        <w:tc>
          <w:tcPr>
            <w:tcW w:w="1220" w:type="dxa"/>
            <w:vAlign w:val="bottom"/>
            <w:tcBorders>
              <w:top w:val="single" w:sz="8" w:color="auto"/>
            </w:tcBorders>
            <w:shd w:val="clear" w:color="auto" w:fill="CFF0FC"/>
          </w:tcPr>
          <w:p>
            <w:pPr>
              <w:spacing w:after="0"/>
              <w:rPr>
                <w:sz w:val="19"/>
                <w:szCs w:val="19"/>
                <w:color w:val="auto"/>
              </w:rPr>
            </w:pPr>
          </w:p>
        </w:tc>
        <w:tc>
          <w:tcPr>
            <w:tcW w:w="42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86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116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r>
      <w:tr>
        <w:trPr>
          <w:trHeight w:val="230"/>
        </w:trPr>
        <w:tc>
          <w:tcPr>
            <w:tcW w:w="5380" w:type="dxa"/>
            <w:vAlign w:val="bottom"/>
          </w:tcPr>
          <w:p>
            <w:pPr>
              <w:ind w:left="140"/>
              <w:spacing w:after="0"/>
              <w:rPr>
                <w:sz w:val="20"/>
                <w:szCs w:val="20"/>
                <w:color w:val="auto"/>
              </w:rPr>
            </w:pPr>
            <w:r>
              <w:rPr>
                <w:rFonts w:ascii="Arial" w:cs="Arial" w:eastAsia="Arial" w:hAnsi="Arial"/>
                <w:sz w:val="18"/>
                <w:szCs w:val="18"/>
                <w:color w:val="auto"/>
              </w:rPr>
              <w:t>Windstream Leases:</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29"/>
        </w:trPr>
        <w:tc>
          <w:tcPr>
            <w:tcW w:w="53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Cash revenue</w:t>
            </w:r>
          </w:p>
        </w:tc>
        <w:tc>
          <w:tcPr>
            <w:tcW w:w="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29"/>
        </w:trPr>
        <w:tc>
          <w:tcPr>
            <w:tcW w:w="5380" w:type="dxa"/>
            <w:vAlign w:val="bottom"/>
          </w:tcPr>
          <w:p>
            <w:pPr>
              <w:ind w:left="380"/>
              <w:spacing w:after="0"/>
              <w:rPr>
                <w:sz w:val="20"/>
                <w:szCs w:val="20"/>
                <w:color w:val="auto"/>
              </w:rPr>
            </w:pPr>
            <w:r>
              <w:rPr>
                <w:rFonts w:ascii="Arial" w:cs="Arial" w:eastAsia="Arial" w:hAnsi="Arial"/>
                <w:sz w:val="18"/>
                <w:szCs w:val="18"/>
                <w:color w:val="auto"/>
              </w:rPr>
              <w:t>Cash rent</w:t>
            </w:r>
          </w:p>
        </w:tc>
        <w:tc>
          <w:tcPr>
            <w:tcW w:w="34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166.7</w:t>
            </w:r>
          </w:p>
        </w:tc>
        <w:tc>
          <w:tcPr>
            <w:tcW w:w="2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20" w:type="dxa"/>
            <w:vAlign w:val="bottom"/>
          </w:tcPr>
          <w:p>
            <w:pPr>
              <w:jc w:val="center"/>
              <w:spacing w:after="0"/>
              <w:rPr>
                <w:sz w:val="20"/>
                <w:szCs w:val="20"/>
                <w:color w:val="auto"/>
              </w:rPr>
            </w:pPr>
            <w:r>
              <w:rPr>
                <w:rFonts w:ascii="Arial" w:cs="Arial" w:eastAsia="Arial" w:hAnsi="Arial"/>
                <w:sz w:val="18"/>
                <w:szCs w:val="18"/>
                <w:color w:val="auto"/>
                <w:w w:val="90"/>
              </w:rPr>
              <w:t>81.5%</w:t>
            </w: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165.8</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60" w:type="dxa"/>
            <w:vAlign w:val="bottom"/>
          </w:tcPr>
          <w:p>
            <w:pPr>
              <w:jc w:val="center"/>
              <w:spacing w:after="0"/>
              <w:rPr>
                <w:sz w:val="20"/>
                <w:szCs w:val="20"/>
                <w:color w:val="auto"/>
              </w:rPr>
            </w:pPr>
            <w:r>
              <w:rPr>
                <w:rFonts w:ascii="Arial" w:cs="Arial" w:eastAsia="Arial" w:hAnsi="Arial"/>
                <w:sz w:val="18"/>
                <w:szCs w:val="18"/>
                <w:color w:val="auto"/>
                <w:w w:val="90"/>
              </w:rPr>
              <w:t>85.1%</w:t>
            </w:r>
          </w:p>
        </w:tc>
        <w:tc>
          <w:tcPr>
            <w:tcW w:w="100" w:type="dxa"/>
            <w:vAlign w:val="bottom"/>
          </w:tcPr>
          <w:p>
            <w:pPr>
              <w:spacing w:after="0"/>
              <w:rPr>
                <w:sz w:val="19"/>
                <w:szCs w:val="19"/>
                <w:color w:val="auto"/>
              </w:rPr>
            </w:pPr>
          </w:p>
        </w:tc>
      </w:tr>
      <w:tr>
        <w:trPr>
          <w:trHeight w:val="230"/>
        </w:trPr>
        <w:tc>
          <w:tcPr>
            <w:tcW w:w="5380" w:type="dxa"/>
            <w:vAlign w:val="bottom"/>
            <w:shd w:val="clear" w:color="auto" w:fill="CFF0FC"/>
          </w:tcPr>
          <w:p>
            <w:pPr>
              <w:ind w:left="380"/>
              <w:spacing w:after="0"/>
              <w:rPr>
                <w:sz w:val="20"/>
                <w:szCs w:val="20"/>
                <w:color w:val="auto"/>
              </w:rPr>
            </w:pPr>
            <w:r>
              <w:rPr>
                <w:rFonts w:ascii="Arial" w:cs="Arial" w:eastAsia="Arial" w:hAnsi="Arial"/>
                <w:sz w:val="18"/>
                <w:szCs w:val="18"/>
                <w:color w:val="auto"/>
              </w:rPr>
              <w:t>GCI revenue</w:t>
            </w:r>
          </w:p>
        </w:tc>
        <w:tc>
          <w:tcPr>
            <w:tcW w:w="14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w:t>
            </w:r>
          </w:p>
        </w:tc>
        <w:tc>
          <w:tcPr>
            <w:tcW w:w="260" w:type="dxa"/>
            <w:vAlign w:val="bottom"/>
            <w:shd w:val="clear" w:color="auto" w:fill="CFF0FC"/>
          </w:tcPr>
          <w:p>
            <w:pPr>
              <w:spacing w:after="0"/>
              <w:rPr>
                <w:sz w:val="19"/>
                <w:szCs w:val="19"/>
                <w:color w:val="auto"/>
              </w:rPr>
            </w:pPr>
          </w:p>
        </w:tc>
        <w:tc>
          <w:tcPr>
            <w:tcW w:w="40" w:type="dxa"/>
            <w:vAlign w:val="bottom"/>
            <w:tcBorders>
              <w:bottom w:val="single" w:sz="8" w:color="auto"/>
            </w:tcBorders>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2"/>
              </w:rPr>
              <w:t>0.9%</w:t>
            </w:r>
          </w:p>
        </w:tc>
        <w:tc>
          <w:tcPr>
            <w:tcW w:w="42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2"/>
              </w:rPr>
              <w:t>0.0%</w:t>
            </w:r>
          </w:p>
        </w:tc>
        <w:tc>
          <w:tcPr>
            <w:tcW w:w="100" w:type="dxa"/>
            <w:vAlign w:val="bottom"/>
            <w:shd w:val="clear" w:color="auto" w:fill="CFF0FC"/>
          </w:tcPr>
          <w:p>
            <w:pPr>
              <w:spacing w:after="0"/>
              <w:rPr>
                <w:sz w:val="19"/>
                <w:szCs w:val="19"/>
                <w:color w:val="auto"/>
              </w:rPr>
            </w:pPr>
          </w:p>
        </w:tc>
      </w:tr>
      <w:tr>
        <w:trPr>
          <w:trHeight w:val="223"/>
        </w:trPr>
        <w:tc>
          <w:tcPr>
            <w:tcW w:w="5380" w:type="dxa"/>
            <w:vAlign w:val="bottom"/>
          </w:tcPr>
          <w:p>
            <w:pPr>
              <w:ind w:left="260"/>
              <w:spacing w:after="0"/>
              <w:rPr>
                <w:sz w:val="20"/>
                <w:szCs w:val="20"/>
                <w:color w:val="auto"/>
              </w:rPr>
            </w:pPr>
            <w:r>
              <w:rPr>
                <w:rFonts w:ascii="Arial" w:cs="Arial" w:eastAsia="Arial" w:hAnsi="Arial"/>
                <w:sz w:val="18"/>
                <w:szCs w:val="18"/>
                <w:color w:val="auto"/>
              </w:rPr>
              <w:t>Total cash revenue</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168.6</w:t>
            </w:r>
          </w:p>
        </w:tc>
        <w:tc>
          <w:tcPr>
            <w:tcW w:w="2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20" w:type="dxa"/>
            <w:vAlign w:val="bottom"/>
          </w:tcPr>
          <w:p>
            <w:pPr>
              <w:jc w:val="center"/>
              <w:spacing w:after="0"/>
              <w:rPr>
                <w:sz w:val="20"/>
                <w:szCs w:val="20"/>
                <w:color w:val="auto"/>
              </w:rPr>
            </w:pPr>
            <w:r>
              <w:rPr>
                <w:rFonts w:ascii="Arial" w:cs="Arial" w:eastAsia="Arial" w:hAnsi="Arial"/>
                <w:sz w:val="18"/>
                <w:szCs w:val="18"/>
                <w:color w:val="auto"/>
                <w:w w:val="90"/>
              </w:rPr>
              <w:t>82.4%</w:t>
            </w:r>
          </w:p>
        </w:tc>
        <w:tc>
          <w:tcPr>
            <w:tcW w:w="4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165.8</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60" w:type="dxa"/>
            <w:vAlign w:val="bottom"/>
          </w:tcPr>
          <w:p>
            <w:pPr>
              <w:jc w:val="center"/>
              <w:spacing w:after="0"/>
              <w:rPr>
                <w:sz w:val="20"/>
                <w:szCs w:val="20"/>
                <w:color w:val="auto"/>
              </w:rPr>
            </w:pPr>
            <w:r>
              <w:rPr>
                <w:rFonts w:ascii="Arial" w:cs="Arial" w:eastAsia="Arial" w:hAnsi="Arial"/>
                <w:sz w:val="18"/>
                <w:szCs w:val="18"/>
                <w:color w:val="auto"/>
                <w:w w:val="90"/>
              </w:rPr>
              <w:t>85.1%</w:t>
            </w:r>
          </w:p>
        </w:tc>
        <w:tc>
          <w:tcPr>
            <w:tcW w:w="100" w:type="dxa"/>
            <w:vAlign w:val="bottom"/>
          </w:tcPr>
          <w:p>
            <w:pPr>
              <w:spacing w:after="0"/>
              <w:rPr>
                <w:sz w:val="19"/>
                <w:szCs w:val="19"/>
                <w:color w:val="auto"/>
              </w:rPr>
            </w:pPr>
          </w:p>
        </w:tc>
      </w:tr>
      <w:tr>
        <w:trPr>
          <w:trHeight w:val="230"/>
        </w:trPr>
        <w:tc>
          <w:tcPr>
            <w:tcW w:w="53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Non-cash revenue</w:t>
            </w:r>
          </w:p>
        </w:tc>
        <w:tc>
          <w:tcPr>
            <w:tcW w:w="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29"/>
        </w:trPr>
        <w:tc>
          <w:tcPr>
            <w:tcW w:w="5380" w:type="dxa"/>
            <w:vAlign w:val="bottom"/>
          </w:tcPr>
          <w:p>
            <w:pPr>
              <w:ind w:left="500"/>
              <w:spacing w:after="0"/>
              <w:rPr>
                <w:sz w:val="20"/>
                <w:szCs w:val="20"/>
                <w:color w:val="auto"/>
              </w:rPr>
            </w:pPr>
            <w:r>
              <w:rPr>
                <w:rFonts w:ascii="Arial" w:cs="Arial" w:eastAsia="Arial" w:hAnsi="Arial"/>
                <w:sz w:val="18"/>
                <w:szCs w:val="18"/>
                <w:color w:val="auto"/>
              </w:rPr>
              <w:t>TCI revenue</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10.4</w:t>
            </w:r>
          </w:p>
        </w:tc>
        <w:tc>
          <w:tcPr>
            <w:tcW w:w="2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20" w:type="dxa"/>
            <w:vAlign w:val="bottom"/>
          </w:tcPr>
          <w:p>
            <w:pPr>
              <w:jc w:val="center"/>
              <w:spacing w:after="0"/>
              <w:rPr>
                <w:sz w:val="20"/>
                <w:szCs w:val="20"/>
                <w:color w:val="auto"/>
              </w:rPr>
            </w:pPr>
            <w:r>
              <w:rPr>
                <w:rFonts w:ascii="Arial" w:cs="Arial" w:eastAsia="Arial" w:hAnsi="Arial"/>
                <w:sz w:val="18"/>
                <w:szCs w:val="18"/>
                <w:color w:val="auto"/>
                <w:w w:val="92"/>
              </w:rPr>
              <w:t>5.1%</w:t>
            </w:r>
          </w:p>
        </w:tc>
        <w:tc>
          <w:tcPr>
            <w:tcW w:w="4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9.3</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60" w:type="dxa"/>
            <w:vAlign w:val="bottom"/>
          </w:tcPr>
          <w:p>
            <w:pPr>
              <w:jc w:val="center"/>
              <w:spacing w:after="0"/>
              <w:rPr>
                <w:sz w:val="20"/>
                <w:szCs w:val="20"/>
                <w:color w:val="auto"/>
              </w:rPr>
            </w:pPr>
            <w:r>
              <w:rPr>
                <w:rFonts w:ascii="Arial" w:cs="Arial" w:eastAsia="Arial" w:hAnsi="Arial"/>
                <w:sz w:val="18"/>
                <w:szCs w:val="18"/>
                <w:color w:val="auto"/>
                <w:w w:val="92"/>
              </w:rPr>
              <w:t>4.7%</w:t>
            </w:r>
          </w:p>
        </w:tc>
        <w:tc>
          <w:tcPr>
            <w:tcW w:w="100" w:type="dxa"/>
            <w:vAlign w:val="bottom"/>
          </w:tcPr>
          <w:p>
            <w:pPr>
              <w:spacing w:after="0"/>
              <w:rPr>
                <w:sz w:val="19"/>
                <w:szCs w:val="19"/>
                <w:color w:val="auto"/>
              </w:rPr>
            </w:pPr>
          </w:p>
        </w:tc>
      </w:tr>
      <w:tr>
        <w:trPr>
          <w:trHeight w:val="230"/>
        </w:trPr>
        <w:tc>
          <w:tcPr>
            <w:tcW w:w="5380" w:type="dxa"/>
            <w:vAlign w:val="bottom"/>
            <w:shd w:val="clear" w:color="auto" w:fill="CFF0FC"/>
          </w:tcPr>
          <w:p>
            <w:pPr>
              <w:ind w:left="500"/>
              <w:spacing w:after="0"/>
              <w:rPr>
                <w:sz w:val="20"/>
                <w:szCs w:val="20"/>
                <w:color w:val="auto"/>
              </w:rPr>
            </w:pPr>
            <w:r>
              <w:rPr>
                <w:rFonts w:ascii="Arial" w:cs="Arial" w:eastAsia="Arial" w:hAnsi="Arial"/>
                <w:sz w:val="18"/>
                <w:szCs w:val="18"/>
                <w:color w:val="auto"/>
              </w:rPr>
              <w:t>GCI revenue</w:t>
            </w:r>
          </w:p>
        </w:tc>
        <w:tc>
          <w:tcPr>
            <w:tcW w:w="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w:t>
            </w:r>
          </w:p>
        </w:tc>
        <w:tc>
          <w:tcPr>
            <w:tcW w:w="26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22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2"/>
              </w:rPr>
              <w:t>1.9%</w:t>
            </w:r>
          </w:p>
        </w:tc>
        <w:tc>
          <w:tcPr>
            <w:tcW w:w="4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w:t>
            </w:r>
          </w:p>
        </w:tc>
        <w:tc>
          <w:tcPr>
            <w:tcW w:w="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16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2"/>
              </w:rPr>
              <w:t>0.9%</w:t>
            </w:r>
          </w:p>
        </w:tc>
        <w:tc>
          <w:tcPr>
            <w:tcW w:w="100" w:type="dxa"/>
            <w:vAlign w:val="bottom"/>
            <w:shd w:val="clear" w:color="auto" w:fill="CFF0FC"/>
          </w:tcPr>
          <w:p>
            <w:pPr>
              <w:spacing w:after="0"/>
              <w:rPr>
                <w:sz w:val="19"/>
                <w:szCs w:val="19"/>
                <w:color w:val="auto"/>
              </w:rPr>
            </w:pPr>
          </w:p>
        </w:tc>
      </w:tr>
      <w:tr>
        <w:trPr>
          <w:trHeight w:val="229"/>
        </w:trPr>
        <w:tc>
          <w:tcPr>
            <w:tcW w:w="5380" w:type="dxa"/>
            <w:vAlign w:val="bottom"/>
            <w:tcBorders>
              <w:bottom w:val="single" w:sz="8" w:color="CFF0FC"/>
            </w:tcBorders>
          </w:tcPr>
          <w:p>
            <w:pPr>
              <w:ind w:left="500"/>
              <w:spacing w:after="0"/>
              <w:rPr>
                <w:sz w:val="20"/>
                <w:szCs w:val="20"/>
                <w:color w:val="auto"/>
              </w:rPr>
            </w:pPr>
            <w:r>
              <w:rPr>
                <w:rFonts w:ascii="Arial" w:cs="Arial" w:eastAsia="Arial" w:hAnsi="Arial"/>
                <w:sz w:val="18"/>
                <w:szCs w:val="18"/>
                <w:color w:val="auto"/>
              </w:rPr>
              <w:t>Other straight-line revenue</w:t>
            </w:r>
          </w:p>
        </w:tc>
        <w:tc>
          <w:tcPr>
            <w:tcW w:w="14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w:t>
            </w:r>
          </w:p>
        </w:tc>
        <w:tc>
          <w:tcPr>
            <w:tcW w:w="260" w:type="dxa"/>
            <w:vAlign w:val="bottom"/>
            <w:tcBorders>
              <w:bottom w:val="single" w:sz="8" w:color="CFF0FC"/>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1.5%</w:t>
            </w:r>
          </w:p>
        </w:tc>
        <w:tc>
          <w:tcPr>
            <w:tcW w:w="42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w:t>
            </w:r>
          </w:p>
        </w:tc>
        <w:tc>
          <w:tcPr>
            <w:tcW w:w="120" w:type="dxa"/>
            <w:vAlign w:val="bottom"/>
            <w:tcBorders>
              <w:bottom w:val="single" w:sz="8" w:color="CFF0FC"/>
            </w:tcBorders>
          </w:tcPr>
          <w:p>
            <w:pPr>
              <w:spacing w:after="0"/>
              <w:rPr>
                <w:sz w:val="19"/>
                <w:szCs w:val="19"/>
                <w:color w:val="auto"/>
              </w:rPr>
            </w:pPr>
          </w:p>
        </w:tc>
        <w:tc>
          <w:tcPr>
            <w:tcW w:w="140" w:type="dxa"/>
            <w:vAlign w:val="bottom"/>
            <w:tcBorders>
              <w:bottom w:val="single" w:sz="8" w:color="CFF0FC"/>
            </w:tcBorders>
          </w:tcPr>
          <w:p>
            <w:pPr>
              <w:spacing w:after="0"/>
              <w:rPr>
                <w:sz w:val="19"/>
                <w:szCs w:val="19"/>
                <w:color w:val="auto"/>
              </w:rPr>
            </w:pPr>
          </w:p>
        </w:tc>
        <w:tc>
          <w:tcPr>
            <w:tcW w:w="11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2.0%</w:t>
            </w:r>
          </w:p>
        </w:tc>
        <w:tc>
          <w:tcPr>
            <w:tcW w:w="100" w:type="dxa"/>
            <w:vAlign w:val="bottom"/>
            <w:tcBorders>
              <w:bottom w:val="single" w:sz="8" w:color="CFF0FC"/>
            </w:tcBorders>
          </w:tcPr>
          <w:p>
            <w:pPr>
              <w:spacing w:after="0"/>
              <w:rPr>
                <w:sz w:val="19"/>
                <w:szCs w:val="19"/>
                <w:color w:val="auto"/>
              </w:rPr>
            </w:pPr>
          </w:p>
        </w:tc>
      </w:tr>
      <w:tr>
        <w:trPr>
          <w:trHeight w:val="223"/>
        </w:trPr>
        <w:tc>
          <w:tcPr>
            <w:tcW w:w="5380" w:type="dxa"/>
            <w:vAlign w:val="bottom"/>
            <w:shd w:val="clear" w:color="auto" w:fill="CFF0FC"/>
          </w:tcPr>
          <w:p>
            <w:pPr>
              <w:ind w:left="380"/>
              <w:spacing w:after="0"/>
              <w:rPr>
                <w:sz w:val="20"/>
                <w:szCs w:val="20"/>
                <w:color w:val="auto"/>
              </w:rPr>
            </w:pPr>
            <w:r>
              <w:rPr>
                <w:rFonts w:ascii="Arial" w:cs="Arial" w:eastAsia="Arial" w:hAnsi="Arial"/>
                <w:sz w:val="18"/>
                <w:szCs w:val="18"/>
                <w:color w:val="auto"/>
              </w:rPr>
              <w:t>Total non-cash revenue</w:t>
            </w:r>
          </w:p>
        </w:tc>
        <w:tc>
          <w:tcPr>
            <w:tcW w:w="14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17.4</w:t>
            </w:r>
          </w:p>
        </w:tc>
        <w:tc>
          <w:tcPr>
            <w:tcW w:w="260" w:type="dxa"/>
            <w:vAlign w:val="bottom"/>
            <w:shd w:val="clear" w:color="auto" w:fill="CFF0FC"/>
          </w:tcPr>
          <w:p>
            <w:pPr>
              <w:spacing w:after="0"/>
              <w:rPr>
                <w:sz w:val="19"/>
                <w:szCs w:val="19"/>
                <w:color w:val="auto"/>
              </w:rPr>
            </w:pPr>
          </w:p>
        </w:tc>
        <w:tc>
          <w:tcPr>
            <w:tcW w:w="40" w:type="dxa"/>
            <w:vAlign w:val="bottom"/>
            <w:tcBorders>
              <w:bottom w:val="single" w:sz="8" w:color="auto"/>
            </w:tcBorders>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2"/>
              </w:rPr>
              <w:t>8.5%</w:t>
            </w:r>
          </w:p>
        </w:tc>
        <w:tc>
          <w:tcPr>
            <w:tcW w:w="42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14.9</w:t>
            </w:r>
          </w:p>
        </w:tc>
        <w:tc>
          <w:tcPr>
            <w:tcW w:w="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2"/>
              </w:rPr>
              <w:t>7.6%</w:t>
            </w:r>
          </w:p>
        </w:tc>
        <w:tc>
          <w:tcPr>
            <w:tcW w:w="100" w:type="dxa"/>
            <w:vAlign w:val="bottom"/>
            <w:shd w:val="clear" w:color="auto" w:fill="CFF0FC"/>
          </w:tcPr>
          <w:p>
            <w:pPr>
              <w:spacing w:after="0"/>
              <w:rPr>
                <w:sz w:val="19"/>
                <w:szCs w:val="19"/>
                <w:color w:val="auto"/>
              </w:rPr>
            </w:pPr>
          </w:p>
        </w:tc>
      </w:tr>
      <w:tr>
        <w:trPr>
          <w:trHeight w:val="223"/>
        </w:trPr>
        <w:tc>
          <w:tcPr>
            <w:tcW w:w="5380" w:type="dxa"/>
            <w:vAlign w:val="bottom"/>
          </w:tcPr>
          <w:p>
            <w:pPr>
              <w:ind w:left="260"/>
              <w:spacing w:after="0"/>
              <w:rPr>
                <w:sz w:val="20"/>
                <w:szCs w:val="20"/>
                <w:color w:val="auto"/>
              </w:rPr>
            </w:pPr>
            <w:r>
              <w:rPr>
                <w:rFonts w:ascii="Arial" w:cs="Arial" w:eastAsia="Arial" w:hAnsi="Arial"/>
                <w:sz w:val="18"/>
                <w:szCs w:val="18"/>
                <w:color w:val="auto"/>
              </w:rPr>
              <w:t>Total Windstream Leases revenue</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186.0</w:t>
            </w:r>
          </w:p>
        </w:tc>
        <w:tc>
          <w:tcPr>
            <w:tcW w:w="2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20" w:type="dxa"/>
            <w:vAlign w:val="bottom"/>
          </w:tcPr>
          <w:p>
            <w:pPr>
              <w:jc w:val="center"/>
              <w:spacing w:after="0"/>
              <w:rPr>
                <w:sz w:val="20"/>
                <w:szCs w:val="20"/>
                <w:color w:val="auto"/>
              </w:rPr>
            </w:pPr>
            <w:r>
              <w:rPr>
                <w:rFonts w:ascii="Arial" w:cs="Arial" w:eastAsia="Arial" w:hAnsi="Arial"/>
                <w:sz w:val="18"/>
                <w:szCs w:val="18"/>
                <w:color w:val="auto"/>
                <w:w w:val="90"/>
              </w:rPr>
              <w:t>90.9%</w:t>
            </w:r>
          </w:p>
        </w:tc>
        <w:tc>
          <w:tcPr>
            <w:tcW w:w="4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180.7</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60" w:type="dxa"/>
            <w:vAlign w:val="bottom"/>
          </w:tcPr>
          <w:p>
            <w:pPr>
              <w:jc w:val="center"/>
              <w:spacing w:after="0"/>
              <w:rPr>
                <w:sz w:val="20"/>
                <w:szCs w:val="20"/>
                <w:color w:val="auto"/>
              </w:rPr>
            </w:pPr>
            <w:r>
              <w:rPr>
                <w:rFonts w:ascii="Arial" w:cs="Arial" w:eastAsia="Arial" w:hAnsi="Arial"/>
                <w:sz w:val="18"/>
                <w:szCs w:val="18"/>
                <w:color w:val="auto"/>
                <w:w w:val="90"/>
              </w:rPr>
              <w:t>92.7%</w:t>
            </w:r>
          </w:p>
        </w:tc>
        <w:tc>
          <w:tcPr>
            <w:tcW w:w="100" w:type="dxa"/>
            <w:vAlign w:val="bottom"/>
          </w:tcPr>
          <w:p>
            <w:pPr>
              <w:spacing w:after="0"/>
              <w:rPr>
                <w:sz w:val="19"/>
                <w:szCs w:val="19"/>
                <w:color w:val="auto"/>
              </w:rPr>
            </w:pPr>
          </w:p>
        </w:tc>
      </w:tr>
      <w:tr>
        <w:trPr>
          <w:trHeight w:val="230"/>
        </w:trPr>
        <w:tc>
          <w:tcPr>
            <w:tcW w:w="53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 triple-net leasing and dark fiber IRU</w:t>
            </w:r>
          </w:p>
        </w:tc>
        <w:tc>
          <w:tcPr>
            <w:tcW w:w="14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18.6</w:t>
            </w:r>
          </w:p>
        </w:tc>
        <w:tc>
          <w:tcPr>
            <w:tcW w:w="260" w:type="dxa"/>
            <w:vAlign w:val="bottom"/>
            <w:shd w:val="clear" w:color="auto" w:fill="CFF0FC"/>
          </w:tcPr>
          <w:p>
            <w:pPr>
              <w:spacing w:after="0"/>
              <w:rPr>
                <w:sz w:val="19"/>
                <w:szCs w:val="19"/>
                <w:color w:val="auto"/>
              </w:rPr>
            </w:pPr>
          </w:p>
        </w:tc>
        <w:tc>
          <w:tcPr>
            <w:tcW w:w="40" w:type="dxa"/>
            <w:vAlign w:val="bottom"/>
            <w:tcBorders>
              <w:bottom w:val="single" w:sz="8" w:color="auto"/>
            </w:tcBorders>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2"/>
              </w:rPr>
              <w:t>9.1%</w:t>
            </w:r>
          </w:p>
        </w:tc>
        <w:tc>
          <w:tcPr>
            <w:tcW w:w="42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14.2</w:t>
            </w:r>
          </w:p>
        </w:tc>
        <w:tc>
          <w:tcPr>
            <w:tcW w:w="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2"/>
              </w:rPr>
              <w:t>7.3%</w:t>
            </w:r>
          </w:p>
        </w:tc>
        <w:tc>
          <w:tcPr>
            <w:tcW w:w="100" w:type="dxa"/>
            <w:vAlign w:val="bottom"/>
            <w:shd w:val="clear" w:color="auto" w:fill="CFF0FC"/>
          </w:tcPr>
          <w:p>
            <w:pPr>
              <w:spacing w:after="0"/>
              <w:rPr>
                <w:sz w:val="19"/>
                <w:szCs w:val="19"/>
                <w:color w:val="auto"/>
              </w:rPr>
            </w:pPr>
          </w:p>
        </w:tc>
      </w:tr>
      <w:tr>
        <w:trPr>
          <w:trHeight w:val="223"/>
        </w:trPr>
        <w:tc>
          <w:tcPr>
            <w:tcW w:w="5380" w:type="dxa"/>
            <w:vAlign w:val="bottom"/>
          </w:tcPr>
          <w:p>
            <w:pPr>
              <w:ind w:left="380"/>
              <w:spacing w:after="0"/>
              <w:rPr>
                <w:sz w:val="20"/>
                <w:szCs w:val="20"/>
                <w:color w:val="auto"/>
              </w:rPr>
            </w:pPr>
            <w:r>
              <w:rPr>
                <w:rFonts w:ascii="Arial" w:cs="Arial" w:eastAsia="Arial" w:hAnsi="Arial"/>
                <w:sz w:val="18"/>
                <w:szCs w:val="18"/>
                <w:color w:val="auto"/>
              </w:rPr>
              <w:t>Total Leasing revenues</w:t>
            </w:r>
          </w:p>
        </w:tc>
        <w:tc>
          <w:tcPr>
            <w:tcW w:w="140" w:type="dxa"/>
            <w:vAlign w:val="bottom"/>
          </w:tcPr>
          <w:p>
            <w:pPr>
              <w:spacing w:after="0"/>
              <w:rPr>
                <w:sz w:val="19"/>
                <w:szCs w:val="19"/>
                <w:color w:val="auto"/>
              </w:rPr>
            </w:pP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204.6</w:t>
            </w:r>
          </w:p>
        </w:tc>
        <w:tc>
          <w:tcPr>
            <w:tcW w:w="26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1"/>
              </w:rPr>
              <w:t>100.0%</w:t>
            </w:r>
          </w:p>
        </w:tc>
        <w:tc>
          <w:tcPr>
            <w:tcW w:w="420" w:type="dxa"/>
            <w:vAlign w:val="bottom"/>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194.9</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1"/>
              </w:rPr>
              <w:t>100.0%</w:t>
            </w:r>
          </w:p>
        </w:tc>
        <w:tc>
          <w:tcPr>
            <w:tcW w:w="100" w:type="dxa"/>
            <w:vAlign w:val="bottom"/>
          </w:tcPr>
          <w:p>
            <w:pPr>
              <w:spacing w:after="0"/>
              <w:rPr>
                <w:sz w:val="19"/>
                <w:szCs w:val="19"/>
                <w:color w:val="auto"/>
              </w:rPr>
            </w:pPr>
          </w:p>
        </w:tc>
      </w:tr>
      <w:tr>
        <w:trPr>
          <w:trHeight w:val="20"/>
        </w:trPr>
        <w:tc>
          <w:tcPr>
            <w:tcW w:w="53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right="180"/>
        <w:spacing w:after="0" w:line="259" w:lineRule="auto"/>
        <w:rPr>
          <w:sz w:val="20"/>
          <w:szCs w:val="20"/>
          <w:color w:val="auto"/>
        </w:rPr>
      </w:pPr>
      <w:r>
        <w:rPr>
          <w:rFonts w:ascii="Arial" w:cs="Arial" w:eastAsia="Arial" w:hAnsi="Arial"/>
          <w:sz w:val="18"/>
          <w:szCs w:val="18"/>
          <w:color w:val="auto"/>
        </w:rPr>
        <w:t>The increase in TCI revenue is attributable to continued investment by Windstream, which invested $38.7 million in TCIs during the three months ended March 31, 2022, offset by the Growth Capital Improvement reimbursement of capital improvements completed in 2021, as allowed under the Settlement, that were previously classified as TCIs of $29.0 million. The total amount invested in TCIs by Windstream since the inception of the Windstream Leases and Master Lease was $994.4 million as of March 31, 2022.</w:t>
      </w:r>
    </w:p>
    <w:p>
      <w:pPr>
        <w:spacing w:after="0" w:line="187" w:lineRule="exact"/>
        <w:rPr>
          <w:sz w:val="20"/>
          <w:szCs w:val="20"/>
          <w:color w:val="auto"/>
        </w:rPr>
      </w:pPr>
    </w:p>
    <w:p>
      <w:pPr>
        <w:ind w:right="260"/>
        <w:spacing w:after="0" w:line="259" w:lineRule="auto"/>
        <w:rPr>
          <w:sz w:val="20"/>
          <w:szCs w:val="20"/>
          <w:color w:val="auto"/>
        </w:rPr>
      </w:pPr>
      <w:r>
        <w:rPr>
          <w:rFonts w:ascii="Arial" w:cs="Arial" w:eastAsia="Arial" w:hAnsi="Arial"/>
          <w:sz w:val="18"/>
          <w:szCs w:val="18"/>
          <w:color w:val="auto"/>
        </w:rPr>
        <w:t>The increase in GCI revenue is attributable to Uniti’s continued reimbursement of Growth Capital Improvements. During the three months ended March 31, 2022, Uniti reimbursed $48.2 million of Growth Capital Improvements. Subsequent to March 31, 2022, Windstream requested, and we reimbursed $10.4 million of qualifying Growth Capital Improvements. As of the date of this Quarterly Report on Form 10-Q, we have reimbursed a total of $364.8 million of Growth Capital Improvements.</w:t>
      </w:r>
    </w:p>
    <w:p>
      <w:pPr>
        <w:spacing w:after="0" w:line="187" w:lineRule="exact"/>
        <w:rPr>
          <w:sz w:val="20"/>
          <w:szCs w:val="20"/>
          <w:color w:val="auto"/>
        </w:rPr>
      </w:pPr>
    </w:p>
    <w:p>
      <w:pPr>
        <w:ind w:right="40"/>
        <w:spacing w:after="0" w:line="263" w:lineRule="auto"/>
        <w:rPr>
          <w:sz w:val="20"/>
          <w:szCs w:val="20"/>
          <w:color w:val="auto"/>
        </w:rPr>
      </w:pPr>
      <w:r>
        <w:rPr>
          <w:rFonts w:ascii="Arial" w:cs="Arial" w:eastAsia="Arial" w:hAnsi="Arial"/>
          <w:sz w:val="18"/>
          <w:szCs w:val="18"/>
          <w:color w:val="auto"/>
        </w:rPr>
        <w:t>For the three months ended March 31, 2022, we recognized $18.6 million of leasing revenues from non-Windstream triple-net leasing and dark fiber indefeasible rights of use (“IRU”) arrangements. For the three months ended March 31, 2021, we recognized $14.2 million from non-Windstream triple-net leasing and dark fiber IRU arrangements.</w:t>
      </w:r>
    </w:p>
    <w:p>
      <w:pPr>
        <w:spacing w:after="0" w:line="184" w:lineRule="exact"/>
        <w:rPr>
          <w:sz w:val="20"/>
          <w:szCs w:val="20"/>
          <w:color w:val="auto"/>
        </w:rPr>
      </w:pPr>
    </w:p>
    <w:p>
      <w:pPr>
        <w:ind w:right="260"/>
        <w:spacing w:after="0" w:line="286" w:lineRule="auto"/>
        <w:rPr>
          <w:sz w:val="20"/>
          <w:szCs w:val="20"/>
          <w:color w:val="auto"/>
        </w:rPr>
      </w:pPr>
      <w:r>
        <w:rPr>
          <w:rFonts w:ascii="Arial" w:cs="Arial" w:eastAsia="Arial" w:hAnsi="Arial"/>
          <w:sz w:val="17"/>
          <w:szCs w:val="17"/>
          <w:color w:val="auto"/>
        </w:rPr>
        <w:t>Because a substantial portion of our revenue and cash flows are derived from lease payments by Windstream pursuant to the Windstream Leases, there could be a material adverse impact on our consolidated results of operations, liquidity, financial condition and/or ability to maintain our status as a REIT and service debt if Windstream were to become unable to generate sufficient cash to make payments to us.</w:t>
      </w:r>
    </w:p>
    <w:p>
      <w:pPr>
        <w:spacing w:after="0" w:line="165"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Prior to its emergence from bankruptcy on September 21, 2020, Windstream was a publicly traded company and was subject to the periodic filing requirements of the Securities Exchange Act of 1934, as amended (the “Exchange Act”). Windstream’s historic filings through their quarter ended June 30, 2020 can be found at www.sec.gov. Additionally, the Windstream audited financial statements as of December 31, 2021, and for the year ended December 31, 2021, as of December 31, 2020 and for the period from September 22, 2020 to December 31, 2020 and for the period from January 1, 2020 to September 21, 2020 and for the year ended December 31, 2019 are included as an exhibit to our Annual Report. On September 22, 2020, Windstream filed a Form 15 to terminate all filing</w:t>
      </w:r>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32" w:name="page33"/>
    <w:bookmarkEnd w:id="3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obligations under Section 12(g) and 15(d) under the Exchange Act. Windstream filings are not incorporated by reference in this Quarterly Report on Form 10-Q.</w:t>
      </w:r>
    </w:p>
    <w:p>
      <w:pPr>
        <w:spacing w:after="0" w:line="170"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We monitor the credit quality of Windstream through numerous methods, including by (i) reviewing credit ratings of Windstream by nationally recognized credit agencies, (ii) reviewing the financial statements of Windstream that are required to be delivered to us pursuant to the Windstream Leases, (iii) monitoring news reports regarding Windstream and its business, (iv) conducting research to ascertain industry trends potentially affecting Windstream, (v) monitoring Windstream’s compliance with the terms of the Windstream Leases and (vi) monitoring the timeliness of its payments under the Windstream Leases.</w:t>
      </w:r>
    </w:p>
    <w:p>
      <w:pPr>
        <w:spacing w:after="0" w:line="188"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As of the date of this Quarterly Report on Form 10-Q, Windstream is current on all lease payments. We note that in August 2020, Moody’s Investor Service assigned a B3 corporate family rating with a stable outlook to Windstream in connection with its post-emergence exit financing. At the same time, S&amp;P Global Ratings assigned Windstream a B- issuer rating with a stable outlook. Both ratings remain current as of the date of this filing. In order to assist us in our continuing assessment of Windstream’s creditworthiness, we periodically receive certain confidential financial information and metrics from Windstream.</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Fiber Infrastructure</w:t>
      </w:r>
      <w:r>
        <w:rPr>
          <w:rFonts w:ascii="Arial" w:cs="Arial" w:eastAsia="Arial" w:hAnsi="Arial"/>
          <w:sz w:val="18"/>
          <w:szCs w:val="18"/>
          <w:i w:val="1"/>
          <w:iCs w:val="1"/>
          <w:color w:val="auto"/>
        </w:rPr>
        <w:t xml:space="preserve"> </w:t>
      </w:r>
      <w:r>
        <w:rPr>
          <w:rFonts w:ascii="Arial" w:cs="Arial" w:eastAsia="Arial" w:hAnsi="Arial"/>
          <w:sz w:val="18"/>
          <w:szCs w:val="18"/>
          <w:color w:val="auto"/>
        </w:rPr>
        <w:t>– Fiber Infrastructure revenues for the three months ended March 31, 2022 and 2021 consisted of the following:</w:t>
      </w: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2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2740" w:type="dxa"/>
            <w:vAlign w:val="bottom"/>
            <w:tcBorders>
              <w:bottom w:val="single" w:sz="8" w:color="auto"/>
            </w:tcBorders>
            <w:gridSpan w:val="5"/>
          </w:tcPr>
          <w:p>
            <w:pPr>
              <w:ind w:left="240"/>
              <w:spacing w:after="0"/>
              <w:rPr>
                <w:sz w:val="20"/>
                <w:szCs w:val="20"/>
                <w:color w:val="auto"/>
              </w:rPr>
            </w:pPr>
            <w:r>
              <w:rPr>
                <w:rFonts w:ascii="Arial" w:cs="Arial" w:eastAsia="Arial" w:hAnsi="Arial"/>
                <w:sz w:val="18"/>
                <w:szCs w:val="18"/>
                <w:b w:val="1"/>
                <w:bCs w:val="1"/>
                <w:color w:val="auto"/>
                <w:w w:val="93"/>
              </w:rPr>
              <w:t>Three Months Ended March 31,</w:t>
            </w:r>
          </w:p>
        </w:tc>
        <w:tc>
          <w:tcPr>
            <w:tcW w:w="24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5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gridSpan w:val="2"/>
          </w:tcPr>
          <w:p>
            <w:pPr>
              <w:jc w:val="right"/>
              <w:ind w:right="1070"/>
              <w:spacing w:after="0"/>
              <w:rPr>
                <w:sz w:val="20"/>
                <w:szCs w:val="20"/>
                <w:color w:val="auto"/>
              </w:rPr>
            </w:pPr>
            <w:r>
              <w:rPr>
                <w:rFonts w:ascii="Arial" w:cs="Arial" w:eastAsia="Arial" w:hAnsi="Arial"/>
                <w:sz w:val="18"/>
                <w:szCs w:val="18"/>
                <w:b w:val="1"/>
                <w:bCs w:val="1"/>
                <w:color w:val="auto"/>
              </w:rPr>
              <w:t>2022</w:t>
            </w:r>
          </w:p>
        </w:tc>
        <w:tc>
          <w:tcPr>
            <w:tcW w:w="28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gridSpan w:val="2"/>
          </w:tcPr>
          <w:p>
            <w:pPr>
              <w:jc w:val="right"/>
              <w:ind w:right="1110"/>
              <w:spacing w:after="0"/>
              <w:rPr>
                <w:sz w:val="20"/>
                <w:szCs w:val="20"/>
                <w:color w:val="auto"/>
              </w:rPr>
            </w:pPr>
            <w:r>
              <w:rPr>
                <w:rFonts w:ascii="Arial" w:cs="Arial" w:eastAsia="Arial" w:hAnsi="Arial"/>
                <w:sz w:val="18"/>
                <w:szCs w:val="18"/>
                <w:b w:val="1"/>
                <w:bCs w:val="1"/>
                <w:color w:val="auto"/>
                <w:w w:val="94"/>
              </w:rPr>
              <w:t>2021</w:t>
            </w:r>
          </w:p>
        </w:tc>
        <w:tc>
          <w:tcPr>
            <w:tcW w:w="100" w:type="dxa"/>
            <w:vAlign w:val="bottom"/>
          </w:tcPr>
          <w:p>
            <w:pPr>
              <w:spacing w:after="0"/>
              <w:rPr>
                <w:sz w:val="19"/>
                <w:szCs w:val="19"/>
                <w:color w:val="auto"/>
              </w:rPr>
            </w:pPr>
          </w:p>
        </w:tc>
      </w:tr>
      <w:tr>
        <w:trPr>
          <w:trHeight w:val="205"/>
        </w:trPr>
        <w:tc>
          <w:tcPr>
            <w:tcW w:w="52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320" w:type="dxa"/>
            <w:vAlign w:val="bottom"/>
          </w:tcPr>
          <w:p>
            <w:pPr>
              <w:jc w:val="center"/>
              <w:spacing w:after="0" w:line="205" w:lineRule="exact"/>
              <w:rPr>
                <w:sz w:val="20"/>
                <w:szCs w:val="20"/>
                <w:color w:val="auto"/>
              </w:rPr>
            </w:pPr>
            <w:r>
              <w:rPr>
                <w:rFonts w:ascii="Arial" w:cs="Arial" w:eastAsia="Arial" w:hAnsi="Arial"/>
                <w:sz w:val="18"/>
                <w:szCs w:val="18"/>
                <w:b w:val="1"/>
                <w:bCs w:val="1"/>
                <w:color w:val="auto"/>
                <w:w w:val="90"/>
              </w:rPr>
              <w:t>% of Segment</w:t>
            </w:r>
          </w:p>
        </w:tc>
        <w:tc>
          <w:tcPr>
            <w:tcW w:w="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60" w:type="dxa"/>
            <w:vAlign w:val="bottom"/>
          </w:tcPr>
          <w:p>
            <w:pPr>
              <w:jc w:val="center"/>
              <w:spacing w:after="0" w:line="205" w:lineRule="exact"/>
              <w:rPr>
                <w:sz w:val="20"/>
                <w:szCs w:val="20"/>
                <w:color w:val="auto"/>
              </w:rPr>
            </w:pPr>
            <w:r>
              <w:rPr>
                <w:rFonts w:ascii="Arial" w:cs="Arial" w:eastAsia="Arial" w:hAnsi="Arial"/>
                <w:sz w:val="18"/>
                <w:szCs w:val="18"/>
                <w:b w:val="1"/>
                <w:bCs w:val="1"/>
                <w:color w:val="auto"/>
                <w:w w:val="89"/>
              </w:rPr>
              <w:t>% of Segment</w:t>
            </w:r>
          </w:p>
        </w:tc>
        <w:tc>
          <w:tcPr>
            <w:tcW w:w="100" w:type="dxa"/>
            <w:vAlign w:val="bottom"/>
          </w:tcPr>
          <w:p>
            <w:pPr>
              <w:spacing w:after="0"/>
              <w:rPr>
                <w:sz w:val="17"/>
                <w:szCs w:val="17"/>
                <w:color w:val="auto"/>
              </w:rPr>
            </w:pPr>
          </w:p>
        </w:tc>
      </w:tr>
      <w:tr>
        <w:trPr>
          <w:trHeight w:val="234"/>
        </w:trPr>
        <w:tc>
          <w:tcPr>
            <w:tcW w:w="5440" w:type="dxa"/>
            <w:vAlign w:val="bottom"/>
            <w:gridSpan w:val="2"/>
          </w:tcPr>
          <w:p>
            <w:pPr>
              <w:spacing w:after="0"/>
              <w:rPr>
                <w:sz w:val="20"/>
                <w:szCs w:val="20"/>
                <w:color w:val="auto"/>
              </w:rPr>
            </w:pPr>
            <w:r>
              <w:rPr>
                <w:rFonts w:ascii="Arial" w:cs="Arial" w:eastAsia="Arial" w:hAnsi="Arial"/>
                <w:sz w:val="18"/>
                <w:szCs w:val="18"/>
                <w:color w:val="auto"/>
              </w:rPr>
              <w:t>(Thousands)</w:t>
            </w:r>
          </w:p>
        </w:tc>
        <w:tc>
          <w:tcPr>
            <w:tcW w:w="140" w:type="dxa"/>
            <w:vAlign w:val="bottom"/>
          </w:tcPr>
          <w:p>
            <w:pPr>
              <w:spacing w:after="0"/>
              <w:rPr>
                <w:sz w:val="20"/>
                <w:szCs w:val="20"/>
                <w:color w:val="auto"/>
              </w:rPr>
            </w:pPr>
          </w:p>
        </w:tc>
        <w:tc>
          <w:tcPr>
            <w:tcW w:w="940" w:type="dxa"/>
            <w:vAlign w:val="bottom"/>
          </w:tcPr>
          <w:p>
            <w:pPr>
              <w:jc w:val="right"/>
              <w:ind w:right="150"/>
              <w:spacing w:after="0"/>
              <w:rPr>
                <w:sz w:val="20"/>
                <w:szCs w:val="20"/>
                <w:color w:val="auto"/>
              </w:rPr>
            </w:pPr>
            <w:r>
              <w:rPr>
                <w:rFonts w:ascii="Arial" w:cs="Arial" w:eastAsia="Arial" w:hAnsi="Arial"/>
                <w:sz w:val="18"/>
                <w:szCs w:val="18"/>
                <w:b w:val="1"/>
                <w:bCs w:val="1"/>
                <w:color w:val="auto"/>
                <w:w w:val="99"/>
              </w:rPr>
              <w:t>Amount</w:t>
            </w:r>
          </w:p>
        </w:tc>
        <w:tc>
          <w:tcPr>
            <w:tcW w:w="280" w:type="dxa"/>
            <w:vAlign w:val="bottom"/>
          </w:tcPr>
          <w:p>
            <w:pPr>
              <w:spacing w:after="0"/>
              <w:rPr>
                <w:sz w:val="20"/>
                <w:szCs w:val="20"/>
                <w:color w:val="auto"/>
              </w:rPr>
            </w:pPr>
          </w:p>
        </w:tc>
        <w:tc>
          <w:tcPr>
            <w:tcW w:w="16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6"/>
              </w:rPr>
              <w:t>Revenues</w:t>
            </w:r>
          </w:p>
        </w:tc>
        <w:tc>
          <w:tcPr>
            <w:tcW w:w="160" w:type="dxa"/>
            <w:vAlign w:val="bottom"/>
          </w:tcPr>
          <w:p>
            <w:pPr>
              <w:spacing w:after="0"/>
              <w:rPr>
                <w:sz w:val="20"/>
                <w:szCs w:val="20"/>
                <w:color w:val="auto"/>
              </w:rPr>
            </w:pPr>
          </w:p>
        </w:tc>
        <w:tc>
          <w:tcPr>
            <w:tcW w:w="980" w:type="dxa"/>
            <w:vAlign w:val="bottom"/>
            <w:gridSpan w:val="2"/>
          </w:tcPr>
          <w:p>
            <w:pPr>
              <w:ind w:left="80"/>
              <w:spacing w:after="0"/>
              <w:rPr>
                <w:sz w:val="20"/>
                <w:szCs w:val="20"/>
                <w:color w:val="auto"/>
              </w:rPr>
            </w:pPr>
            <w:r>
              <w:rPr>
                <w:rFonts w:ascii="Arial" w:cs="Arial" w:eastAsia="Arial" w:hAnsi="Arial"/>
                <w:sz w:val="18"/>
                <w:szCs w:val="18"/>
                <w:b w:val="1"/>
                <w:bCs w:val="1"/>
                <w:color w:val="auto"/>
              </w:rPr>
              <w:t>Amount</w:t>
            </w:r>
          </w:p>
        </w:tc>
        <w:tc>
          <w:tcPr>
            <w:tcW w:w="240" w:type="dxa"/>
            <w:vAlign w:val="bottom"/>
          </w:tcPr>
          <w:p>
            <w:pPr>
              <w:spacing w:after="0"/>
              <w:rPr>
                <w:sz w:val="20"/>
                <w:szCs w:val="20"/>
                <w:color w:val="auto"/>
              </w:rPr>
            </w:pPr>
          </w:p>
        </w:tc>
        <w:tc>
          <w:tcPr>
            <w:tcW w:w="14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6"/>
              </w:rPr>
              <w:t>Revenues</w:t>
            </w:r>
          </w:p>
        </w:tc>
      </w:tr>
      <w:tr>
        <w:trPr>
          <w:trHeight w:val="223"/>
        </w:trPr>
        <w:tc>
          <w:tcPr>
            <w:tcW w:w="526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Fiber Infrastructure revenues:</w:t>
            </w:r>
          </w:p>
        </w:tc>
        <w:tc>
          <w:tcPr>
            <w:tcW w:w="18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spacing w:after="0"/>
              <w:rPr>
                <w:sz w:val="19"/>
                <w:szCs w:val="19"/>
                <w:color w:val="auto"/>
              </w:rPr>
            </w:pPr>
          </w:p>
        </w:tc>
        <w:tc>
          <w:tcPr>
            <w:tcW w:w="280" w:type="dxa"/>
            <w:vAlign w:val="bottom"/>
            <w:tcBorders>
              <w:top w:val="single" w:sz="8" w:color="CFF0FC"/>
            </w:tcBorders>
            <w:shd w:val="clear" w:color="auto" w:fill="CFF0FC"/>
          </w:tcPr>
          <w:p>
            <w:pPr>
              <w:spacing w:after="0"/>
              <w:rPr>
                <w:sz w:val="19"/>
                <w:szCs w:val="19"/>
                <w:color w:val="auto"/>
              </w:rPr>
            </w:pPr>
          </w:p>
        </w:tc>
        <w:tc>
          <w:tcPr>
            <w:tcW w:w="1320" w:type="dxa"/>
            <w:vAlign w:val="bottom"/>
            <w:tcBorders>
              <w:top w:val="single" w:sz="8" w:color="auto"/>
            </w:tcBorders>
            <w:shd w:val="clear" w:color="auto" w:fill="CFF0FC"/>
          </w:tcPr>
          <w:p>
            <w:pPr>
              <w:spacing w:after="0"/>
              <w:rPr>
                <w:sz w:val="19"/>
                <w:szCs w:val="19"/>
                <w:color w:val="auto"/>
              </w:rPr>
            </w:pPr>
          </w:p>
        </w:tc>
        <w:tc>
          <w:tcPr>
            <w:tcW w:w="28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spacing w:after="0"/>
              <w:rPr>
                <w:sz w:val="19"/>
                <w:szCs w:val="19"/>
                <w:color w:val="auto"/>
              </w:rPr>
            </w:pPr>
          </w:p>
        </w:tc>
        <w:tc>
          <w:tcPr>
            <w:tcW w:w="4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36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r>
      <w:tr>
        <w:trPr>
          <w:trHeight w:val="230"/>
        </w:trPr>
        <w:tc>
          <w:tcPr>
            <w:tcW w:w="5440" w:type="dxa"/>
            <w:vAlign w:val="bottom"/>
            <w:gridSpan w:val="2"/>
          </w:tcPr>
          <w:p>
            <w:pPr>
              <w:ind w:left="260"/>
              <w:spacing w:after="0"/>
              <w:rPr>
                <w:sz w:val="20"/>
                <w:szCs w:val="20"/>
                <w:color w:val="auto"/>
              </w:rPr>
            </w:pPr>
            <w:r>
              <w:rPr>
                <w:rFonts w:ascii="Arial" w:cs="Arial" w:eastAsia="Arial" w:hAnsi="Arial"/>
                <w:sz w:val="18"/>
                <w:szCs w:val="18"/>
                <w:color w:val="auto"/>
              </w:rPr>
              <w:t>Lit backhaul services</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19,438</w:t>
            </w:r>
          </w:p>
        </w:tc>
        <w:tc>
          <w:tcPr>
            <w:tcW w:w="1600" w:type="dxa"/>
            <w:vAlign w:val="bottom"/>
            <w:gridSpan w:val="2"/>
          </w:tcPr>
          <w:p>
            <w:pPr>
              <w:jc w:val="center"/>
              <w:ind w:left="170"/>
              <w:spacing w:after="0"/>
              <w:rPr>
                <w:sz w:val="20"/>
                <w:szCs w:val="20"/>
                <w:color w:val="auto"/>
              </w:rPr>
            </w:pPr>
            <w:r>
              <w:rPr>
                <w:rFonts w:ascii="Arial" w:cs="Arial" w:eastAsia="Arial" w:hAnsi="Arial"/>
                <w:sz w:val="18"/>
                <w:szCs w:val="18"/>
                <w:color w:val="auto"/>
                <w:w w:val="90"/>
              </w:rPr>
              <w:t>26.5%</w:t>
            </w:r>
          </w:p>
        </w:tc>
        <w:tc>
          <w:tcPr>
            <w:tcW w:w="28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25,044</w:t>
            </w:r>
          </w:p>
        </w:tc>
        <w:tc>
          <w:tcPr>
            <w:tcW w:w="40" w:type="dxa"/>
            <w:vAlign w:val="bottom"/>
          </w:tcPr>
          <w:p>
            <w:pPr>
              <w:spacing w:after="0"/>
              <w:rPr>
                <w:sz w:val="19"/>
                <w:szCs w:val="19"/>
                <w:color w:val="auto"/>
              </w:rPr>
            </w:pPr>
          </w:p>
        </w:tc>
        <w:tc>
          <w:tcPr>
            <w:tcW w:w="1600" w:type="dxa"/>
            <w:vAlign w:val="bottom"/>
            <w:gridSpan w:val="2"/>
          </w:tcPr>
          <w:p>
            <w:pPr>
              <w:jc w:val="center"/>
              <w:ind w:left="130"/>
              <w:spacing w:after="0"/>
              <w:rPr>
                <w:sz w:val="20"/>
                <w:szCs w:val="20"/>
                <w:color w:val="auto"/>
              </w:rPr>
            </w:pPr>
            <w:r>
              <w:rPr>
                <w:rFonts w:ascii="Arial" w:cs="Arial" w:eastAsia="Arial" w:hAnsi="Arial"/>
                <w:sz w:val="18"/>
                <w:szCs w:val="18"/>
                <w:color w:val="auto"/>
                <w:w w:val="90"/>
              </w:rPr>
              <w:t>32.3%</w:t>
            </w:r>
          </w:p>
        </w:tc>
        <w:tc>
          <w:tcPr>
            <w:tcW w:w="100" w:type="dxa"/>
            <w:vAlign w:val="bottom"/>
          </w:tcPr>
          <w:p>
            <w:pPr>
              <w:spacing w:after="0"/>
              <w:rPr>
                <w:sz w:val="19"/>
                <w:szCs w:val="19"/>
                <w:color w:val="auto"/>
              </w:rPr>
            </w:pPr>
          </w:p>
        </w:tc>
      </w:tr>
      <w:tr>
        <w:trPr>
          <w:trHeight w:val="229"/>
        </w:trPr>
        <w:tc>
          <w:tcPr>
            <w:tcW w:w="54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Enterprise and wholesale</w:t>
            </w:r>
          </w:p>
        </w:tc>
        <w:tc>
          <w:tcPr>
            <w:tcW w:w="14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20,935</w:t>
            </w:r>
          </w:p>
        </w:tc>
        <w:tc>
          <w:tcPr>
            <w:tcW w:w="1600" w:type="dxa"/>
            <w:vAlign w:val="bottom"/>
            <w:gridSpan w:val="2"/>
            <w:shd w:val="clear" w:color="auto" w:fill="CFF0FC"/>
          </w:tcPr>
          <w:p>
            <w:pPr>
              <w:jc w:val="center"/>
              <w:ind w:left="170"/>
              <w:spacing w:after="0"/>
              <w:rPr>
                <w:sz w:val="20"/>
                <w:szCs w:val="20"/>
                <w:color w:val="auto"/>
              </w:rPr>
            </w:pPr>
            <w:r>
              <w:rPr>
                <w:rFonts w:ascii="Arial" w:cs="Arial" w:eastAsia="Arial" w:hAnsi="Arial"/>
                <w:sz w:val="18"/>
                <w:szCs w:val="18"/>
                <w:color w:val="auto"/>
                <w:w w:val="90"/>
              </w:rPr>
              <w:t>28.5%</w:t>
            </w:r>
          </w:p>
        </w:tc>
        <w:tc>
          <w:tcPr>
            <w:tcW w:w="2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21,000</w:t>
            </w:r>
          </w:p>
        </w:tc>
        <w:tc>
          <w:tcPr>
            <w:tcW w:w="40" w:type="dxa"/>
            <w:vAlign w:val="bottom"/>
            <w:shd w:val="clear" w:color="auto" w:fill="CFF0FC"/>
          </w:tcPr>
          <w:p>
            <w:pPr>
              <w:spacing w:after="0"/>
              <w:rPr>
                <w:sz w:val="19"/>
                <w:szCs w:val="19"/>
                <w:color w:val="auto"/>
              </w:rPr>
            </w:pPr>
          </w:p>
        </w:tc>
        <w:tc>
          <w:tcPr>
            <w:tcW w:w="1600" w:type="dxa"/>
            <w:vAlign w:val="bottom"/>
            <w:gridSpan w:val="2"/>
            <w:shd w:val="clear" w:color="auto" w:fill="CFF0FC"/>
          </w:tcPr>
          <w:p>
            <w:pPr>
              <w:jc w:val="center"/>
              <w:ind w:left="130"/>
              <w:spacing w:after="0"/>
              <w:rPr>
                <w:sz w:val="20"/>
                <w:szCs w:val="20"/>
                <w:color w:val="auto"/>
              </w:rPr>
            </w:pPr>
            <w:r>
              <w:rPr>
                <w:rFonts w:ascii="Arial" w:cs="Arial" w:eastAsia="Arial" w:hAnsi="Arial"/>
                <w:sz w:val="18"/>
                <w:szCs w:val="18"/>
                <w:color w:val="auto"/>
                <w:w w:val="90"/>
              </w:rPr>
              <w:t>27.0%</w:t>
            </w:r>
          </w:p>
        </w:tc>
        <w:tc>
          <w:tcPr>
            <w:tcW w:w="100" w:type="dxa"/>
            <w:vAlign w:val="bottom"/>
            <w:shd w:val="clear" w:color="auto" w:fill="CFF0FC"/>
          </w:tcPr>
          <w:p>
            <w:pPr>
              <w:spacing w:after="0"/>
              <w:rPr>
                <w:sz w:val="19"/>
                <w:szCs w:val="19"/>
                <w:color w:val="auto"/>
              </w:rPr>
            </w:pPr>
          </w:p>
        </w:tc>
      </w:tr>
      <w:tr>
        <w:trPr>
          <w:trHeight w:val="230"/>
        </w:trPr>
        <w:tc>
          <w:tcPr>
            <w:tcW w:w="5440" w:type="dxa"/>
            <w:vAlign w:val="bottom"/>
            <w:gridSpan w:val="2"/>
          </w:tcPr>
          <w:p>
            <w:pPr>
              <w:ind w:left="260"/>
              <w:spacing w:after="0"/>
              <w:rPr>
                <w:sz w:val="20"/>
                <w:szCs w:val="20"/>
                <w:color w:val="auto"/>
              </w:rPr>
            </w:pPr>
            <w:r>
              <w:rPr>
                <w:rFonts w:ascii="Arial" w:cs="Arial" w:eastAsia="Arial" w:hAnsi="Arial"/>
                <w:sz w:val="18"/>
                <w:szCs w:val="18"/>
                <w:color w:val="auto"/>
              </w:rPr>
              <w:t>E-Rate and government</w:t>
            </w:r>
          </w:p>
        </w:tc>
        <w:tc>
          <w:tcPr>
            <w:tcW w:w="14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14,276</w:t>
            </w:r>
          </w:p>
        </w:tc>
        <w:tc>
          <w:tcPr>
            <w:tcW w:w="1600" w:type="dxa"/>
            <w:vAlign w:val="bottom"/>
            <w:gridSpan w:val="2"/>
          </w:tcPr>
          <w:p>
            <w:pPr>
              <w:jc w:val="center"/>
              <w:ind w:left="170"/>
              <w:spacing w:after="0"/>
              <w:rPr>
                <w:sz w:val="20"/>
                <w:szCs w:val="20"/>
                <w:color w:val="auto"/>
              </w:rPr>
            </w:pPr>
            <w:r>
              <w:rPr>
                <w:rFonts w:ascii="Arial" w:cs="Arial" w:eastAsia="Arial" w:hAnsi="Arial"/>
                <w:sz w:val="18"/>
                <w:szCs w:val="18"/>
                <w:color w:val="auto"/>
                <w:w w:val="90"/>
              </w:rPr>
              <w:t>19.5%</w:t>
            </w:r>
          </w:p>
        </w:tc>
        <w:tc>
          <w:tcPr>
            <w:tcW w:w="2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19,364</w:t>
            </w:r>
          </w:p>
        </w:tc>
        <w:tc>
          <w:tcPr>
            <w:tcW w:w="40" w:type="dxa"/>
            <w:vAlign w:val="bottom"/>
          </w:tcPr>
          <w:p>
            <w:pPr>
              <w:spacing w:after="0"/>
              <w:rPr>
                <w:sz w:val="19"/>
                <w:szCs w:val="19"/>
                <w:color w:val="auto"/>
              </w:rPr>
            </w:pPr>
          </w:p>
        </w:tc>
        <w:tc>
          <w:tcPr>
            <w:tcW w:w="1600" w:type="dxa"/>
            <w:vAlign w:val="bottom"/>
            <w:gridSpan w:val="2"/>
          </w:tcPr>
          <w:p>
            <w:pPr>
              <w:jc w:val="center"/>
              <w:ind w:left="130"/>
              <w:spacing w:after="0"/>
              <w:rPr>
                <w:sz w:val="20"/>
                <w:szCs w:val="20"/>
                <w:color w:val="auto"/>
              </w:rPr>
            </w:pPr>
            <w:r>
              <w:rPr>
                <w:rFonts w:ascii="Arial" w:cs="Arial" w:eastAsia="Arial" w:hAnsi="Arial"/>
                <w:sz w:val="18"/>
                <w:szCs w:val="18"/>
                <w:color w:val="auto"/>
                <w:w w:val="90"/>
              </w:rPr>
              <w:t>24.9%</w:t>
            </w:r>
          </w:p>
        </w:tc>
        <w:tc>
          <w:tcPr>
            <w:tcW w:w="100" w:type="dxa"/>
            <w:vAlign w:val="bottom"/>
          </w:tcPr>
          <w:p>
            <w:pPr>
              <w:spacing w:after="0"/>
              <w:rPr>
                <w:sz w:val="19"/>
                <w:szCs w:val="19"/>
                <w:color w:val="auto"/>
              </w:rPr>
            </w:pPr>
          </w:p>
        </w:tc>
      </w:tr>
      <w:tr>
        <w:trPr>
          <w:trHeight w:val="229"/>
        </w:trPr>
        <w:tc>
          <w:tcPr>
            <w:tcW w:w="54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Dark fiber and small cells</w:t>
            </w:r>
          </w:p>
        </w:tc>
        <w:tc>
          <w:tcPr>
            <w:tcW w:w="14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18,083</w:t>
            </w:r>
          </w:p>
        </w:tc>
        <w:tc>
          <w:tcPr>
            <w:tcW w:w="1600" w:type="dxa"/>
            <w:vAlign w:val="bottom"/>
            <w:gridSpan w:val="2"/>
            <w:shd w:val="clear" w:color="auto" w:fill="CFF0FC"/>
          </w:tcPr>
          <w:p>
            <w:pPr>
              <w:jc w:val="center"/>
              <w:ind w:left="170"/>
              <w:spacing w:after="0"/>
              <w:rPr>
                <w:sz w:val="20"/>
                <w:szCs w:val="20"/>
                <w:color w:val="auto"/>
              </w:rPr>
            </w:pPr>
            <w:r>
              <w:rPr>
                <w:rFonts w:ascii="Arial" w:cs="Arial" w:eastAsia="Arial" w:hAnsi="Arial"/>
                <w:sz w:val="18"/>
                <w:szCs w:val="18"/>
                <w:color w:val="auto"/>
                <w:w w:val="90"/>
              </w:rPr>
              <w:t>24.6%</w:t>
            </w:r>
          </w:p>
        </w:tc>
        <w:tc>
          <w:tcPr>
            <w:tcW w:w="2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11,426</w:t>
            </w:r>
          </w:p>
        </w:tc>
        <w:tc>
          <w:tcPr>
            <w:tcW w:w="40" w:type="dxa"/>
            <w:vAlign w:val="bottom"/>
            <w:shd w:val="clear" w:color="auto" w:fill="CFF0FC"/>
          </w:tcPr>
          <w:p>
            <w:pPr>
              <w:spacing w:after="0"/>
              <w:rPr>
                <w:sz w:val="19"/>
                <w:szCs w:val="19"/>
                <w:color w:val="auto"/>
              </w:rPr>
            </w:pPr>
          </w:p>
        </w:tc>
        <w:tc>
          <w:tcPr>
            <w:tcW w:w="1600" w:type="dxa"/>
            <w:vAlign w:val="bottom"/>
            <w:gridSpan w:val="2"/>
            <w:shd w:val="clear" w:color="auto" w:fill="CFF0FC"/>
          </w:tcPr>
          <w:p>
            <w:pPr>
              <w:jc w:val="center"/>
              <w:ind w:left="130"/>
              <w:spacing w:after="0"/>
              <w:rPr>
                <w:sz w:val="20"/>
                <w:szCs w:val="20"/>
                <w:color w:val="auto"/>
              </w:rPr>
            </w:pPr>
            <w:r>
              <w:rPr>
                <w:rFonts w:ascii="Arial" w:cs="Arial" w:eastAsia="Arial" w:hAnsi="Arial"/>
                <w:sz w:val="18"/>
                <w:szCs w:val="18"/>
                <w:color w:val="auto"/>
                <w:w w:val="90"/>
              </w:rPr>
              <w:t>14.7%</w:t>
            </w:r>
          </w:p>
        </w:tc>
        <w:tc>
          <w:tcPr>
            <w:tcW w:w="100" w:type="dxa"/>
            <w:vAlign w:val="bottom"/>
            <w:shd w:val="clear" w:color="auto" w:fill="CFF0FC"/>
          </w:tcPr>
          <w:p>
            <w:pPr>
              <w:spacing w:after="0"/>
              <w:rPr>
                <w:sz w:val="19"/>
                <w:szCs w:val="19"/>
                <w:color w:val="auto"/>
              </w:rPr>
            </w:pPr>
          </w:p>
        </w:tc>
      </w:tr>
      <w:tr>
        <w:trPr>
          <w:trHeight w:val="230"/>
        </w:trPr>
        <w:tc>
          <w:tcPr>
            <w:tcW w:w="5440" w:type="dxa"/>
            <w:vAlign w:val="bottom"/>
            <w:gridSpan w:val="2"/>
          </w:tcPr>
          <w:p>
            <w:pPr>
              <w:ind w:left="260"/>
              <w:spacing w:after="0"/>
              <w:rPr>
                <w:sz w:val="20"/>
                <w:szCs w:val="20"/>
                <w:color w:val="auto"/>
              </w:rPr>
            </w:pPr>
            <w:r>
              <w:rPr>
                <w:rFonts w:ascii="Arial" w:cs="Arial" w:eastAsia="Arial" w:hAnsi="Arial"/>
                <w:sz w:val="18"/>
                <w:szCs w:val="18"/>
                <w:color w:val="auto"/>
              </w:rPr>
              <w:t>Other services</w:t>
            </w:r>
          </w:p>
        </w:tc>
        <w:tc>
          <w:tcPr>
            <w:tcW w:w="14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661</w:t>
            </w:r>
          </w:p>
        </w:tc>
        <w:tc>
          <w:tcPr>
            <w:tcW w:w="1600" w:type="dxa"/>
            <w:vAlign w:val="bottom"/>
            <w:gridSpan w:val="2"/>
          </w:tcPr>
          <w:p>
            <w:pPr>
              <w:jc w:val="center"/>
              <w:ind w:left="170"/>
              <w:spacing w:after="0"/>
              <w:rPr>
                <w:sz w:val="20"/>
                <w:szCs w:val="20"/>
                <w:color w:val="auto"/>
              </w:rPr>
            </w:pPr>
            <w:r>
              <w:rPr>
                <w:rFonts w:ascii="Arial" w:cs="Arial" w:eastAsia="Arial" w:hAnsi="Arial"/>
                <w:sz w:val="18"/>
                <w:szCs w:val="18"/>
                <w:color w:val="auto"/>
                <w:w w:val="92"/>
              </w:rPr>
              <w:t>0.9%</w:t>
            </w:r>
          </w:p>
        </w:tc>
        <w:tc>
          <w:tcPr>
            <w:tcW w:w="2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816</w:t>
            </w:r>
          </w:p>
        </w:tc>
        <w:tc>
          <w:tcPr>
            <w:tcW w:w="40" w:type="dxa"/>
            <w:vAlign w:val="bottom"/>
          </w:tcPr>
          <w:p>
            <w:pPr>
              <w:spacing w:after="0"/>
              <w:rPr>
                <w:sz w:val="19"/>
                <w:szCs w:val="19"/>
                <w:color w:val="auto"/>
              </w:rPr>
            </w:pPr>
          </w:p>
        </w:tc>
        <w:tc>
          <w:tcPr>
            <w:tcW w:w="1600" w:type="dxa"/>
            <w:vAlign w:val="bottom"/>
            <w:gridSpan w:val="2"/>
          </w:tcPr>
          <w:p>
            <w:pPr>
              <w:jc w:val="center"/>
              <w:ind w:left="130"/>
              <w:spacing w:after="0"/>
              <w:rPr>
                <w:sz w:val="20"/>
                <w:szCs w:val="20"/>
                <w:color w:val="auto"/>
              </w:rPr>
            </w:pPr>
            <w:r>
              <w:rPr>
                <w:rFonts w:ascii="Arial" w:cs="Arial" w:eastAsia="Arial" w:hAnsi="Arial"/>
                <w:sz w:val="18"/>
                <w:szCs w:val="18"/>
                <w:color w:val="auto"/>
                <w:w w:val="92"/>
              </w:rPr>
              <w:t>1.1%</w:t>
            </w:r>
          </w:p>
        </w:tc>
        <w:tc>
          <w:tcPr>
            <w:tcW w:w="100" w:type="dxa"/>
            <w:vAlign w:val="bottom"/>
          </w:tcPr>
          <w:p>
            <w:pPr>
              <w:spacing w:after="0"/>
              <w:rPr>
                <w:sz w:val="19"/>
                <w:szCs w:val="19"/>
                <w:color w:val="auto"/>
              </w:rPr>
            </w:pPr>
          </w:p>
        </w:tc>
      </w:tr>
      <w:tr>
        <w:trPr>
          <w:trHeight w:val="223"/>
        </w:trPr>
        <w:tc>
          <w:tcPr>
            <w:tcW w:w="5440" w:type="dxa"/>
            <w:vAlign w:val="bottom"/>
            <w:tcBorders>
              <w:top w:val="single" w:sz="8" w:color="CFF0FC"/>
              <w:bottom w:val="single" w:sz="8" w:color="CFF0FC"/>
            </w:tcBorders>
            <w:gridSpan w:val="2"/>
            <w:shd w:val="clear" w:color="auto" w:fill="CFF0FC"/>
          </w:tcPr>
          <w:p>
            <w:pPr>
              <w:ind w:left="500"/>
              <w:spacing w:after="0"/>
              <w:rPr>
                <w:sz w:val="20"/>
                <w:szCs w:val="20"/>
                <w:color w:val="auto"/>
              </w:rPr>
            </w:pPr>
            <w:r>
              <w:rPr>
                <w:rFonts w:ascii="Arial" w:cs="Arial" w:eastAsia="Arial" w:hAnsi="Arial"/>
                <w:sz w:val="18"/>
                <w:szCs w:val="18"/>
                <w:color w:val="auto"/>
              </w:rPr>
              <w:t>Total Fiber Infrastructure revenues</w:t>
            </w:r>
          </w:p>
        </w:tc>
        <w:tc>
          <w:tcPr>
            <w:tcW w:w="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73,393</w:t>
            </w:r>
          </w:p>
        </w:tc>
        <w:tc>
          <w:tcPr>
            <w:tcW w:w="280" w:type="dxa"/>
            <w:vAlign w:val="bottom"/>
            <w:tcBorders>
              <w:top w:val="single" w:sz="8" w:color="CFF0FC"/>
              <w:bottom w:val="single" w:sz="8" w:color="CFF0FC"/>
            </w:tcBorders>
            <w:shd w:val="clear" w:color="auto" w:fill="CFF0FC"/>
          </w:tcPr>
          <w:p>
            <w:pPr>
              <w:spacing w:after="0"/>
              <w:rPr>
                <w:sz w:val="19"/>
                <w:szCs w:val="19"/>
                <w:color w:val="auto"/>
              </w:rPr>
            </w:pPr>
          </w:p>
        </w:tc>
        <w:tc>
          <w:tcPr>
            <w:tcW w:w="1320" w:type="dxa"/>
            <w:vAlign w:val="bottom"/>
            <w:tcBorders>
              <w:top w:val="single" w:sz="8" w:color="auto"/>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1"/>
              </w:rPr>
              <w:t>100.0%</w:t>
            </w:r>
          </w:p>
        </w:tc>
        <w:tc>
          <w:tcPr>
            <w:tcW w:w="280" w:type="dxa"/>
            <w:vAlign w:val="bottom"/>
            <w:tcBorders>
              <w:top w:val="single" w:sz="8" w:color="CFF0FC"/>
              <w:bottom w:val="single" w:sz="8" w:color="CFF0FC"/>
            </w:tcBorders>
            <w:shd w:val="clear" w:color="auto" w:fill="CFF0FC"/>
          </w:tcPr>
          <w:p>
            <w:pPr>
              <w:spacing w:after="0"/>
              <w:rPr>
                <w:sz w:val="19"/>
                <w:szCs w:val="19"/>
                <w:color w:val="auto"/>
              </w:rPr>
            </w:pPr>
          </w:p>
        </w:tc>
        <w:tc>
          <w:tcPr>
            <w:tcW w:w="1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77,650</w:t>
            </w:r>
          </w:p>
        </w:tc>
        <w:tc>
          <w:tcPr>
            <w:tcW w:w="40" w:type="dxa"/>
            <w:vAlign w:val="bottom"/>
            <w:tcBorders>
              <w:top w:val="single" w:sz="8" w:color="CFF0FC"/>
              <w:bottom w:val="single" w:sz="8" w:color="CFF0FC"/>
            </w:tcBorders>
            <w:shd w:val="clear" w:color="auto" w:fill="CFF0FC"/>
          </w:tcPr>
          <w:p>
            <w:pPr>
              <w:spacing w:after="0"/>
              <w:rPr>
                <w:sz w:val="19"/>
                <w:szCs w:val="19"/>
                <w:color w:val="auto"/>
              </w:rPr>
            </w:pP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1360" w:type="dxa"/>
            <w:vAlign w:val="bottom"/>
            <w:tcBorders>
              <w:top w:val="single" w:sz="8" w:color="auto"/>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88"/>
              </w:rPr>
              <w:t>100.0%</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r>
      <w:tr>
        <w:trPr>
          <w:trHeight w:val="20"/>
        </w:trPr>
        <w:tc>
          <w:tcPr>
            <w:tcW w:w="5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20"/>
        <w:spacing w:after="0" w:line="254" w:lineRule="auto"/>
        <w:rPr>
          <w:sz w:val="20"/>
          <w:szCs w:val="20"/>
          <w:color w:val="auto"/>
        </w:rPr>
      </w:pPr>
      <w:r>
        <w:rPr>
          <w:rFonts w:ascii="Arial" w:cs="Arial" w:eastAsia="Arial" w:hAnsi="Arial"/>
          <w:sz w:val="18"/>
          <w:szCs w:val="18"/>
          <w:color w:val="auto"/>
        </w:rPr>
        <w:t>For the three months ended March 31, 2022, Fiber Infrastructure revenues totaled $73.4 million as compared to $77.7 million for the three months ended March 31, 2021. As of March 31, 2022, we had approximately 26,631 customer connections, up from 26,315 customer connections as of March 31, 2021. The $4.3 million decrease in Fiber Infrastructure revenues is attributable to the following factors: (i) Lit backhaul service revenues decreased $5.6 million driven by a $4.3 million decrease attributable to the Uniti Fiber Northeast operations sold on May 28, 2021, a $1.0 million decrease due to lit-to-dark fiber conversions and $0.3 million decease due to contract renewals at a lower rate and longer term; and (ii) E-Rate and government decreased $5.1 million primarily related to a $4.0 million decrease in installation and equipment sales and a $0.7 million decrease due to the wind down of our construction activities. These reductions were partially offset by a $6.7 million increase in dark fiber and small cell revenues primarily attributable to one-time early termination revenues.</w:t>
      </w:r>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33" w:name="page34"/>
    <w:bookmarkEnd w:id="33"/>
    <w:tbl>
      <w:tblPr>
        <w:tblLayout w:type="fixed"/>
        <w:tblInd w:w="0" w:type="dxa"/>
        <w:tblCellMar>
          <w:top w:w="0" w:type="dxa"/>
          <w:left w:w="0" w:type="dxa"/>
          <w:bottom w:w="0" w:type="dxa"/>
          <w:right w:w="0" w:type="dxa"/>
        </w:tblCellMar>
      </w:tblPr>
      <w:tr>
        <w:trPr>
          <w:trHeight w:val="207"/>
        </w:trPr>
        <w:tc>
          <w:tcPr>
            <w:tcW w:w="6440" w:type="dxa"/>
            <w:vAlign w:val="bottom"/>
            <w:gridSpan w:val="3"/>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Table of Contents</w:t>
              </w:r>
            </w:hyperlink>
          </w:p>
        </w:tc>
        <w:tc>
          <w:tcPr>
            <w:tcW w:w="3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280" w:type="dxa"/>
            <w:vAlign w:val="bottom"/>
            <w:shd w:val="clear" w:color="auto" w:fill="0000EE"/>
          </w:tcPr>
          <w:p>
            <w:pPr>
              <w:spacing w:after="0" w:line="20" w:lineRule="exact"/>
              <w:rPr>
                <w:sz w:val="1"/>
                <w:szCs w:val="1"/>
                <w:color w:val="auto"/>
              </w:rPr>
            </w:pPr>
          </w:p>
        </w:tc>
        <w:tc>
          <w:tcPr>
            <w:tcW w:w="516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8"/>
        </w:trPr>
        <w:tc>
          <w:tcPr>
            <w:tcW w:w="6440" w:type="dxa"/>
            <w:vAlign w:val="bottom"/>
            <w:gridSpan w:val="3"/>
          </w:tcPr>
          <w:p>
            <w:pPr>
              <w:spacing w:after="0"/>
              <w:rPr>
                <w:sz w:val="20"/>
                <w:szCs w:val="20"/>
                <w:color w:val="auto"/>
              </w:rPr>
            </w:pPr>
            <w:r>
              <w:rPr>
                <w:rFonts w:ascii="Arial" w:cs="Arial" w:eastAsia="Arial" w:hAnsi="Arial"/>
                <w:sz w:val="18"/>
                <w:szCs w:val="18"/>
                <w:b w:val="1"/>
                <w:bCs w:val="1"/>
                <w:i w:val="1"/>
                <w:iCs w:val="1"/>
                <w:color w:val="auto"/>
              </w:rPr>
              <w:t>Interest Expense, net</w:t>
            </w:r>
          </w:p>
        </w:tc>
        <w:tc>
          <w:tcPr>
            <w:tcW w:w="320" w:type="dxa"/>
            <w:vAlign w:val="bottom"/>
          </w:tcPr>
          <w:p>
            <w:pPr>
              <w:spacing w:after="0"/>
              <w:rPr>
                <w:sz w:val="24"/>
                <w:szCs w:val="24"/>
                <w:color w:val="auto"/>
              </w:rPr>
            </w:pPr>
          </w:p>
        </w:tc>
        <w:tc>
          <w:tcPr>
            <w:tcW w:w="3300" w:type="dxa"/>
            <w:vAlign w:val="bottom"/>
            <w:gridSpan w:val="8"/>
            <w:vMerge w:val="restart"/>
          </w:tcPr>
          <w:p>
            <w:pPr>
              <w:jc w:val="right"/>
              <w:ind w:right="9"/>
              <w:spacing w:after="0"/>
              <w:rPr>
                <w:sz w:val="20"/>
                <w:szCs w:val="20"/>
                <w:color w:val="auto"/>
              </w:rPr>
            </w:pPr>
            <w:r>
              <w:rPr>
                <w:rFonts w:ascii="Arial" w:cs="Arial" w:eastAsia="Arial" w:hAnsi="Arial"/>
                <w:sz w:val="18"/>
                <w:szCs w:val="18"/>
                <w:b w:val="1"/>
                <w:bCs w:val="1"/>
                <w:color w:val="auto"/>
              </w:rPr>
              <w:t>Three Months Ended March 31,</w:t>
            </w: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1280" w:type="dxa"/>
            <w:vAlign w:val="bottom"/>
          </w:tcPr>
          <w:p>
            <w:pPr>
              <w:spacing w:after="0"/>
              <w:rPr>
                <w:sz w:val="19"/>
                <w:szCs w:val="19"/>
                <w:color w:val="auto"/>
              </w:rPr>
            </w:pPr>
          </w:p>
        </w:tc>
        <w:tc>
          <w:tcPr>
            <w:tcW w:w="49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3300" w:type="dxa"/>
            <w:vAlign w:val="bottom"/>
            <w:tcBorders>
              <w:bottom w:val="single" w:sz="8" w:color="auto"/>
            </w:tcBorders>
            <w:gridSpan w:val="8"/>
            <w:vMerge w:val="continue"/>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5"/>
        </w:trPr>
        <w:tc>
          <w:tcPr>
            <w:tcW w:w="1280" w:type="dxa"/>
            <w:vAlign w:val="bottom"/>
          </w:tcPr>
          <w:p>
            <w:pPr>
              <w:spacing w:after="0"/>
              <w:rPr>
                <w:sz w:val="17"/>
                <w:szCs w:val="17"/>
                <w:color w:val="auto"/>
              </w:rPr>
            </w:pPr>
          </w:p>
        </w:tc>
        <w:tc>
          <w:tcPr>
            <w:tcW w:w="49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60" w:type="dxa"/>
            <w:vAlign w:val="bottom"/>
          </w:tcPr>
          <w:p>
            <w:pPr>
              <w:jc w:val="right"/>
              <w:ind w:right="150"/>
              <w:spacing w:after="0" w:line="205" w:lineRule="exact"/>
              <w:rPr>
                <w:sz w:val="20"/>
                <w:szCs w:val="20"/>
                <w:color w:val="auto"/>
              </w:rPr>
            </w:pPr>
            <w:r>
              <w:rPr>
                <w:rFonts w:ascii="Arial" w:cs="Arial" w:eastAsia="Arial" w:hAnsi="Arial"/>
                <w:sz w:val="18"/>
                <w:szCs w:val="18"/>
                <w:b w:val="1"/>
                <w:bCs w:val="1"/>
                <w:color w:val="auto"/>
                <w:w w:val="96"/>
              </w:rPr>
              <w:t>Increase /</w:t>
            </w: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6440" w:type="dxa"/>
            <w:vAlign w:val="bottom"/>
            <w:gridSpan w:val="3"/>
          </w:tcPr>
          <w:p>
            <w:pPr>
              <w:spacing w:after="0"/>
              <w:rPr>
                <w:sz w:val="20"/>
                <w:szCs w:val="20"/>
                <w:color w:val="auto"/>
              </w:rPr>
            </w:pPr>
            <w:r>
              <w:rPr>
                <w:rFonts w:ascii="Arial" w:cs="Arial" w:eastAsia="Arial" w:hAnsi="Arial"/>
                <w:sz w:val="18"/>
                <w:szCs w:val="18"/>
                <w:color w:val="auto"/>
              </w:rPr>
              <w:t>(Thousands)</w:t>
            </w:r>
          </w:p>
        </w:tc>
        <w:tc>
          <w:tcPr>
            <w:tcW w:w="32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2022</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2021</w:t>
            </w: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w w:val="91"/>
              </w:rPr>
              <w:t>(Decrease)</w:t>
            </w:r>
          </w:p>
        </w:tc>
        <w:tc>
          <w:tcPr>
            <w:tcW w:w="0" w:type="dxa"/>
            <w:vAlign w:val="bottom"/>
          </w:tcPr>
          <w:p>
            <w:pPr>
              <w:spacing w:after="0"/>
              <w:rPr>
                <w:sz w:val="1"/>
                <w:szCs w:val="1"/>
                <w:color w:val="auto"/>
              </w:rPr>
            </w:pPr>
          </w:p>
        </w:tc>
      </w:tr>
      <w:tr>
        <w:trPr>
          <w:trHeight w:val="223"/>
        </w:trPr>
        <w:tc>
          <w:tcPr>
            <w:tcW w:w="6260" w:type="dxa"/>
            <w:vAlign w:val="bottom"/>
            <w:tcBorders>
              <w:top w:val="single" w:sz="8" w:color="auto"/>
            </w:tcBorders>
            <w:gridSpan w:val="2"/>
            <w:shd w:val="clear" w:color="auto" w:fill="CFF0FC"/>
          </w:tcPr>
          <w:p>
            <w:pPr>
              <w:spacing w:after="0"/>
              <w:rPr>
                <w:sz w:val="20"/>
                <w:szCs w:val="20"/>
                <w:color w:val="auto"/>
              </w:rPr>
            </w:pPr>
            <w:r>
              <w:rPr>
                <w:rFonts w:ascii="Arial" w:cs="Arial" w:eastAsia="Arial" w:hAnsi="Arial"/>
                <w:sz w:val="18"/>
                <w:szCs w:val="18"/>
                <w:b w:val="1"/>
                <w:bCs w:val="1"/>
                <w:color w:val="auto"/>
              </w:rPr>
              <w:t>Interest expense, net:</w:t>
            </w:r>
          </w:p>
        </w:tc>
        <w:tc>
          <w:tcPr>
            <w:tcW w:w="18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spacing w:after="0"/>
              <w:rPr>
                <w:sz w:val="19"/>
                <w:szCs w:val="19"/>
                <w:color w:val="auto"/>
              </w:rPr>
            </w:pPr>
          </w:p>
        </w:tc>
        <w:tc>
          <w:tcPr>
            <w:tcW w:w="1140" w:type="dxa"/>
            <w:vAlign w:val="bottom"/>
            <w:tcBorders>
              <w:top w:val="single" w:sz="8" w:color="auto"/>
            </w:tcBorders>
            <w:shd w:val="clear" w:color="auto" w:fill="CFF0FC"/>
          </w:tcPr>
          <w:p>
            <w:pPr>
              <w:spacing w:after="0"/>
              <w:rPr>
                <w:sz w:val="19"/>
                <w:szCs w:val="19"/>
                <w:color w:val="auto"/>
              </w:rPr>
            </w:pPr>
          </w:p>
        </w:tc>
        <w:tc>
          <w:tcPr>
            <w:tcW w:w="16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spacing w:after="0"/>
              <w:rPr>
                <w:sz w:val="19"/>
                <w:szCs w:val="19"/>
                <w:color w:val="auto"/>
              </w:rPr>
            </w:pPr>
          </w:p>
        </w:tc>
        <w:tc>
          <w:tcPr>
            <w:tcW w:w="1140" w:type="dxa"/>
            <w:vAlign w:val="bottom"/>
            <w:tcBorders>
              <w:top w:val="single" w:sz="8" w:color="auto"/>
            </w:tcBorders>
            <w:shd w:val="clear" w:color="auto" w:fill="CFF0FC"/>
          </w:tcPr>
          <w:p>
            <w:pPr>
              <w:spacing w:after="0"/>
              <w:rPr>
                <w:sz w:val="19"/>
                <w:szCs w:val="19"/>
                <w:color w:val="auto"/>
              </w:rPr>
            </w:pPr>
          </w:p>
        </w:tc>
        <w:tc>
          <w:tcPr>
            <w:tcW w:w="3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06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440" w:type="dxa"/>
            <w:vAlign w:val="bottom"/>
            <w:gridSpan w:val="3"/>
          </w:tcPr>
          <w:p>
            <w:pPr>
              <w:ind w:left="260"/>
              <w:spacing w:after="0"/>
              <w:rPr>
                <w:sz w:val="20"/>
                <w:szCs w:val="20"/>
                <w:color w:val="auto"/>
              </w:rPr>
            </w:pPr>
            <w:r>
              <w:rPr>
                <w:rFonts w:ascii="Arial" w:cs="Arial" w:eastAsia="Arial" w:hAnsi="Arial"/>
                <w:sz w:val="18"/>
                <w:szCs w:val="18"/>
                <w:b w:val="1"/>
                <w:bCs w:val="1"/>
                <w:color w:val="auto"/>
              </w:rPr>
              <w:t>Cash:</w:t>
            </w:r>
          </w:p>
        </w:tc>
        <w:tc>
          <w:tcPr>
            <w:tcW w:w="3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440" w:type="dxa"/>
            <w:vAlign w:val="bottom"/>
            <w:gridSpan w:val="3"/>
            <w:shd w:val="clear" w:color="auto" w:fill="CFF0FC"/>
          </w:tcPr>
          <w:p>
            <w:pPr>
              <w:ind w:left="380"/>
              <w:spacing w:after="0"/>
              <w:rPr>
                <w:sz w:val="20"/>
                <w:szCs w:val="20"/>
                <w:color w:val="auto"/>
              </w:rPr>
            </w:pPr>
            <w:r>
              <w:rPr>
                <w:rFonts w:ascii="Arial" w:cs="Arial" w:eastAsia="Arial" w:hAnsi="Arial"/>
                <w:sz w:val="18"/>
                <w:szCs w:val="18"/>
                <w:color w:val="auto"/>
              </w:rPr>
              <w:t>Senior secured notes</w:t>
            </w:r>
          </w:p>
        </w:tc>
        <w:tc>
          <w:tcPr>
            <w:tcW w:w="320" w:type="dxa"/>
            <w:vAlign w:val="bottom"/>
            <w:shd w:val="clear" w:color="auto" w:fill="CFF0FC"/>
          </w:tcPr>
          <w:p>
            <w:pPr>
              <w:jc w:val="right"/>
              <w:ind w:right="167"/>
              <w:spacing w:after="0"/>
              <w:rPr>
                <w:sz w:val="20"/>
                <w:szCs w:val="20"/>
                <w:color w:val="auto"/>
              </w:rPr>
            </w:pPr>
            <w:r>
              <w:rPr>
                <w:rFonts w:ascii="Arial" w:cs="Arial" w:eastAsia="Arial" w:hAnsi="Arial"/>
                <w:sz w:val="15"/>
                <w:szCs w:val="15"/>
                <w:color w:val="auto"/>
                <w:w w:val="71"/>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51,066</w:t>
            </w:r>
          </w:p>
        </w:tc>
        <w:tc>
          <w:tcPr>
            <w:tcW w:w="160" w:type="dxa"/>
            <w:vAlign w:val="bottom"/>
            <w:shd w:val="clear" w:color="auto" w:fill="CFF0FC"/>
          </w:tcPr>
          <w:p>
            <w:pPr>
              <w:spacing w:after="0"/>
              <w:rPr>
                <w:sz w:val="19"/>
                <w:szCs w:val="19"/>
                <w:color w:val="auto"/>
              </w:rPr>
            </w:pPr>
          </w:p>
        </w:tc>
        <w:tc>
          <w:tcPr>
            <w:tcW w:w="440" w:type="dxa"/>
            <w:vAlign w:val="bottom"/>
            <w:gridSpan w:val="2"/>
            <w:shd w:val="clear" w:color="auto" w:fill="CFF0FC"/>
          </w:tcPr>
          <w:p>
            <w:pPr>
              <w:jc w:val="right"/>
              <w:ind w:right="167"/>
              <w:spacing w:after="0"/>
              <w:rPr>
                <w:sz w:val="20"/>
                <w:szCs w:val="20"/>
                <w:color w:val="auto"/>
              </w:rPr>
            </w:pPr>
            <w:r>
              <w:rPr>
                <w:rFonts w:ascii="Arial" w:cs="Arial" w:eastAsia="Arial" w:hAnsi="Arial"/>
                <w:sz w:val="18"/>
                <w:szCs w:val="18"/>
                <w:color w:val="auto"/>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52,547</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(1,481)</w:t>
            </w:r>
          </w:p>
        </w:tc>
        <w:tc>
          <w:tcPr>
            <w:tcW w:w="0" w:type="dxa"/>
            <w:vAlign w:val="bottom"/>
          </w:tcPr>
          <w:p>
            <w:pPr>
              <w:spacing w:after="0"/>
              <w:rPr>
                <w:sz w:val="1"/>
                <w:szCs w:val="1"/>
                <w:color w:val="auto"/>
              </w:rPr>
            </w:pPr>
          </w:p>
        </w:tc>
      </w:tr>
      <w:tr>
        <w:trPr>
          <w:trHeight w:val="230"/>
        </w:trPr>
        <w:tc>
          <w:tcPr>
            <w:tcW w:w="6440" w:type="dxa"/>
            <w:vAlign w:val="bottom"/>
            <w:gridSpan w:val="3"/>
          </w:tcPr>
          <w:p>
            <w:pPr>
              <w:ind w:left="380"/>
              <w:spacing w:after="0"/>
              <w:rPr>
                <w:sz w:val="20"/>
                <w:szCs w:val="20"/>
                <w:color w:val="auto"/>
              </w:rPr>
            </w:pPr>
            <w:r>
              <w:rPr>
                <w:rFonts w:ascii="Arial" w:cs="Arial" w:eastAsia="Arial" w:hAnsi="Arial"/>
                <w:sz w:val="18"/>
                <w:szCs w:val="18"/>
                <w:color w:val="auto"/>
              </w:rPr>
              <w:t>Senior unsecured notes</w:t>
            </w:r>
          </w:p>
        </w:tc>
        <w:tc>
          <w:tcPr>
            <w:tcW w:w="3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31,988</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34,885</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(2,897)</w:t>
            </w:r>
          </w:p>
        </w:tc>
        <w:tc>
          <w:tcPr>
            <w:tcW w:w="0" w:type="dxa"/>
            <w:vAlign w:val="bottom"/>
          </w:tcPr>
          <w:p>
            <w:pPr>
              <w:spacing w:after="0"/>
              <w:rPr>
                <w:sz w:val="1"/>
                <w:szCs w:val="1"/>
                <w:color w:val="auto"/>
              </w:rPr>
            </w:pPr>
          </w:p>
        </w:tc>
      </w:tr>
      <w:tr>
        <w:trPr>
          <w:trHeight w:val="229"/>
        </w:trPr>
        <w:tc>
          <w:tcPr>
            <w:tcW w:w="6440" w:type="dxa"/>
            <w:vAlign w:val="bottom"/>
            <w:gridSpan w:val="3"/>
            <w:shd w:val="clear" w:color="auto" w:fill="CFF0FC"/>
          </w:tcPr>
          <w:p>
            <w:pPr>
              <w:ind w:left="380"/>
              <w:spacing w:after="0"/>
              <w:rPr>
                <w:sz w:val="20"/>
                <w:szCs w:val="20"/>
                <w:color w:val="auto"/>
              </w:rPr>
            </w:pPr>
            <w:r>
              <w:rPr>
                <w:rFonts w:ascii="Arial" w:cs="Arial" w:eastAsia="Arial" w:hAnsi="Arial"/>
                <w:sz w:val="18"/>
                <w:szCs w:val="18"/>
                <w:color w:val="auto"/>
              </w:rPr>
              <w:t>Senior secured revolving credit facility - variable rate</w:t>
            </w: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2,602</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2,315</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440" w:type="dxa"/>
            <w:vAlign w:val="bottom"/>
            <w:gridSpan w:val="3"/>
          </w:tcPr>
          <w:p>
            <w:pPr>
              <w:ind w:left="380"/>
              <w:spacing w:after="0"/>
              <w:rPr>
                <w:sz w:val="20"/>
                <w:szCs w:val="20"/>
                <w:color w:val="auto"/>
              </w:rPr>
            </w:pPr>
            <w:r>
              <w:rPr>
                <w:rFonts w:ascii="Arial" w:cs="Arial" w:eastAsia="Arial" w:hAnsi="Arial"/>
                <w:sz w:val="18"/>
                <w:szCs w:val="18"/>
                <w:color w:val="auto"/>
              </w:rPr>
              <w:t>Tender premium payment</w:t>
            </w:r>
          </w:p>
        </w:tc>
        <w:tc>
          <w:tcPr>
            <w:tcW w:w="3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17,550</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(17,550)</w:t>
            </w:r>
          </w:p>
        </w:tc>
        <w:tc>
          <w:tcPr>
            <w:tcW w:w="0" w:type="dxa"/>
            <w:vAlign w:val="bottom"/>
          </w:tcPr>
          <w:p>
            <w:pPr>
              <w:spacing w:after="0"/>
              <w:rPr>
                <w:sz w:val="1"/>
                <w:szCs w:val="1"/>
                <w:color w:val="auto"/>
              </w:rPr>
            </w:pPr>
          </w:p>
        </w:tc>
      </w:tr>
      <w:tr>
        <w:trPr>
          <w:trHeight w:val="230"/>
        </w:trPr>
        <w:tc>
          <w:tcPr>
            <w:tcW w:w="6440" w:type="dxa"/>
            <w:vAlign w:val="bottom"/>
            <w:gridSpan w:val="3"/>
            <w:shd w:val="clear" w:color="auto" w:fill="CFF0FC"/>
          </w:tcPr>
          <w:p>
            <w:pPr>
              <w:ind w:left="380"/>
              <w:spacing w:after="0"/>
              <w:rPr>
                <w:sz w:val="20"/>
                <w:szCs w:val="20"/>
                <w:color w:val="auto"/>
              </w:rPr>
            </w:pPr>
            <w:r>
              <w:rPr>
                <w:rFonts w:ascii="Arial" w:cs="Arial" w:eastAsia="Arial" w:hAnsi="Arial"/>
                <w:sz w:val="18"/>
                <w:szCs w:val="18"/>
                <w:color w:val="auto"/>
              </w:rPr>
              <w:t>Interest rate swap termination</w:t>
            </w: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2,830</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2,829</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440" w:type="dxa"/>
            <w:vAlign w:val="bottom"/>
            <w:gridSpan w:val="3"/>
          </w:tcPr>
          <w:p>
            <w:pPr>
              <w:ind w:left="380"/>
              <w:spacing w:after="0"/>
              <w:rPr>
                <w:sz w:val="20"/>
                <w:szCs w:val="20"/>
                <w:color w:val="auto"/>
              </w:rPr>
            </w:pPr>
            <w:r>
              <w:rPr>
                <w:rFonts w:ascii="Arial" w:cs="Arial" w:eastAsia="Arial" w:hAnsi="Arial"/>
                <w:sz w:val="18"/>
                <w:szCs w:val="18"/>
                <w:color w:val="auto"/>
              </w:rPr>
              <w:t>Other</w:t>
            </w:r>
          </w:p>
        </w:tc>
        <w:tc>
          <w:tcPr>
            <w:tcW w:w="3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356</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921</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(565)</w:t>
            </w:r>
          </w:p>
        </w:tc>
        <w:tc>
          <w:tcPr>
            <w:tcW w:w="0" w:type="dxa"/>
            <w:vAlign w:val="bottom"/>
          </w:tcPr>
          <w:p>
            <w:pPr>
              <w:spacing w:after="0"/>
              <w:rPr>
                <w:sz w:val="1"/>
                <w:szCs w:val="1"/>
                <w:color w:val="auto"/>
              </w:rPr>
            </w:pPr>
          </w:p>
        </w:tc>
      </w:tr>
      <w:tr>
        <w:trPr>
          <w:trHeight w:val="223"/>
        </w:trPr>
        <w:tc>
          <w:tcPr>
            <w:tcW w:w="6440" w:type="dxa"/>
            <w:vAlign w:val="bottom"/>
            <w:tcBorders>
              <w:top w:val="single" w:sz="8" w:color="CFF0FC"/>
            </w:tcBorders>
            <w:gridSpan w:val="3"/>
            <w:shd w:val="clear" w:color="auto" w:fill="CFF0FC"/>
          </w:tcPr>
          <w:p>
            <w:pPr>
              <w:ind w:left="500"/>
              <w:spacing w:after="0"/>
              <w:rPr>
                <w:sz w:val="20"/>
                <w:szCs w:val="20"/>
                <w:color w:val="auto"/>
              </w:rPr>
            </w:pPr>
            <w:r>
              <w:rPr>
                <w:rFonts w:ascii="Arial" w:cs="Arial" w:eastAsia="Arial" w:hAnsi="Arial"/>
                <w:sz w:val="18"/>
                <w:szCs w:val="18"/>
                <w:color w:val="auto"/>
              </w:rPr>
              <w:t>Total cash interest</w:t>
            </w:r>
          </w:p>
        </w:tc>
        <w:tc>
          <w:tcPr>
            <w:tcW w:w="320" w:type="dxa"/>
            <w:vAlign w:val="bottom"/>
            <w:tcBorders>
              <w:top w:val="single" w:sz="8" w:color="auto"/>
            </w:tcBorders>
            <w:shd w:val="clear" w:color="auto" w:fill="CFF0FC"/>
          </w:tcPr>
          <w:p>
            <w:pPr>
              <w:spacing w:after="0"/>
              <w:rPr>
                <w:sz w:val="19"/>
                <w:szCs w:val="19"/>
                <w:color w:val="auto"/>
              </w:rPr>
            </w:pPr>
          </w:p>
        </w:tc>
        <w:tc>
          <w:tcPr>
            <w:tcW w:w="1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88,842</w:t>
            </w:r>
          </w:p>
        </w:tc>
        <w:tc>
          <w:tcPr>
            <w:tcW w:w="16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spacing w:after="0"/>
              <w:rPr>
                <w:sz w:val="19"/>
                <w:szCs w:val="19"/>
                <w:color w:val="auto"/>
              </w:rPr>
            </w:pPr>
          </w:p>
        </w:tc>
        <w:tc>
          <w:tcPr>
            <w:tcW w:w="1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111,047</w:t>
            </w:r>
          </w:p>
        </w:tc>
        <w:tc>
          <w:tcPr>
            <w:tcW w:w="3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0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(22,205)</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440" w:type="dxa"/>
            <w:vAlign w:val="bottom"/>
            <w:gridSpan w:val="3"/>
          </w:tcPr>
          <w:p>
            <w:pPr>
              <w:ind w:left="260"/>
              <w:spacing w:after="0"/>
              <w:rPr>
                <w:sz w:val="20"/>
                <w:szCs w:val="20"/>
                <w:color w:val="auto"/>
              </w:rPr>
            </w:pPr>
            <w:r>
              <w:rPr>
                <w:rFonts w:ascii="Arial" w:cs="Arial" w:eastAsia="Arial" w:hAnsi="Arial"/>
                <w:sz w:val="18"/>
                <w:szCs w:val="18"/>
                <w:b w:val="1"/>
                <w:bCs w:val="1"/>
                <w:color w:val="auto"/>
              </w:rPr>
              <w:t>Non-cash:</w:t>
            </w:r>
          </w:p>
        </w:tc>
        <w:tc>
          <w:tcPr>
            <w:tcW w:w="3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440" w:type="dxa"/>
            <w:vAlign w:val="bottom"/>
            <w:gridSpan w:val="3"/>
            <w:shd w:val="clear" w:color="auto" w:fill="CFF0FC"/>
          </w:tcPr>
          <w:p>
            <w:pPr>
              <w:ind w:left="380"/>
              <w:spacing w:after="0"/>
              <w:rPr>
                <w:sz w:val="20"/>
                <w:szCs w:val="20"/>
                <w:color w:val="auto"/>
              </w:rPr>
            </w:pPr>
            <w:r>
              <w:rPr>
                <w:rFonts w:ascii="Arial" w:cs="Arial" w:eastAsia="Arial" w:hAnsi="Arial"/>
                <w:sz w:val="18"/>
                <w:szCs w:val="18"/>
                <w:color w:val="auto"/>
              </w:rPr>
              <w:t>Amortization of deferred financing costs and debt discount</w:t>
            </w: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4,514</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4,959</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(445)</w:t>
            </w:r>
          </w:p>
        </w:tc>
        <w:tc>
          <w:tcPr>
            <w:tcW w:w="0" w:type="dxa"/>
            <w:vAlign w:val="bottom"/>
          </w:tcPr>
          <w:p>
            <w:pPr>
              <w:spacing w:after="0"/>
              <w:rPr>
                <w:sz w:val="1"/>
                <w:szCs w:val="1"/>
                <w:color w:val="auto"/>
              </w:rPr>
            </w:pPr>
          </w:p>
        </w:tc>
      </w:tr>
      <w:tr>
        <w:trPr>
          <w:trHeight w:val="229"/>
        </w:trPr>
        <w:tc>
          <w:tcPr>
            <w:tcW w:w="6440" w:type="dxa"/>
            <w:vAlign w:val="bottom"/>
            <w:gridSpan w:val="3"/>
          </w:tcPr>
          <w:p>
            <w:pPr>
              <w:ind w:left="380"/>
              <w:spacing w:after="0"/>
              <w:rPr>
                <w:sz w:val="20"/>
                <w:szCs w:val="20"/>
                <w:color w:val="auto"/>
              </w:rPr>
            </w:pPr>
            <w:r>
              <w:rPr>
                <w:rFonts w:ascii="Arial" w:cs="Arial" w:eastAsia="Arial" w:hAnsi="Arial"/>
                <w:sz w:val="18"/>
                <w:szCs w:val="18"/>
                <w:color w:val="auto"/>
              </w:rPr>
              <w:t>Write off of deferred financing costs and debt discount</w:t>
            </w:r>
          </w:p>
        </w:tc>
        <w:tc>
          <w:tcPr>
            <w:tcW w:w="3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20,415</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(20,415)</w:t>
            </w:r>
          </w:p>
        </w:tc>
        <w:tc>
          <w:tcPr>
            <w:tcW w:w="0" w:type="dxa"/>
            <w:vAlign w:val="bottom"/>
          </w:tcPr>
          <w:p>
            <w:pPr>
              <w:spacing w:after="0"/>
              <w:rPr>
                <w:sz w:val="1"/>
                <w:szCs w:val="1"/>
                <w:color w:val="auto"/>
              </w:rPr>
            </w:pPr>
          </w:p>
        </w:tc>
      </w:tr>
      <w:tr>
        <w:trPr>
          <w:trHeight w:val="229"/>
        </w:trPr>
        <w:tc>
          <w:tcPr>
            <w:tcW w:w="6440" w:type="dxa"/>
            <w:vAlign w:val="bottom"/>
            <w:gridSpan w:val="3"/>
            <w:shd w:val="clear" w:color="auto" w:fill="CFF0FC"/>
          </w:tcPr>
          <w:p>
            <w:pPr>
              <w:ind w:left="380"/>
              <w:spacing w:after="0"/>
              <w:rPr>
                <w:sz w:val="20"/>
                <w:szCs w:val="20"/>
                <w:color w:val="auto"/>
              </w:rPr>
            </w:pPr>
            <w:r>
              <w:rPr>
                <w:rFonts w:ascii="Arial" w:cs="Arial" w:eastAsia="Arial" w:hAnsi="Arial"/>
                <w:sz w:val="18"/>
                <w:szCs w:val="18"/>
                <w:color w:val="auto"/>
              </w:rPr>
              <w:t>Accretion of settlement payable</w:t>
            </w: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2,876</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4,563</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(1,687)</w:t>
            </w:r>
          </w:p>
        </w:tc>
        <w:tc>
          <w:tcPr>
            <w:tcW w:w="0" w:type="dxa"/>
            <w:vAlign w:val="bottom"/>
          </w:tcPr>
          <w:p>
            <w:pPr>
              <w:spacing w:after="0"/>
              <w:rPr>
                <w:sz w:val="1"/>
                <w:szCs w:val="1"/>
                <w:color w:val="auto"/>
              </w:rPr>
            </w:pPr>
          </w:p>
        </w:tc>
      </w:tr>
      <w:tr>
        <w:trPr>
          <w:trHeight w:val="230"/>
        </w:trPr>
        <w:tc>
          <w:tcPr>
            <w:tcW w:w="6440" w:type="dxa"/>
            <w:vAlign w:val="bottom"/>
            <w:gridSpan w:val="3"/>
          </w:tcPr>
          <w:p>
            <w:pPr>
              <w:ind w:left="380"/>
              <w:spacing w:after="0"/>
              <w:rPr>
                <w:sz w:val="20"/>
                <w:szCs w:val="20"/>
                <w:color w:val="auto"/>
              </w:rPr>
            </w:pPr>
            <w:r>
              <w:rPr>
                <w:rFonts w:ascii="Arial" w:cs="Arial" w:eastAsia="Arial" w:hAnsi="Arial"/>
                <w:sz w:val="18"/>
                <w:szCs w:val="18"/>
                <w:color w:val="auto"/>
              </w:rPr>
              <w:t>Capitalized Interest</w:t>
            </w:r>
          </w:p>
        </w:tc>
        <w:tc>
          <w:tcPr>
            <w:tcW w:w="320" w:type="dxa"/>
            <w:vAlign w:val="bottom"/>
          </w:tcPr>
          <w:p>
            <w:pPr>
              <w:spacing w:after="0"/>
              <w:rPr>
                <w:sz w:val="19"/>
                <w:szCs w:val="19"/>
                <w:color w:val="auto"/>
              </w:rPr>
            </w:pPr>
          </w:p>
        </w:tc>
        <w:tc>
          <w:tcPr>
            <w:tcW w:w="1300" w:type="dxa"/>
            <w:vAlign w:val="bottom"/>
            <w:gridSpan w:val="2"/>
          </w:tcPr>
          <w:p>
            <w:pPr>
              <w:jc w:val="right"/>
              <w:ind w:right="100"/>
              <w:spacing w:after="0"/>
              <w:rPr>
                <w:sz w:val="20"/>
                <w:szCs w:val="20"/>
                <w:color w:val="auto"/>
              </w:rPr>
            </w:pPr>
            <w:r>
              <w:rPr>
                <w:rFonts w:ascii="Arial" w:cs="Arial" w:eastAsia="Arial" w:hAnsi="Arial"/>
                <w:sz w:val="18"/>
                <w:szCs w:val="18"/>
                <w:color w:val="auto"/>
              </w:rPr>
              <w:t>(60)</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40" w:type="dxa"/>
            <w:vAlign w:val="bottom"/>
            <w:gridSpan w:val="2"/>
          </w:tcPr>
          <w:p>
            <w:pPr>
              <w:jc w:val="right"/>
              <w:ind w:right="240"/>
              <w:spacing w:after="0"/>
              <w:rPr>
                <w:sz w:val="20"/>
                <w:szCs w:val="20"/>
                <w:color w:val="auto"/>
              </w:rPr>
            </w:pPr>
            <w:r>
              <w:rPr>
                <w:rFonts w:ascii="Arial" w:cs="Arial" w:eastAsia="Arial" w:hAnsi="Arial"/>
                <w:sz w:val="18"/>
                <w:szCs w:val="18"/>
                <w:color w:val="auto"/>
              </w:rPr>
              <w:t>(403)</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343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440" w:type="dxa"/>
            <w:vAlign w:val="bottom"/>
            <w:tcBorders>
              <w:top w:val="single" w:sz="8" w:color="CFF0FC"/>
            </w:tcBorders>
            <w:gridSpan w:val="3"/>
            <w:shd w:val="clear" w:color="auto" w:fill="CFF0FC"/>
          </w:tcPr>
          <w:p>
            <w:pPr>
              <w:ind w:left="500"/>
              <w:spacing w:after="0"/>
              <w:rPr>
                <w:sz w:val="20"/>
                <w:szCs w:val="20"/>
                <w:color w:val="auto"/>
              </w:rPr>
            </w:pPr>
            <w:r>
              <w:rPr>
                <w:rFonts w:ascii="Arial" w:cs="Arial" w:eastAsia="Arial" w:hAnsi="Arial"/>
                <w:sz w:val="18"/>
                <w:szCs w:val="18"/>
                <w:color w:val="auto"/>
              </w:rPr>
              <w:t>Total non-cash interest</w:t>
            </w:r>
          </w:p>
        </w:tc>
        <w:tc>
          <w:tcPr>
            <w:tcW w:w="320" w:type="dxa"/>
            <w:vAlign w:val="bottom"/>
            <w:tcBorders>
              <w:top w:val="single" w:sz="8" w:color="auto"/>
              <w:bottom w:val="single" w:sz="8" w:color="auto"/>
            </w:tcBorders>
            <w:shd w:val="clear" w:color="auto" w:fill="CFF0FC"/>
          </w:tcPr>
          <w:p>
            <w:pPr>
              <w:spacing w:after="0"/>
              <w:rPr>
                <w:sz w:val="19"/>
                <w:szCs w:val="19"/>
                <w:color w:val="auto"/>
              </w:rPr>
            </w:pPr>
          </w:p>
        </w:tc>
        <w:tc>
          <w:tcPr>
            <w:tcW w:w="1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7,330</w:t>
            </w:r>
          </w:p>
        </w:tc>
        <w:tc>
          <w:tcPr>
            <w:tcW w:w="16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bottom w:val="single" w:sz="8" w:color="auto"/>
            </w:tcBorders>
            <w:shd w:val="clear" w:color="auto" w:fill="CFF0FC"/>
          </w:tcPr>
          <w:p>
            <w:pPr>
              <w:spacing w:after="0"/>
              <w:rPr>
                <w:sz w:val="19"/>
                <w:szCs w:val="19"/>
                <w:color w:val="auto"/>
              </w:rPr>
            </w:pPr>
          </w:p>
        </w:tc>
        <w:tc>
          <w:tcPr>
            <w:tcW w:w="1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29,534</w:t>
            </w:r>
          </w:p>
        </w:tc>
        <w:tc>
          <w:tcPr>
            <w:tcW w:w="3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spacing w:after="0"/>
              <w:rPr>
                <w:sz w:val="19"/>
                <w:szCs w:val="19"/>
                <w:color w:val="auto"/>
              </w:rPr>
            </w:pP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(22,204)</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440" w:type="dxa"/>
            <w:vAlign w:val="bottom"/>
            <w:gridSpan w:val="3"/>
          </w:tcPr>
          <w:p>
            <w:pPr>
              <w:ind w:left="620"/>
              <w:spacing w:after="0"/>
              <w:rPr>
                <w:sz w:val="20"/>
                <w:szCs w:val="20"/>
                <w:color w:val="auto"/>
              </w:rPr>
            </w:pPr>
            <w:r>
              <w:rPr>
                <w:rFonts w:ascii="Arial" w:cs="Arial" w:eastAsia="Arial" w:hAnsi="Arial"/>
                <w:sz w:val="18"/>
                <w:szCs w:val="18"/>
                <w:color w:val="auto"/>
              </w:rPr>
              <w:t>Total interest expense, net</w:t>
            </w:r>
          </w:p>
        </w:tc>
        <w:tc>
          <w:tcPr>
            <w:tcW w:w="320" w:type="dxa"/>
            <w:vAlign w:val="bottom"/>
            <w:tcBorders>
              <w:bottom w:val="single" w:sz="8" w:color="auto"/>
            </w:tcBorders>
          </w:tcPr>
          <w:p>
            <w:pPr>
              <w:jc w:val="right"/>
              <w:ind w:right="167"/>
              <w:spacing w:after="0"/>
              <w:rPr>
                <w:sz w:val="20"/>
                <w:szCs w:val="20"/>
                <w:color w:val="auto"/>
              </w:rPr>
            </w:pPr>
            <w:r>
              <w:rPr>
                <w:rFonts w:ascii="Arial" w:cs="Arial" w:eastAsia="Arial" w:hAnsi="Arial"/>
                <w:sz w:val="15"/>
                <w:szCs w:val="15"/>
                <w:color w:val="auto"/>
                <w:w w:val="71"/>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96,172</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Borders>
              <w:bottom w:val="single" w:sz="8" w:color="auto"/>
            </w:tcBorders>
          </w:tcPr>
          <w:p>
            <w:pPr>
              <w:jc w:val="right"/>
              <w:ind w:right="167"/>
              <w:spacing w:after="0"/>
              <w:rPr>
                <w:sz w:val="20"/>
                <w:szCs w:val="20"/>
                <w:color w:val="auto"/>
              </w:rPr>
            </w:pPr>
            <w:r>
              <w:rPr>
                <w:rFonts w:ascii="Arial" w:cs="Arial" w:eastAsia="Arial" w:hAnsi="Arial"/>
                <w:sz w:val="15"/>
                <w:szCs w:val="15"/>
                <w:color w:val="auto"/>
                <w:w w:val="71"/>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140,581</w:t>
            </w:r>
          </w:p>
        </w:tc>
        <w:tc>
          <w:tcPr>
            <w:tcW w:w="30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(44,409)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280" w:type="dxa"/>
            <w:vAlign w:val="bottom"/>
          </w:tcPr>
          <w:p>
            <w:pPr>
              <w:spacing w:after="0" w:line="20" w:lineRule="exact"/>
              <w:rPr>
                <w:sz w:val="1"/>
                <w:szCs w:val="1"/>
                <w:color w:val="auto"/>
              </w:rPr>
            </w:pPr>
          </w:p>
        </w:tc>
        <w:tc>
          <w:tcPr>
            <w:tcW w:w="49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31"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Interest expense for the three months ended March 31, 2022 decreased $44.4 million compared to the three months ended March 31, 2021. The decrease is primarily due to the February 2, 2021 issuance of $1.11 billion aggregate principal amount of 6.50% Senior Unsecured Notes due 2029 (the “2029 Notes”) used to fund the redemption of the 8.25% Senior Unsecured Notes due 2023 (the “2023 Notes”) which resulted in a $17.6 million tender premium payment and the $20.4 million write off of deferred financing costs and debt discount during the three months ended March 31, 2021 and reduced cash interest of $2.5 million for the three months ended March 31, 2022.</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760" w:type="dxa"/>
            <w:vAlign w:val="bottom"/>
          </w:tcPr>
          <w:p>
            <w:pPr>
              <w:spacing w:after="0"/>
              <w:rPr>
                <w:sz w:val="20"/>
                <w:szCs w:val="20"/>
                <w:color w:val="auto"/>
              </w:rPr>
            </w:pPr>
            <w:r>
              <w:rPr>
                <w:rFonts w:ascii="Arial" w:cs="Arial" w:eastAsia="Arial" w:hAnsi="Arial"/>
                <w:sz w:val="18"/>
                <w:szCs w:val="18"/>
                <w:b w:val="1"/>
                <w:bCs w:val="1"/>
                <w:i w:val="1"/>
                <w:iCs w:val="1"/>
                <w:color w:val="auto"/>
              </w:rPr>
              <w:t>Depreciation and Amortization Expense</w:t>
            </w:r>
          </w:p>
        </w:tc>
        <w:tc>
          <w:tcPr>
            <w:tcW w:w="15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72"/>
        </w:trPr>
        <w:tc>
          <w:tcPr>
            <w:tcW w:w="47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3300" w:type="dxa"/>
            <w:vAlign w:val="bottom"/>
            <w:tcBorders>
              <w:bottom w:val="single" w:sz="8" w:color="auto"/>
            </w:tcBorders>
            <w:gridSpan w:val="7"/>
          </w:tcPr>
          <w:p>
            <w:pPr>
              <w:jc w:val="right"/>
              <w:spacing w:after="0"/>
              <w:rPr>
                <w:sz w:val="20"/>
                <w:szCs w:val="20"/>
                <w:color w:val="auto"/>
              </w:rPr>
            </w:pPr>
            <w:r>
              <w:rPr>
                <w:rFonts w:ascii="Arial" w:cs="Arial" w:eastAsia="Arial" w:hAnsi="Arial"/>
                <w:sz w:val="18"/>
                <w:szCs w:val="18"/>
                <w:b w:val="1"/>
                <w:bCs w:val="1"/>
                <w:color w:val="auto"/>
              </w:rPr>
              <w:t>Three Months Ended March 31,</w:t>
            </w:r>
          </w:p>
        </w:tc>
        <w:tc>
          <w:tcPr>
            <w:tcW w:w="106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4760" w:type="dxa"/>
            <w:vAlign w:val="bottom"/>
          </w:tcPr>
          <w:p>
            <w:pPr>
              <w:spacing w:after="0"/>
              <w:rPr>
                <w:sz w:val="17"/>
                <w:szCs w:val="17"/>
                <w:color w:val="auto"/>
              </w:rPr>
            </w:pPr>
          </w:p>
        </w:tc>
        <w:tc>
          <w:tcPr>
            <w:tcW w:w="15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tcPr>
          <w:p>
            <w:pPr>
              <w:jc w:val="right"/>
              <w:ind w:right="150"/>
              <w:spacing w:after="0" w:line="205" w:lineRule="exact"/>
              <w:rPr>
                <w:sz w:val="20"/>
                <w:szCs w:val="20"/>
                <w:color w:val="auto"/>
              </w:rPr>
            </w:pPr>
            <w:r>
              <w:rPr>
                <w:rFonts w:ascii="Arial" w:cs="Arial" w:eastAsia="Arial" w:hAnsi="Arial"/>
                <w:sz w:val="18"/>
                <w:szCs w:val="18"/>
                <w:b w:val="1"/>
                <w:bCs w:val="1"/>
                <w:color w:val="auto"/>
                <w:w w:val="96"/>
              </w:rPr>
              <w:t>Increase /</w:t>
            </w: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4760" w:type="dxa"/>
            <w:vAlign w:val="bottom"/>
          </w:tcPr>
          <w:p>
            <w:pPr>
              <w:spacing w:after="0"/>
              <w:rPr>
                <w:sz w:val="20"/>
                <w:szCs w:val="20"/>
                <w:color w:val="auto"/>
              </w:rPr>
            </w:pPr>
            <w:r>
              <w:rPr>
                <w:rFonts w:ascii="Arial" w:cs="Arial" w:eastAsia="Arial" w:hAnsi="Arial"/>
                <w:sz w:val="18"/>
                <w:szCs w:val="18"/>
                <w:color w:val="auto"/>
              </w:rPr>
              <w:t>(Thousands)</w:t>
            </w:r>
          </w:p>
        </w:tc>
        <w:tc>
          <w:tcPr>
            <w:tcW w:w="15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2022</w:t>
            </w:r>
          </w:p>
        </w:tc>
        <w:tc>
          <w:tcPr>
            <w:tcW w:w="2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Arial" w:cs="Arial" w:eastAsia="Arial" w:hAnsi="Arial"/>
                <w:sz w:val="18"/>
                <w:szCs w:val="18"/>
                <w:b w:val="1"/>
                <w:bCs w:val="1"/>
                <w:color w:val="auto"/>
              </w:rPr>
              <w:t>2021</w:t>
            </w: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8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w w:val="91"/>
              </w:rPr>
              <w:t>(Decrease)</w:t>
            </w:r>
          </w:p>
        </w:tc>
        <w:tc>
          <w:tcPr>
            <w:tcW w:w="0" w:type="dxa"/>
            <w:vAlign w:val="bottom"/>
          </w:tcPr>
          <w:p>
            <w:pPr>
              <w:spacing w:after="0"/>
              <w:rPr>
                <w:sz w:val="1"/>
                <w:szCs w:val="1"/>
                <w:color w:val="auto"/>
              </w:rPr>
            </w:pPr>
          </w:p>
        </w:tc>
      </w:tr>
      <w:tr>
        <w:trPr>
          <w:trHeight w:val="223"/>
        </w:trPr>
        <w:tc>
          <w:tcPr>
            <w:tcW w:w="476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Depreciation and amortization expense by segment:</w:t>
            </w:r>
          </w:p>
        </w:tc>
        <w:tc>
          <w:tcPr>
            <w:tcW w:w="150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spacing w:after="0"/>
              <w:rPr>
                <w:sz w:val="19"/>
                <w:szCs w:val="19"/>
                <w:color w:val="auto"/>
              </w:rPr>
            </w:pPr>
          </w:p>
        </w:tc>
        <w:tc>
          <w:tcPr>
            <w:tcW w:w="1140" w:type="dxa"/>
            <w:vAlign w:val="bottom"/>
            <w:tcBorders>
              <w:top w:val="single" w:sz="8" w:color="auto"/>
            </w:tcBorders>
            <w:shd w:val="clear" w:color="auto" w:fill="CFF0FC"/>
          </w:tcPr>
          <w:p>
            <w:pPr>
              <w:spacing w:after="0"/>
              <w:rPr>
                <w:sz w:val="19"/>
                <w:szCs w:val="19"/>
                <w:color w:val="auto"/>
              </w:rPr>
            </w:pPr>
          </w:p>
        </w:tc>
        <w:tc>
          <w:tcPr>
            <w:tcW w:w="28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spacing w:after="0"/>
              <w:rPr>
                <w:sz w:val="19"/>
                <w:szCs w:val="19"/>
                <w:color w:val="auto"/>
              </w:rPr>
            </w:pPr>
          </w:p>
        </w:tc>
        <w:tc>
          <w:tcPr>
            <w:tcW w:w="114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06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760" w:type="dxa"/>
            <w:vAlign w:val="bottom"/>
          </w:tcPr>
          <w:p>
            <w:pPr>
              <w:ind w:left="260"/>
              <w:spacing w:after="0"/>
              <w:rPr>
                <w:sz w:val="20"/>
                <w:szCs w:val="20"/>
                <w:color w:val="auto"/>
              </w:rPr>
            </w:pPr>
            <w:r>
              <w:rPr>
                <w:rFonts w:ascii="Arial" w:cs="Arial" w:eastAsia="Arial" w:hAnsi="Arial"/>
                <w:sz w:val="18"/>
                <w:szCs w:val="18"/>
                <w:color w:val="auto"/>
              </w:rPr>
              <w:t>Depreciation expense</w:t>
            </w:r>
          </w:p>
        </w:tc>
        <w:tc>
          <w:tcPr>
            <w:tcW w:w="15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760" w:type="dxa"/>
            <w:vAlign w:val="bottom"/>
            <w:shd w:val="clear" w:color="auto" w:fill="CFF0FC"/>
          </w:tcPr>
          <w:p>
            <w:pPr>
              <w:ind w:left="380"/>
              <w:spacing w:after="0"/>
              <w:rPr>
                <w:sz w:val="20"/>
                <w:szCs w:val="20"/>
                <w:color w:val="auto"/>
              </w:rPr>
            </w:pPr>
            <w:r>
              <w:rPr>
                <w:rFonts w:ascii="Arial" w:cs="Arial" w:eastAsia="Arial" w:hAnsi="Arial"/>
                <w:sz w:val="18"/>
                <w:szCs w:val="18"/>
                <w:color w:val="auto"/>
              </w:rPr>
              <w:t>Leasing</w:t>
            </w:r>
          </w:p>
        </w:tc>
        <w:tc>
          <w:tcPr>
            <w:tcW w:w="2000" w:type="dxa"/>
            <w:vAlign w:val="bottom"/>
            <w:gridSpan w:val="3"/>
            <w:shd w:val="clear" w:color="auto" w:fill="CFF0FC"/>
          </w:tcPr>
          <w:p>
            <w:pPr>
              <w:jc w:val="right"/>
              <w:ind w:right="167"/>
              <w:spacing w:after="0"/>
              <w:rPr>
                <w:sz w:val="20"/>
                <w:szCs w:val="20"/>
                <w:color w:val="auto"/>
              </w:rPr>
            </w:pPr>
            <w:r>
              <w:rPr>
                <w:rFonts w:ascii="Arial" w:cs="Arial" w:eastAsia="Arial" w:hAnsi="Arial"/>
                <w:sz w:val="18"/>
                <w:szCs w:val="18"/>
                <w:color w:val="auto"/>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40,372</w:t>
            </w:r>
          </w:p>
        </w:tc>
        <w:tc>
          <w:tcPr>
            <w:tcW w:w="600" w:type="dxa"/>
            <w:vAlign w:val="bottom"/>
            <w:gridSpan w:val="2"/>
            <w:shd w:val="clear" w:color="auto" w:fill="CFF0FC"/>
          </w:tcPr>
          <w:p>
            <w:pPr>
              <w:jc w:val="right"/>
              <w:ind w:right="167"/>
              <w:spacing w:after="0"/>
              <w:rPr>
                <w:sz w:val="20"/>
                <w:szCs w:val="20"/>
                <w:color w:val="auto"/>
              </w:rPr>
            </w:pPr>
            <w:r>
              <w:rPr>
                <w:rFonts w:ascii="Arial" w:cs="Arial" w:eastAsia="Arial" w:hAnsi="Arial"/>
                <w:sz w:val="18"/>
                <w:szCs w:val="18"/>
                <w:color w:val="auto"/>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43,170</w:t>
            </w:r>
          </w:p>
        </w:tc>
        <w:tc>
          <w:tcPr>
            <w:tcW w:w="180" w:type="dxa"/>
            <w:vAlign w:val="bottom"/>
            <w:shd w:val="clear" w:color="auto" w:fill="CFF0FC"/>
          </w:tcPr>
          <w:p>
            <w:pPr>
              <w:spacing w:after="0"/>
              <w:rPr>
                <w:sz w:val="19"/>
                <w:szCs w:val="19"/>
                <w:color w:val="auto"/>
              </w:rPr>
            </w:pPr>
          </w:p>
        </w:tc>
        <w:tc>
          <w:tcPr>
            <w:tcW w:w="2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(2,798)</w:t>
            </w:r>
          </w:p>
        </w:tc>
        <w:tc>
          <w:tcPr>
            <w:tcW w:w="0" w:type="dxa"/>
            <w:vAlign w:val="bottom"/>
          </w:tcPr>
          <w:p>
            <w:pPr>
              <w:spacing w:after="0"/>
              <w:rPr>
                <w:sz w:val="1"/>
                <w:szCs w:val="1"/>
                <w:color w:val="auto"/>
              </w:rPr>
            </w:pPr>
          </w:p>
        </w:tc>
      </w:tr>
      <w:tr>
        <w:trPr>
          <w:trHeight w:val="229"/>
        </w:trPr>
        <w:tc>
          <w:tcPr>
            <w:tcW w:w="4760" w:type="dxa"/>
            <w:vAlign w:val="bottom"/>
          </w:tcPr>
          <w:p>
            <w:pPr>
              <w:ind w:left="380"/>
              <w:spacing w:after="0"/>
              <w:rPr>
                <w:sz w:val="20"/>
                <w:szCs w:val="20"/>
                <w:color w:val="auto"/>
              </w:rPr>
            </w:pPr>
            <w:r>
              <w:rPr>
                <w:rFonts w:ascii="Arial" w:cs="Arial" w:eastAsia="Arial" w:hAnsi="Arial"/>
                <w:sz w:val="18"/>
                <w:szCs w:val="18"/>
                <w:color w:val="auto"/>
              </w:rPr>
              <w:t>Fiber Infrastructure</w:t>
            </w:r>
          </w:p>
        </w:tc>
        <w:tc>
          <w:tcPr>
            <w:tcW w:w="15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23,602</w:t>
            </w:r>
          </w:p>
        </w:tc>
        <w:tc>
          <w:tcPr>
            <w:tcW w:w="2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22,952</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650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760" w:type="dxa"/>
            <w:vAlign w:val="bottom"/>
            <w:shd w:val="clear" w:color="auto" w:fill="CFF0FC"/>
          </w:tcPr>
          <w:p>
            <w:pPr>
              <w:ind w:left="380"/>
              <w:spacing w:after="0"/>
              <w:rPr>
                <w:sz w:val="20"/>
                <w:szCs w:val="20"/>
                <w:color w:val="auto"/>
              </w:rPr>
            </w:pPr>
            <w:r>
              <w:rPr>
                <w:rFonts w:ascii="Arial" w:cs="Arial" w:eastAsia="Arial" w:hAnsi="Arial"/>
                <w:sz w:val="18"/>
                <w:szCs w:val="18"/>
                <w:color w:val="auto"/>
              </w:rPr>
              <w:t>Corporate</w:t>
            </w:r>
          </w:p>
        </w:tc>
        <w:tc>
          <w:tcPr>
            <w:tcW w:w="15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w:t>
            </w:r>
          </w:p>
        </w:tc>
        <w:tc>
          <w:tcPr>
            <w:tcW w:w="2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68</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223"/>
        </w:trPr>
        <w:tc>
          <w:tcPr>
            <w:tcW w:w="4760" w:type="dxa"/>
            <w:vAlign w:val="bottom"/>
          </w:tcPr>
          <w:p>
            <w:pPr>
              <w:ind w:left="260"/>
              <w:spacing w:after="0"/>
              <w:rPr>
                <w:sz w:val="20"/>
                <w:szCs w:val="20"/>
                <w:color w:val="auto"/>
              </w:rPr>
            </w:pPr>
            <w:r>
              <w:rPr>
                <w:rFonts w:ascii="Arial" w:cs="Arial" w:eastAsia="Arial" w:hAnsi="Arial"/>
                <w:sz w:val="18"/>
                <w:szCs w:val="18"/>
                <w:color w:val="auto"/>
              </w:rPr>
              <w:t>Total depreciation expense</w:t>
            </w:r>
          </w:p>
        </w:tc>
        <w:tc>
          <w:tcPr>
            <w:tcW w:w="15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64,010</w:t>
            </w:r>
          </w:p>
        </w:tc>
        <w:tc>
          <w:tcPr>
            <w:tcW w:w="280" w:type="dxa"/>
            <w:vAlign w:val="bottom"/>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66,190</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(2,180)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7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Amortization expense</w:t>
            </w:r>
          </w:p>
        </w:tc>
        <w:tc>
          <w:tcPr>
            <w:tcW w:w="15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760" w:type="dxa"/>
            <w:vAlign w:val="bottom"/>
          </w:tcPr>
          <w:p>
            <w:pPr>
              <w:ind w:left="380"/>
              <w:spacing w:after="0"/>
              <w:rPr>
                <w:sz w:val="20"/>
                <w:szCs w:val="20"/>
                <w:color w:val="auto"/>
              </w:rPr>
            </w:pPr>
            <w:r>
              <w:rPr>
                <w:rFonts w:ascii="Arial" w:cs="Arial" w:eastAsia="Arial" w:hAnsi="Arial"/>
                <w:sz w:val="18"/>
                <w:szCs w:val="18"/>
                <w:color w:val="auto"/>
              </w:rPr>
              <w:t>Leasing</w:t>
            </w:r>
          </w:p>
        </w:tc>
        <w:tc>
          <w:tcPr>
            <w:tcW w:w="15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1,730</w:t>
            </w:r>
          </w:p>
        </w:tc>
        <w:tc>
          <w:tcPr>
            <w:tcW w:w="2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320" w:type="dxa"/>
            <w:vAlign w:val="bottom"/>
            <w:gridSpan w:val="2"/>
          </w:tcPr>
          <w:p>
            <w:pPr>
              <w:jc w:val="right"/>
              <w:ind w:right="120"/>
              <w:spacing w:after="0"/>
              <w:rPr>
                <w:sz w:val="20"/>
                <w:szCs w:val="20"/>
                <w:color w:val="auto"/>
              </w:rPr>
            </w:pPr>
            <w:r>
              <w:rPr>
                <w:rFonts w:ascii="Arial" w:cs="Arial" w:eastAsia="Arial" w:hAnsi="Arial"/>
                <w:sz w:val="18"/>
                <w:szCs w:val="18"/>
                <w:color w:val="auto"/>
              </w:rPr>
              <w:t>(944)</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2,674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760" w:type="dxa"/>
            <w:vAlign w:val="bottom"/>
            <w:shd w:val="clear" w:color="auto" w:fill="CFF0FC"/>
          </w:tcPr>
          <w:p>
            <w:pPr>
              <w:ind w:left="380"/>
              <w:spacing w:after="0"/>
              <w:rPr>
                <w:sz w:val="20"/>
                <w:szCs w:val="20"/>
                <w:color w:val="auto"/>
              </w:rPr>
            </w:pPr>
            <w:r>
              <w:rPr>
                <w:rFonts w:ascii="Arial" w:cs="Arial" w:eastAsia="Arial" w:hAnsi="Arial"/>
                <w:sz w:val="18"/>
                <w:szCs w:val="18"/>
                <w:color w:val="auto"/>
              </w:rPr>
              <w:t>Fiber Infrastructure</w:t>
            </w:r>
          </w:p>
        </w:tc>
        <w:tc>
          <w:tcPr>
            <w:tcW w:w="15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5,717</w:t>
            </w:r>
          </w:p>
        </w:tc>
        <w:tc>
          <w:tcPr>
            <w:tcW w:w="28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5,718</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23"/>
        </w:trPr>
        <w:tc>
          <w:tcPr>
            <w:tcW w:w="476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Total amortization expense</w:t>
            </w:r>
          </w:p>
        </w:tc>
        <w:tc>
          <w:tcPr>
            <w:tcW w:w="1500" w:type="dxa"/>
            <w:vAlign w:val="bottom"/>
            <w:tcBorders>
              <w:bottom w:val="single" w:sz="8" w:color="CFF0FC"/>
            </w:tcBorders>
          </w:tcPr>
          <w:p>
            <w:pPr>
              <w:spacing w:after="0"/>
              <w:rPr>
                <w:sz w:val="19"/>
                <w:szCs w:val="19"/>
                <w:color w:val="auto"/>
              </w:rPr>
            </w:pPr>
          </w:p>
        </w:tc>
        <w:tc>
          <w:tcPr>
            <w:tcW w:w="180" w:type="dxa"/>
            <w:vAlign w:val="bottom"/>
            <w:tcBorders>
              <w:bottom w:val="single" w:sz="8" w:color="CFF0FC"/>
            </w:tcBorders>
          </w:tcPr>
          <w:p>
            <w:pPr>
              <w:spacing w:after="0"/>
              <w:rPr>
                <w:sz w:val="19"/>
                <w:szCs w:val="19"/>
                <w:color w:val="auto"/>
              </w:rPr>
            </w:pPr>
          </w:p>
        </w:tc>
        <w:tc>
          <w:tcPr>
            <w:tcW w:w="320" w:type="dxa"/>
            <w:vAlign w:val="bottom"/>
            <w:tcBorders>
              <w:top w:val="single" w:sz="8" w:color="auto"/>
              <w:bottom w:val="single" w:sz="8" w:color="auto"/>
            </w:tcBorders>
          </w:tcPr>
          <w:p>
            <w:pPr>
              <w:spacing w:after="0"/>
              <w:rPr>
                <w:sz w:val="19"/>
                <w:szCs w:val="19"/>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7,447</w:t>
            </w:r>
          </w:p>
        </w:tc>
        <w:tc>
          <w:tcPr>
            <w:tcW w:w="280" w:type="dxa"/>
            <w:vAlign w:val="bottom"/>
            <w:tcBorders>
              <w:bottom w:val="single" w:sz="8" w:color="CFF0FC"/>
            </w:tcBorders>
          </w:tcPr>
          <w:p>
            <w:pPr>
              <w:spacing w:after="0"/>
              <w:rPr>
                <w:sz w:val="19"/>
                <w:szCs w:val="19"/>
                <w:color w:val="auto"/>
              </w:rPr>
            </w:pPr>
          </w:p>
        </w:tc>
        <w:tc>
          <w:tcPr>
            <w:tcW w:w="320" w:type="dxa"/>
            <w:vAlign w:val="bottom"/>
            <w:tcBorders>
              <w:top w:val="single" w:sz="8" w:color="auto"/>
              <w:bottom w:val="single" w:sz="8" w:color="auto"/>
            </w:tcBorders>
          </w:tcPr>
          <w:p>
            <w:pPr>
              <w:spacing w:after="0"/>
              <w:rPr>
                <w:sz w:val="19"/>
                <w:szCs w:val="19"/>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4,774</w:t>
            </w:r>
          </w:p>
        </w:tc>
        <w:tc>
          <w:tcPr>
            <w:tcW w:w="18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2,673</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7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depreciation and amortization expense</w:t>
            </w:r>
          </w:p>
        </w:tc>
        <w:tc>
          <w:tcPr>
            <w:tcW w:w="1500" w:type="dxa"/>
            <w:vAlign w:val="bottom"/>
            <w:tcBorders>
              <w:bottom w:val="single" w:sz="8" w:color="CFF0FC"/>
            </w:tcBorders>
            <w:shd w:val="clear" w:color="auto" w:fill="CFF0FC"/>
          </w:tcPr>
          <w:p>
            <w:pPr>
              <w:spacing w:after="0"/>
              <w:rPr>
                <w:sz w:val="19"/>
                <w:szCs w:val="19"/>
                <w:color w:val="auto"/>
              </w:rPr>
            </w:pPr>
          </w:p>
        </w:tc>
        <w:tc>
          <w:tcPr>
            <w:tcW w:w="180" w:type="dxa"/>
            <w:vAlign w:val="bottom"/>
            <w:tcBorders>
              <w:bottom w:val="single" w:sz="8" w:color="CFF0FC"/>
            </w:tcBorders>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jc w:val="right"/>
              <w:ind w:right="167"/>
              <w:spacing w:after="0"/>
              <w:rPr>
                <w:sz w:val="20"/>
                <w:szCs w:val="20"/>
                <w:color w:val="auto"/>
              </w:rPr>
            </w:pPr>
            <w:r>
              <w:rPr>
                <w:rFonts w:ascii="Arial" w:cs="Arial" w:eastAsia="Arial" w:hAnsi="Arial"/>
                <w:sz w:val="15"/>
                <w:szCs w:val="15"/>
                <w:color w:val="auto"/>
                <w:w w:val="71"/>
              </w:rPr>
              <w:t>$</w:t>
            </w:r>
          </w:p>
        </w:tc>
        <w:tc>
          <w:tcPr>
            <w:tcW w:w="1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71,457</w:t>
            </w:r>
          </w:p>
        </w:tc>
        <w:tc>
          <w:tcPr>
            <w:tcW w:w="280" w:type="dxa"/>
            <w:vAlign w:val="bottom"/>
            <w:tcBorders>
              <w:bottom w:val="single" w:sz="8" w:color="CFF0FC"/>
            </w:tcBorders>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jc w:val="right"/>
              <w:ind w:right="167"/>
              <w:spacing w:after="0"/>
              <w:rPr>
                <w:sz w:val="20"/>
                <w:szCs w:val="20"/>
                <w:color w:val="auto"/>
              </w:rPr>
            </w:pPr>
            <w:r>
              <w:rPr>
                <w:rFonts w:ascii="Arial" w:cs="Arial" w:eastAsia="Arial" w:hAnsi="Arial"/>
                <w:sz w:val="15"/>
                <w:szCs w:val="15"/>
                <w:color w:val="auto"/>
                <w:w w:val="71"/>
              </w:rPr>
              <w:t>$</w:t>
            </w:r>
          </w:p>
        </w:tc>
        <w:tc>
          <w:tcPr>
            <w:tcW w:w="1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70,964</w:t>
            </w:r>
          </w:p>
        </w:tc>
        <w:tc>
          <w:tcPr>
            <w:tcW w:w="180" w:type="dxa"/>
            <w:vAlign w:val="bottom"/>
            <w:tcBorders>
              <w:bottom w:val="single" w:sz="8" w:color="CFF0FC"/>
            </w:tcBorders>
            <w:shd w:val="clear" w:color="auto" w:fill="CFF0FC"/>
          </w:tcPr>
          <w:p>
            <w:pPr>
              <w:spacing w:after="0"/>
              <w:rPr>
                <w:sz w:val="19"/>
                <w:szCs w:val="19"/>
                <w:color w:val="auto"/>
              </w:rPr>
            </w:pPr>
          </w:p>
        </w:tc>
        <w:tc>
          <w:tcPr>
            <w:tcW w:w="120" w:type="dxa"/>
            <w:vAlign w:val="bottom"/>
            <w:tcBorders>
              <w:bottom w:val="single" w:sz="8" w:color="CFF0FC"/>
            </w:tcBorders>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493</w:t>
            </w:r>
          </w:p>
        </w:tc>
        <w:tc>
          <w:tcPr>
            <w:tcW w:w="12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760" w:type="dxa"/>
            <w:vAlign w:val="bottom"/>
          </w:tcPr>
          <w:p>
            <w:pPr>
              <w:spacing w:after="0" w:line="20" w:lineRule="exact"/>
              <w:rPr>
                <w:sz w:val="1"/>
                <w:szCs w:val="1"/>
                <w:color w:val="auto"/>
              </w:rPr>
            </w:pPr>
          </w:p>
        </w:tc>
        <w:tc>
          <w:tcPr>
            <w:tcW w:w="1500" w:type="dxa"/>
            <w:vAlign w:val="bottom"/>
            <w:vMerge w:val="restart"/>
          </w:tcPr>
          <w:p>
            <w:pPr>
              <w:jc w:val="right"/>
              <w:ind w:right="450"/>
              <w:spacing w:after="0"/>
              <w:rPr>
                <w:sz w:val="20"/>
                <w:szCs w:val="20"/>
                <w:color w:val="auto"/>
              </w:rPr>
            </w:pPr>
            <w:r>
              <w:rPr>
                <w:rFonts w:ascii="Arial" w:cs="Arial" w:eastAsia="Arial" w:hAnsi="Arial"/>
                <w:sz w:val="18"/>
                <w:szCs w:val="18"/>
                <w:color w:val="auto"/>
              </w:rPr>
              <w:t>34</w:t>
            </w:r>
          </w:p>
        </w:tc>
        <w:tc>
          <w:tcPr>
            <w:tcW w:w="1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5"/>
        </w:trPr>
        <w:tc>
          <w:tcPr>
            <w:tcW w:w="4760" w:type="dxa"/>
            <w:vAlign w:val="bottom"/>
          </w:tcPr>
          <w:p>
            <w:pPr>
              <w:spacing w:after="0"/>
              <w:rPr>
                <w:sz w:val="24"/>
                <w:szCs w:val="24"/>
                <w:color w:val="auto"/>
              </w:rPr>
            </w:pPr>
          </w:p>
        </w:tc>
        <w:tc>
          <w:tcPr>
            <w:tcW w:w="150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4760" w:type="dxa"/>
            <w:vAlign w:val="bottom"/>
            <w:tcBorders>
              <w:bottom w:val="single" w:sz="8" w:color="9A9A9A"/>
            </w:tcBorders>
          </w:tcPr>
          <w:p>
            <w:pPr>
              <w:spacing w:after="0"/>
              <w:rPr>
                <w:sz w:val="10"/>
                <w:szCs w:val="10"/>
                <w:color w:val="auto"/>
              </w:rPr>
            </w:pPr>
          </w:p>
        </w:tc>
        <w:tc>
          <w:tcPr>
            <w:tcW w:w="150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320" w:type="dxa"/>
            <w:vAlign w:val="bottom"/>
            <w:tcBorders>
              <w:bottom w:val="single" w:sz="8" w:color="9A9A9A"/>
            </w:tcBorders>
          </w:tcPr>
          <w:p>
            <w:pPr>
              <w:spacing w:after="0"/>
              <w:rPr>
                <w:sz w:val="10"/>
                <w:szCs w:val="10"/>
                <w:color w:val="auto"/>
              </w:rPr>
            </w:pPr>
          </w:p>
        </w:tc>
        <w:tc>
          <w:tcPr>
            <w:tcW w:w="1140" w:type="dxa"/>
            <w:vAlign w:val="bottom"/>
            <w:tcBorders>
              <w:bottom w:val="single" w:sz="8" w:color="9A9A9A"/>
            </w:tcBorders>
          </w:tcPr>
          <w:p>
            <w:pPr>
              <w:spacing w:after="0"/>
              <w:rPr>
                <w:sz w:val="10"/>
                <w:szCs w:val="10"/>
                <w:color w:val="auto"/>
              </w:rPr>
            </w:pPr>
          </w:p>
        </w:tc>
        <w:tc>
          <w:tcPr>
            <w:tcW w:w="280" w:type="dxa"/>
            <w:vAlign w:val="bottom"/>
            <w:tcBorders>
              <w:bottom w:val="single" w:sz="8" w:color="9A9A9A"/>
            </w:tcBorders>
          </w:tcPr>
          <w:p>
            <w:pPr>
              <w:spacing w:after="0"/>
              <w:rPr>
                <w:sz w:val="10"/>
                <w:szCs w:val="10"/>
                <w:color w:val="auto"/>
              </w:rPr>
            </w:pPr>
          </w:p>
        </w:tc>
        <w:tc>
          <w:tcPr>
            <w:tcW w:w="320" w:type="dxa"/>
            <w:vAlign w:val="bottom"/>
            <w:tcBorders>
              <w:bottom w:val="single" w:sz="8" w:color="9A9A9A"/>
            </w:tcBorders>
          </w:tcPr>
          <w:p>
            <w:pPr>
              <w:spacing w:after="0"/>
              <w:rPr>
                <w:sz w:val="10"/>
                <w:szCs w:val="10"/>
                <w:color w:val="auto"/>
              </w:rPr>
            </w:pPr>
          </w:p>
        </w:tc>
        <w:tc>
          <w:tcPr>
            <w:tcW w:w="114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06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34" w:name="page35"/>
    <w:bookmarkEnd w:id="3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right="180"/>
        <w:spacing w:after="0" w:line="257" w:lineRule="auto"/>
        <w:rPr>
          <w:sz w:val="20"/>
          <w:szCs w:val="20"/>
          <w:color w:val="auto"/>
        </w:rPr>
      </w:pPr>
      <w:r>
        <w:rPr>
          <w:rFonts w:ascii="Arial" w:cs="Arial" w:eastAsia="Arial" w:hAnsi="Arial"/>
          <w:sz w:val="18"/>
          <w:szCs w:val="18"/>
          <w:i w:val="1"/>
          <w:iCs w:val="1"/>
          <w:u w:val="single" w:color="auto"/>
          <w:color w:val="auto"/>
        </w:rPr>
        <w:t>Leasing</w:t>
      </w:r>
      <w:r>
        <w:rPr>
          <w:rFonts w:ascii="Arial" w:cs="Arial" w:eastAsia="Arial" w:hAnsi="Arial"/>
          <w:sz w:val="18"/>
          <w:szCs w:val="18"/>
          <w:i w:val="1"/>
          <w:iCs w:val="1"/>
          <w:color w:val="auto"/>
        </w:rPr>
        <w:t xml:space="preserve"> </w:t>
      </w:r>
      <w:r>
        <w:rPr>
          <w:rFonts w:ascii="Arial" w:cs="Arial" w:eastAsia="Arial" w:hAnsi="Arial"/>
          <w:sz w:val="18"/>
          <w:szCs w:val="18"/>
          <w:color w:val="auto"/>
        </w:rPr>
        <w:t>– Leasing depreciation expense decreased $2.8 million for the quarter ended March 31, 2022 as compared to the quarter ended March 31,</w:t>
      </w:r>
      <w:r>
        <w:rPr>
          <w:rFonts w:ascii="Arial" w:cs="Arial" w:eastAsia="Arial" w:hAnsi="Arial"/>
          <w:sz w:val="18"/>
          <w:szCs w:val="18"/>
          <w:i w:val="1"/>
          <w:iCs w:val="1"/>
          <w:color w:val="auto"/>
        </w:rPr>
        <w:t xml:space="preserve"> </w:t>
      </w:r>
      <w:r>
        <w:rPr>
          <w:rFonts w:ascii="Arial" w:cs="Arial" w:eastAsia="Arial" w:hAnsi="Arial"/>
          <w:sz w:val="18"/>
          <w:szCs w:val="18"/>
          <w:color w:val="auto"/>
        </w:rPr>
        <w:t>2021. The decrease is primarily attributable to a $3.1 million decrease related to the natural decrease in remaining useful life of the Windstream Distribution System assets which utilize the group composite depreciation method, partially offset by a $0.4 million increase in depreciation related to depreciable asset additions since March 31, 2021. During the three months ended March 31, 2021, $2.7 million was recorded as a benefit to amortization expense, and subsequently reclassified to revenue during the fourth quarter of 2021.</w:t>
      </w:r>
    </w:p>
    <w:p>
      <w:pPr>
        <w:spacing w:after="0" w:line="188" w:lineRule="exact"/>
        <w:rPr>
          <w:sz w:val="20"/>
          <w:szCs w:val="20"/>
          <w:color w:val="auto"/>
        </w:rPr>
      </w:pPr>
    </w:p>
    <w:p>
      <w:pPr>
        <w:ind w:right="300"/>
        <w:spacing w:after="0" w:line="263" w:lineRule="auto"/>
        <w:rPr>
          <w:sz w:val="20"/>
          <w:szCs w:val="20"/>
          <w:color w:val="auto"/>
        </w:rPr>
      </w:pPr>
      <w:r>
        <w:rPr>
          <w:rFonts w:ascii="Arial" w:cs="Arial" w:eastAsia="Arial" w:hAnsi="Arial"/>
          <w:sz w:val="18"/>
          <w:szCs w:val="18"/>
          <w:i w:val="1"/>
          <w:iCs w:val="1"/>
          <w:u w:val="single" w:color="auto"/>
          <w:color w:val="auto"/>
        </w:rPr>
        <w:t>Fiber Infrastructure</w:t>
      </w:r>
      <w:r>
        <w:rPr>
          <w:rFonts w:ascii="Arial" w:cs="Arial" w:eastAsia="Arial" w:hAnsi="Arial"/>
          <w:sz w:val="18"/>
          <w:szCs w:val="18"/>
          <w:i w:val="1"/>
          <w:iCs w:val="1"/>
          <w:color w:val="auto"/>
        </w:rPr>
        <w:t xml:space="preserve"> </w:t>
      </w:r>
      <w:r>
        <w:rPr>
          <w:rFonts w:ascii="Arial" w:cs="Arial" w:eastAsia="Arial" w:hAnsi="Arial"/>
          <w:sz w:val="18"/>
          <w:szCs w:val="18"/>
          <w:color w:val="auto"/>
        </w:rPr>
        <w:t>– Fiber Infrastructure depreciation expense increased $0.7 million for the quarter ended March 31, 2022 as compared to the quarter</w:t>
      </w:r>
      <w:r>
        <w:rPr>
          <w:rFonts w:ascii="Arial" w:cs="Arial" w:eastAsia="Arial" w:hAnsi="Arial"/>
          <w:sz w:val="18"/>
          <w:szCs w:val="18"/>
          <w:i w:val="1"/>
          <w:iCs w:val="1"/>
          <w:color w:val="auto"/>
        </w:rPr>
        <w:t xml:space="preserve"> </w:t>
      </w:r>
      <w:r>
        <w:rPr>
          <w:rFonts w:ascii="Arial" w:cs="Arial" w:eastAsia="Arial" w:hAnsi="Arial"/>
          <w:sz w:val="18"/>
          <w:szCs w:val="18"/>
          <w:color w:val="auto"/>
        </w:rPr>
        <w:t>ended March 31, 2021. The increase in depreciation expense is primarily attributable to depreciable asset additions since March 31, 2021, net of depreciation expenses due to fully depreciated assets and disposals.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w:t>
      </w:r>
    </w:p>
    <w:p>
      <w:pPr>
        <w:spacing w:after="0" w:line="225"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General and administrative expenses include compensation costs, including stock-based compensation awards, professional and legal services, corporate office costs and other costs associated with administrative activities of our segments.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4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3060" w:type="dxa"/>
            <w:vAlign w:val="bottom"/>
            <w:tcBorders>
              <w:bottom w:val="single" w:sz="8" w:color="auto"/>
            </w:tcBorders>
            <w:gridSpan w:val="7"/>
          </w:tcPr>
          <w:p>
            <w:pPr>
              <w:ind w:left="240"/>
              <w:spacing w:after="0"/>
              <w:rPr>
                <w:sz w:val="20"/>
                <w:szCs w:val="20"/>
                <w:color w:val="auto"/>
              </w:rPr>
            </w:pPr>
            <w:r>
              <w:rPr>
                <w:rFonts w:ascii="Arial" w:cs="Arial" w:eastAsia="Arial" w:hAnsi="Arial"/>
                <w:sz w:val="18"/>
                <w:szCs w:val="18"/>
                <w:b w:val="1"/>
                <w:bCs w:val="1"/>
                <w:color w:val="auto"/>
              </w:rPr>
              <w:t>Three Months Ended March 31,</w:t>
            </w:r>
          </w:p>
        </w:tc>
        <w:tc>
          <w:tcPr>
            <w:tcW w:w="11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54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2600" w:type="dxa"/>
            <w:vAlign w:val="bottom"/>
            <w:tcBorders>
              <w:bottom w:val="single" w:sz="8" w:color="auto"/>
            </w:tcBorders>
            <w:gridSpan w:val="3"/>
          </w:tcPr>
          <w:p>
            <w:pPr>
              <w:jc w:val="right"/>
              <w:ind w:right="1150"/>
              <w:spacing w:after="0"/>
              <w:rPr>
                <w:sz w:val="20"/>
                <w:szCs w:val="20"/>
                <w:color w:val="auto"/>
              </w:rPr>
            </w:pPr>
            <w:r>
              <w:rPr>
                <w:rFonts w:ascii="Arial" w:cs="Arial" w:eastAsia="Arial" w:hAnsi="Arial"/>
                <w:sz w:val="18"/>
                <w:szCs w:val="18"/>
                <w:b w:val="1"/>
                <w:bCs w:val="1"/>
                <w:color w:val="auto"/>
              </w:rPr>
              <w:t>2022</w:t>
            </w:r>
          </w:p>
        </w:tc>
        <w:tc>
          <w:tcPr>
            <w:tcW w:w="24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2021</w:t>
            </w:r>
          </w:p>
        </w:tc>
        <w:tc>
          <w:tcPr>
            <w:tcW w:w="1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05"/>
        </w:trPr>
        <w:tc>
          <w:tcPr>
            <w:tcW w:w="54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80" w:type="dxa"/>
            <w:vAlign w:val="bottom"/>
          </w:tcPr>
          <w:p>
            <w:pPr>
              <w:jc w:val="center"/>
              <w:spacing w:after="0" w:line="205" w:lineRule="exact"/>
              <w:rPr>
                <w:sz w:val="20"/>
                <w:szCs w:val="20"/>
                <w:color w:val="auto"/>
              </w:rPr>
            </w:pPr>
            <w:r>
              <w:rPr>
                <w:rFonts w:ascii="Arial" w:cs="Arial" w:eastAsia="Arial" w:hAnsi="Arial"/>
                <w:sz w:val="18"/>
                <w:szCs w:val="18"/>
                <w:b w:val="1"/>
                <w:bCs w:val="1"/>
                <w:color w:val="auto"/>
                <w:w w:val="99"/>
              </w:rPr>
              <w:t>% of</w:t>
            </w:r>
          </w:p>
        </w:tc>
        <w:tc>
          <w:tcPr>
            <w:tcW w:w="2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jc w:val="center"/>
              <w:spacing w:after="0" w:line="205" w:lineRule="exact"/>
              <w:rPr>
                <w:sz w:val="20"/>
                <w:szCs w:val="20"/>
                <w:color w:val="auto"/>
              </w:rPr>
            </w:pPr>
            <w:r>
              <w:rPr>
                <w:rFonts w:ascii="Arial" w:cs="Arial" w:eastAsia="Arial" w:hAnsi="Arial"/>
                <w:sz w:val="18"/>
                <w:szCs w:val="18"/>
                <w:b w:val="1"/>
                <w:bCs w:val="1"/>
                <w:color w:val="auto"/>
                <w:w w:val="94"/>
              </w:rPr>
              <w:t>% of</w:t>
            </w:r>
          </w:p>
        </w:tc>
        <w:tc>
          <w:tcPr>
            <w:tcW w:w="100" w:type="dxa"/>
            <w:vAlign w:val="bottom"/>
          </w:tcPr>
          <w:p>
            <w:pPr>
              <w:spacing w:after="0"/>
              <w:rPr>
                <w:sz w:val="17"/>
                <w:szCs w:val="17"/>
                <w:color w:val="auto"/>
              </w:rPr>
            </w:pPr>
          </w:p>
        </w:tc>
      </w:tr>
      <w:tr>
        <w:trPr>
          <w:trHeight w:val="216"/>
        </w:trPr>
        <w:tc>
          <w:tcPr>
            <w:tcW w:w="5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80" w:type="dxa"/>
            <w:vAlign w:val="bottom"/>
          </w:tcPr>
          <w:p>
            <w:pPr>
              <w:jc w:val="center"/>
              <w:spacing w:after="0"/>
              <w:rPr>
                <w:sz w:val="20"/>
                <w:szCs w:val="20"/>
                <w:color w:val="auto"/>
              </w:rPr>
            </w:pPr>
            <w:r>
              <w:rPr>
                <w:rFonts w:ascii="Arial" w:cs="Arial" w:eastAsia="Arial" w:hAnsi="Arial"/>
                <w:sz w:val="18"/>
                <w:szCs w:val="18"/>
                <w:b w:val="1"/>
                <w:bCs w:val="1"/>
                <w:color w:val="auto"/>
                <w:w w:val="89"/>
              </w:rPr>
              <w:t>Consolidated</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7"/>
              </w:rPr>
              <w:t>Consolidated</w:t>
            </w:r>
          </w:p>
        </w:tc>
      </w:tr>
      <w:tr>
        <w:trPr>
          <w:trHeight w:val="234"/>
        </w:trPr>
        <w:tc>
          <w:tcPr>
            <w:tcW w:w="5480" w:type="dxa"/>
            <w:vAlign w:val="bottom"/>
          </w:tcPr>
          <w:p>
            <w:pPr>
              <w:spacing w:after="0"/>
              <w:rPr>
                <w:sz w:val="20"/>
                <w:szCs w:val="20"/>
                <w:color w:val="auto"/>
              </w:rPr>
            </w:pPr>
            <w:r>
              <w:rPr>
                <w:rFonts w:ascii="Arial" w:cs="Arial" w:eastAsia="Arial" w:hAnsi="Arial"/>
                <w:sz w:val="18"/>
                <w:szCs w:val="18"/>
                <w:color w:val="auto"/>
              </w:rPr>
              <w:t>(Thousands)</w:t>
            </w:r>
          </w:p>
        </w:tc>
        <w:tc>
          <w:tcPr>
            <w:tcW w:w="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60" w:type="dxa"/>
            <w:vAlign w:val="bottom"/>
          </w:tcPr>
          <w:p>
            <w:pPr>
              <w:jc w:val="right"/>
              <w:ind w:right="230"/>
              <w:spacing w:after="0"/>
              <w:rPr>
                <w:sz w:val="20"/>
                <w:szCs w:val="20"/>
                <w:color w:val="auto"/>
              </w:rPr>
            </w:pPr>
            <w:r>
              <w:rPr>
                <w:rFonts w:ascii="Arial" w:cs="Arial" w:eastAsia="Arial" w:hAnsi="Arial"/>
                <w:sz w:val="18"/>
                <w:szCs w:val="18"/>
                <w:b w:val="1"/>
                <w:bCs w:val="1"/>
                <w:color w:val="auto"/>
              </w:rPr>
              <w:t>Amount</w:t>
            </w:r>
          </w:p>
        </w:tc>
        <w:tc>
          <w:tcPr>
            <w:tcW w:w="260" w:type="dxa"/>
            <w:vAlign w:val="bottom"/>
          </w:tcPr>
          <w:p>
            <w:pPr>
              <w:spacing w:after="0"/>
              <w:rPr>
                <w:sz w:val="20"/>
                <w:szCs w:val="20"/>
                <w:color w:val="auto"/>
              </w:rPr>
            </w:pPr>
          </w:p>
        </w:tc>
        <w:tc>
          <w:tcPr>
            <w:tcW w:w="1280" w:type="dxa"/>
            <w:vAlign w:val="bottom"/>
          </w:tcPr>
          <w:p>
            <w:pPr>
              <w:jc w:val="center"/>
              <w:spacing w:after="0"/>
              <w:rPr>
                <w:sz w:val="20"/>
                <w:szCs w:val="20"/>
                <w:color w:val="auto"/>
              </w:rPr>
            </w:pPr>
            <w:r>
              <w:rPr>
                <w:rFonts w:ascii="Arial" w:cs="Arial" w:eastAsia="Arial" w:hAnsi="Arial"/>
                <w:sz w:val="18"/>
                <w:szCs w:val="18"/>
                <w:b w:val="1"/>
                <w:bCs w:val="1"/>
                <w:color w:val="auto"/>
                <w:w w:val="86"/>
              </w:rPr>
              <w:t>Revenues</w:t>
            </w: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40" w:type="dxa"/>
            <w:vAlign w:val="bottom"/>
            <w:gridSpan w:val="3"/>
          </w:tcPr>
          <w:p>
            <w:pPr>
              <w:ind w:left="60"/>
              <w:spacing w:after="0"/>
              <w:rPr>
                <w:sz w:val="20"/>
                <w:szCs w:val="20"/>
                <w:color w:val="auto"/>
              </w:rPr>
            </w:pPr>
            <w:r>
              <w:rPr>
                <w:rFonts w:ascii="Arial" w:cs="Arial" w:eastAsia="Arial" w:hAnsi="Arial"/>
                <w:sz w:val="18"/>
                <w:szCs w:val="18"/>
                <w:b w:val="1"/>
                <w:bCs w:val="1"/>
                <w:color w:val="auto"/>
              </w:rPr>
              <w:t>Amount</w:t>
            </w:r>
          </w:p>
        </w:tc>
        <w:tc>
          <w:tcPr>
            <w:tcW w:w="12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4"/>
              </w:rPr>
              <w:t>Revenues</w:t>
            </w:r>
          </w:p>
        </w:tc>
      </w:tr>
      <w:tr>
        <w:trPr>
          <w:trHeight w:val="223"/>
        </w:trPr>
        <w:tc>
          <w:tcPr>
            <w:tcW w:w="54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General and administrative expense by segment:</w:t>
            </w:r>
          </w:p>
        </w:tc>
        <w:tc>
          <w:tcPr>
            <w:tcW w:w="16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1060" w:type="dxa"/>
            <w:vAlign w:val="bottom"/>
            <w:tcBorders>
              <w:top w:val="single" w:sz="8" w:color="auto"/>
            </w:tcBorders>
            <w:shd w:val="clear" w:color="auto" w:fill="CFF0FC"/>
          </w:tcPr>
          <w:p>
            <w:pPr>
              <w:spacing w:after="0"/>
              <w:rPr>
                <w:sz w:val="19"/>
                <w:szCs w:val="19"/>
                <w:color w:val="auto"/>
              </w:rPr>
            </w:pPr>
          </w:p>
        </w:tc>
        <w:tc>
          <w:tcPr>
            <w:tcW w:w="260" w:type="dxa"/>
            <w:vAlign w:val="bottom"/>
            <w:tcBorders>
              <w:top w:val="single" w:sz="8" w:color="CFF0FC"/>
            </w:tcBorders>
            <w:shd w:val="clear" w:color="auto" w:fill="CFF0FC"/>
          </w:tcPr>
          <w:p>
            <w:pPr>
              <w:spacing w:after="0"/>
              <w:rPr>
                <w:sz w:val="19"/>
                <w:szCs w:val="19"/>
                <w:color w:val="auto"/>
              </w:rPr>
            </w:pPr>
          </w:p>
        </w:tc>
        <w:tc>
          <w:tcPr>
            <w:tcW w:w="128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90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118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r>
      <w:tr>
        <w:trPr>
          <w:trHeight w:val="230"/>
        </w:trPr>
        <w:tc>
          <w:tcPr>
            <w:tcW w:w="5480" w:type="dxa"/>
            <w:vAlign w:val="bottom"/>
          </w:tcPr>
          <w:p>
            <w:pPr>
              <w:ind w:left="260"/>
              <w:spacing w:after="0"/>
              <w:rPr>
                <w:sz w:val="20"/>
                <w:szCs w:val="20"/>
                <w:color w:val="auto"/>
              </w:rPr>
            </w:pPr>
            <w:r>
              <w:rPr>
                <w:rFonts w:ascii="Arial" w:cs="Arial" w:eastAsia="Arial" w:hAnsi="Arial"/>
                <w:sz w:val="18"/>
                <w:szCs w:val="18"/>
                <w:color w:val="auto"/>
              </w:rPr>
              <w:t>Leasing</w:t>
            </w:r>
          </w:p>
        </w:tc>
        <w:tc>
          <w:tcPr>
            <w:tcW w:w="360" w:type="dxa"/>
            <w:vAlign w:val="bottom"/>
            <w:gridSpan w:val="2"/>
          </w:tcPr>
          <w:p>
            <w:pPr>
              <w:jc w:val="right"/>
              <w:ind w:right="47"/>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3,303</w:t>
            </w:r>
          </w:p>
        </w:tc>
        <w:tc>
          <w:tcPr>
            <w:tcW w:w="1540" w:type="dxa"/>
            <w:vAlign w:val="bottom"/>
            <w:gridSpan w:val="2"/>
          </w:tcPr>
          <w:p>
            <w:pPr>
              <w:jc w:val="center"/>
              <w:ind w:left="150"/>
              <w:spacing w:after="0"/>
              <w:rPr>
                <w:sz w:val="20"/>
                <w:szCs w:val="20"/>
                <w:color w:val="auto"/>
              </w:rPr>
            </w:pPr>
            <w:r>
              <w:rPr>
                <w:rFonts w:ascii="Arial" w:cs="Arial" w:eastAsia="Arial" w:hAnsi="Arial"/>
                <w:sz w:val="18"/>
                <w:szCs w:val="18"/>
                <w:color w:val="auto"/>
                <w:w w:val="92"/>
              </w:rPr>
              <w:t>1.2%</w:t>
            </w:r>
          </w:p>
        </w:tc>
        <w:tc>
          <w:tcPr>
            <w:tcW w:w="3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2,570</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80" w:type="dxa"/>
            <w:vAlign w:val="bottom"/>
          </w:tcPr>
          <w:p>
            <w:pPr>
              <w:jc w:val="center"/>
              <w:spacing w:after="0"/>
              <w:rPr>
                <w:sz w:val="20"/>
                <w:szCs w:val="20"/>
                <w:color w:val="auto"/>
              </w:rPr>
            </w:pPr>
            <w:r>
              <w:rPr>
                <w:rFonts w:ascii="Arial" w:cs="Arial" w:eastAsia="Arial" w:hAnsi="Arial"/>
                <w:sz w:val="18"/>
                <w:szCs w:val="18"/>
                <w:color w:val="auto"/>
                <w:w w:val="87"/>
              </w:rPr>
              <w:t>0.9%</w:t>
            </w:r>
          </w:p>
        </w:tc>
        <w:tc>
          <w:tcPr>
            <w:tcW w:w="100" w:type="dxa"/>
            <w:vAlign w:val="bottom"/>
          </w:tcPr>
          <w:p>
            <w:pPr>
              <w:spacing w:after="0"/>
              <w:rPr>
                <w:sz w:val="19"/>
                <w:szCs w:val="19"/>
                <w:color w:val="auto"/>
              </w:rPr>
            </w:pPr>
          </w:p>
        </w:tc>
      </w:tr>
      <w:tr>
        <w:trPr>
          <w:trHeight w:val="229"/>
        </w:trPr>
        <w:tc>
          <w:tcPr>
            <w:tcW w:w="54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Fiber Infrastructure</w:t>
            </w:r>
          </w:p>
        </w:tc>
        <w:tc>
          <w:tcPr>
            <w:tcW w:w="1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12,646</w:t>
            </w:r>
          </w:p>
        </w:tc>
        <w:tc>
          <w:tcPr>
            <w:tcW w:w="1540" w:type="dxa"/>
            <w:vAlign w:val="bottom"/>
            <w:gridSpan w:val="2"/>
            <w:shd w:val="clear" w:color="auto" w:fill="CFF0FC"/>
          </w:tcPr>
          <w:p>
            <w:pPr>
              <w:jc w:val="center"/>
              <w:ind w:left="150"/>
              <w:spacing w:after="0"/>
              <w:rPr>
                <w:sz w:val="20"/>
                <w:szCs w:val="20"/>
                <w:color w:val="auto"/>
              </w:rPr>
            </w:pPr>
            <w:r>
              <w:rPr>
                <w:rFonts w:ascii="Arial" w:cs="Arial" w:eastAsia="Arial" w:hAnsi="Arial"/>
                <w:sz w:val="18"/>
                <w:szCs w:val="18"/>
                <w:color w:val="auto"/>
                <w:w w:val="92"/>
              </w:rPr>
              <w:t>4.6%</w:t>
            </w:r>
          </w:p>
        </w:tc>
        <w:tc>
          <w:tcPr>
            <w:tcW w:w="2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13,836</w:t>
            </w: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18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87"/>
              </w:rPr>
              <w:t>5.1%</w:t>
            </w:r>
          </w:p>
        </w:tc>
        <w:tc>
          <w:tcPr>
            <w:tcW w:w="100" w:type="dxa"/>
            <w:vAlign w:val="bottom"/>
            <w:shd w:val="clear" w:color="auto" w:fill="CFF0FC"/>
          </w:tcPr>
          <w:p>
            <w:pPr>
              <w:spacing w:after="0"/>
              <w:rPr>
                <w:sz w:val="19"/>
                <w:szCs w:val="19"/>
                <w:color w:val="auto"/>
              </w:rPr>
            </w:pPr>
          </w:p>
        </w:tc>
      </w:tr>
      <w:tr>
        <w:trPr>
          <w:trHeight w:val="230"/>
        </w:trPr>
        <w:tc>
          <w:tcPr>
            <w:tcW w:w="5480" w:type="dxa"/>
            <w:vAlign w:val="bottom"/>
          </w:tcPr>
          <w:p>
            <w:pPr>
              <w:ind w:left="260"/>
              <w:spacing w:after="0"/>
              <w:rPr>
                <w:sz w:val="20"/>
                <w:szCs w:val="20"/>
                <w:color w:val="auto"/>
              </w:rPr>
            </w:pPr>
            <w:r>
              <w:rPr>
                <w:rFonts w:ascii="Arial" w:cs="Arial" w:eastAsia="Arial" w:hAnsi="Arial"/>
                <w:sz w:val="18"/>
                <w:szCs w:val="18"/>
                <w:color w:val="auto"/>
              </w:rPr>
              <w:t>Corporate</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7,921</w:t>
            </w:r>
          </w:p>
        </w:tc>
        <w:tc>
          <w:tcPr>
            <w:tcW w:w="1540" w:type="dxa"/>
            <w:vAlign w:val="bottom"/>
            <w:gridSpan w:val="2"/>
          </w:tcPr>
          <w:p>
            <w:pPr>
              <w:jc w:val="center"/>
              <w:ind w:left="150"/>
              <w:spacing w:after="0"/>
              <w:rPr>
                <w:sz w:val="20"/>
                <w:szCs w:val="20"/>
                <w:color w:val="auto"/>
              </w:rPr>
            </w:pPr>
            <w:r>
              <w:rPr>
                <w:rFonts w:ascii="Arial" w:cs="Arial" w:eastAsia="Arial" w:hAnsi="Arial"/>
                <w:sz w:val="18"/>
                <w:szCs w:val="18"/>
                <w:color w:val="auto"/>
                <w:w w:val="92"/>
              </w:rPr>
              <w:t>2.8%</w:t>
            </w: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9,417</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80" w:type="dxa"/>
            <w:vAlign w:val="bottom"/>
          </w:tcPr>
          <w:p>
            <w:pPr>
              <w:jc w:val="center"/>
              <w:spacing w:after="0"/>
              <w:rPr>
                <w:sz w:val="20"/>
                <w:szCs w:val="20"/>
                <w:color w:val="auto"/>
              </w:rPr>
            </w:pPr>
            <w:r>
              <w:rPr>
                <w:rFonts w:ascii="Arial" w:cs="Arial" w:eastAsia="Arial" w:hAnsi="Arial"/>
                <w:sz w:val="18"/>
                <w:szCs w:val="18"/>
                <w:color w:val="auto"/>
                <w:w w:val="87"/>
              </w:rPr>
              <w:t>3.5%</w:t>
            </w:r>
          </w:p>
        </w:tc>
        <w:tc>
          <w:tcPr>
            <w:tcW w:w="100" w:type="dxa"/>
            <w:vAlign w:val="bottom"/>
          </w:tcPr>
          <w:p>
            <w:pPr>
              <w:spacing w:after="0"/>
              <w:rPr>
                <w:sz w:val="19"/>
                <w:szCs w:val="19"/>
                <w:color w:val="auto"/>
              </w:rPr>
            </w:pPr>
          </w:p>
        </w:tc>
      </w:tr>
      <w:tr>
        <w:trPr>
          <w:trHeight w:val="223"/>
        </w:trPr>
        <w:tc>
          <w:tcPr>
            <w:tcW w:w="5480" w:type="dxa"/>
            <w:vAlign w:val="bottom"/>
            <w:tcBorders>
              <w:top w:val="single" w:sz="8" w:color="CFF0FC"/>
              <w:bottom w:val="single" w:sz="8" w:color="CFF0FC"/>
            </w:tcBorders>
            <w:shd w:val="clear" w:color="auto" w:fill="CFF0FC"/>
          </w:tcPr>
          <w:p>
            <w:pPr>
              <w:ind w:left="380"/>
              <w:spacing w:after="0"/>
              <w:rPr>
                <w:sz w:val="20"/>
                <w:szCs w:val="20"/>
                <w:color w:val="auto"/>
              </w:rPr>
            </w:pPr>
            <w:r>
              <w:rPr>
                <w:rFonts w:ascii="Arial" w:cs="Arial" w:eastAsia="Arial" w:hAnsi="Arial"/>
                <w:sz w:val="18"/>
                <w:szCs w:val="18"/>
                <w:color w:val="auto"/>
              </w:rPr>
              <w:t>Total general and administrative expenses</w:t>
            </w:r>
          </w:p>
        </w:tc>
        <w:tc>
          <w:tcPr>
            <w:tcW w:w="160" w:type="dxa"/>
            <w:vAlign w:val="bottom"/>
            <w:tcBorders>
              <w:top w:val="single" w:sz="8" w:color="CFF0FC"/>
              <w:bottom w:val="single" w:sz="8" w:color="CFF0FC"/>
            </w:tcBorders>
            <w:shd w:val="clear" w:color="auto" w:fill="CFF0FC"/>
          </w:tcPr>
          <w:p>
            <w:pPr>
              <w:spacing w:after="0"/>
              <w:rPr>
                <w:sz w:val="19"/>
                <w:szCs w:val="19"/>
                <w:color w:val="auto"/>
              </w:rPr>
            </w:pPr>
          </w:p>
        </w:tc>
        <w:tc>
          <w:tcPr>
            <w:tcW w:w="200" w:type="dxa"/>
            <w:vAlign w:val="bottom"/>
            <w:tcBorders>
              <w:top w:val="single" w:sz="8" w:color="auto"/>
              <w:bottom w:val="single" w:sz="8" w:color="auto"/>
            </w:tcBorders>
            <w:shd w:val="clear" w:color="auto" w:fill="CFF0FC"/>
          </w:tcPr>
          <w:p>
            <w:pPr>
              <w:jc w:val="right"/>
              <w:ind w:right="47"/>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23,870</w:t>
            </w:r>
          </w:p>
        </w:tc>
        <w:tc>
          <w:tcPr>
            <w:tcW w:w="260" w:type="dxa"/>
            <w:vAlign w:val="bottom"/>
            <w:tcBorders>
              <w:top w:val="single" w:sz="8" w:color="CFF0FC"/>
              <w:bottom w:val="single" w:sz="8" w:color="CFF0FC"/>
            </w:tcBorders>
            <w:shd w:val="clear" w:color="auto" w:fill="CFF0FC"/>
          </w:tcPr>
          <w:p>
            <w:pPr>
              <w:spacing w:after="0"/>
              <w:rPr>
                <w:sz w:val="19"/>
                <w:szCs w:val="19"/>
                <w:color w:val="auto"/>
              </w:rPr>
            </w:pPr>
          </w:p>
        </w:tc>
        <w:tc>
          <w:tcPr>
            <w:tcW w:w="1280" w:type="dxa"/>
            <w:vAlign w:val="bottom"/>
            <w:tcBorders>
              <w:top w:val="single" w:sz="8" w:color="auto"/>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2"/>
              </w:rPr>
              <w:t>8.6%</w:t>
            </w: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25,823</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1180" w:type="dxa"/>
            <w:vAlign w:val="bottom"/>
            <w:tcBorders>
              <w:top w:val="single" w:sz="8" w:color="auto"/>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87"/>
              </w:rPr>
              <w:t>9.5%</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r>
      <w:tr>
        <w:trPr>
          <w:trHeight w:val="20"/>
        </w:trPr>
        <w:tc>
          <w:tcPr>
            <w:tcW w:w="54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right="140"/>
        <w:spacing w:after="0" w:line="263" w:lineRule="auto"/>
        <w:rPr>
          <w:sz w:val="20"/>
          <w:szCs w:val="20"/>
          <w:color w:val="auto"/>
        </w:rPr>
      </w:pPr>
      <w:r>
        <w:rPr>
          <w:rFonts w:ascii="Arial" w:cs="Arial" w:eastAsia="Arial" w:hAnsi="Arial"/>
          <w:sz w:val="18"/>
          <w:szCs w:val="18"/>
          <w:i w:val="1"/>
          <w:iCs w:val="1"/>
          <w:u w:val="single" w:color="auto"/>
          <w:color w:val="auto"/>
        </w:rPr>
        <w:t>Leasing</w:t>
      </w:r>
      <w:r>
        <w:rPr>
          <w:rFonts w:ascii="Arial" w:cs="Arial" w:eastAsia="Arial" w:hAnsi="Arial"/>
          <w:sz w:val="18"/>
          <w:szCs w:val="18"/>
          <w:i w:val="1"/>
          <w:iCs w:val="1"/>
          <w:color w:val="auto"/>
        </w:rPr>
        <w:t xml:space="preserve"> </w:t>
      </w:r>
      <w:r>
        <w:rPr>
          <w:rFonts w:ascii="Arial" w:cs="Arial" w:eastAsia="Arial" w:hAnsi="Arial"/>
          <w:sz w:val="18"/>
          <w:szCs w:val="18"/>
          <w:color w:val="auto"/>
        </w:rPr>
        <w:t>– Leasing general and administrative expense increased $0.7 million for the three months ended March 31, 2022 as compared to the three months</w:t>
      </w:r>
      <w:r>
        <w:rPr>
          <w:rFonts w:ascii="Arial" w:cs="Arial" w:eastAsia="Arial" w:hAnsi="Arial"/>
          <w:sz w:val="18"/>
          <w:szCs w:val="18"/>
          <w:i w:val="1"/>
          <w:iCs w:val="1"/>
          <w:color w:val="auto"/>
        </w:rPr>
        <w:t xml:space="preserve"> </w:t>
      </w:r>
      <w:r>
        <w:rPr>
          <w:rFonts w:ascii="Arial" w:cs="Arial" w:eastAsia="Arial" w:hAnsi="Arial"/>
          <w:sz w:val="18"/>
          <w:szCs w:val="18"/>
          <w:color w:val="auto"/>
        </w:rPr>
        <w:t>ended March 31, 2021. The increase is primarily attributable to a $0.4 million increase in personnel expenses and a $0.3 million loss on the retirement of assets.</w:t>
      </w:r>
    </w:p>
    <w:p>
      <w:pPr>
        <w:spacing w:after="0" w:line="184" w:lineRule="exact"/>
        <w:rPr>
          <w:sz w:val="20"/>
          <w:szCs w:val="20"/>
          <w:color w:val="auto"/>
        </w:rPr>
      </w:pPr>
    </w:p>
    <w:p>
      <w:pPr>
        <w:ind w:right="360"/>
        <w:spacing w:after="0" w:line="311" w:lineRule="auto"/>
        <w:rPr>
          <w:sz w:val="20"/>
          <w:szCs w:val="20"/>
          <w:color w:val="auto"/>
        </w:rPr>
      </w:pPr>
      <w:r>
        <w:rPr>
          <w:rFonts w:ascii="Arial" w:cs="Arial" w:eastAsia="Arial" w:hAnsi="Arial"/>
          <w:sz w:val="16"/>
          <w:szCs w:val="16"/>
          <w:i w:val="1"/>
          <w:iCs w:val="1"/>
          <w:u w:val="single" w:color="auto"/>
          <w:color w:val="auto"/>
        </w:rPr>
        <w:t>Fiber Infrastructure</w:t>
      </w:r>
      <w:r>
        <w:rPr>
          <w:rFonts w:ascii="Arial" w:cs="Arial" w:eastAsia="Arial" w:hAnsi="Arial"/>
          <w:sz w:val="16"/>
          <w:szCs w:val="16"/>
          <w:i w:val="1"/>
          <w:iCs w:val="1"/>
          <w:color w:val="auto"/>
        </w:rPr>
        <w:t xml:space="preserve"> </w:t>
      </w:r>
      <w:r>
        <w:rPr>
          <w:rFonts w:ascii="Arial" w:cs="Arial" w:eastAsia="Arial" w:hAnsi="Arial"/>
          <w:sz w:val="16"/>
          <w:szCs w:val="16"/>
          <w:color w:val="auto"/>
        </w:rPr>
        <w:t>– Fiber Infrastructure general and administrative expense decreased $1.2 million for the three months ended March 31, 2022 as</w:t>
      </w:r>
      <w:r>
        <w:rPr>
          <w:rFonts w:ascii="Arial" w:cs="Arial" w:eastAsia="Arial" w:hAnsi="Arial"/>
          <w:sz w:val="16"/>
          <w:szCs w:val="16"/>
          <w:i w:val="1"/>
          <w:iCs w:val="1"/>
          <w:color w:val="auto"/>
        </w:rPr>
        <w:t xml:space="preserve"> </w:t>
      </w:r>
      <w:r>
        <w:rPr>
          <w:rFonts w:ascii="Arial" w:cs="Arial" w:eastAsia="Arial" w:hAnsi="Arial"/>
          <w:sz w:val="16"/>
          <w:szCs w:val="16"/>
          <w:color w:val="auto"/>
        </w:rPr>
        <w:t>compared to the three months ended March 31, 2021. This decrease is primarily attributable to decreases in bad debt reserves of $0.3 million driven by increased collections, decreased personnel expense of $0.2 million and gains on the sale of equipment and idle fleet vehicle assets of $0.2 million.</w:t>
      </w:r>
    </w:p>
    <w:p>
      <w:pPr>
        <w:spacing w:after="0" w:line="149" w:lineRule="exact"/>
        <w:rPr>
          <w:sz w:val="20"/>
          <w:szCs w:val="20"/>
          <w:color w:val="auto"/>
        </w:rPr>
      </w:pPr>
    </w:p>
    <w:p>
      <w:pPr>
        <w:ind w:right="360"/>
        <w:spacing w:after="0" w:line="263" w:lineRule="auto"/>
        <w:rPr>
          <w:sz w:val="20"/>
          <w:szCs w:val="20"/>
          <w:color w:val="auto"/>
        </w:rPr>
      </w:pPr>
      <w:r>
        <w:rPr>
          <w:rFonts w:ascii="Arial" w:cs="Arial" w:eastAsia="Arial" w:hAnsi="Arial"/>
          <w:sz w:val="18"/>
          <w:szCs w:val="18"/>
          <w:i w:val="1"/>
          <w:iCs w:val="1"/>
          <w:u w:val="single" w:color="auto"/>
          <w:color w:val="auto"/>
        </w:rPr>
        <w:t>Corporate</w:t>
      </w:r>
      <w:r>
        <w:rPr>
          <w:rFonts w:ascii="Arial" w:cs="Arial" w:eastAsia="Arial" w:hAnsi="Arial"/>
          <w:sz w:val="18"/>
          <w:szCs w:val="18"/>
          <w:i w:val="1"/>
          <w:iCs w:val="1"/>
          <w:color w:val="auto"/>
        </w:rPr>
        <w:t xml:space="preserve"> </w:t>
      </w:r>
      <w:r>
        <w:rPr>
          <w:rFonts w:ascii="Arial" w:cs="Arial" w:eastAsia="Arial" w:hAnsi="Arial"/>
          <w:sz w:val="18"/>
          <w:szCs w:val="18"/>
          <w:color w:val="auto"/>
        </w:rPr>
        <w:t>– Corporate general and administrative expense decreased $1.5 million for the three months ended March 31, 2022 as compared to the three</w:t>
      </w:r>
      <w:r>
        <w:rPr>
          <w:rFonts w:ascii="Arial" w:cs="Arial" w:eastAsia="Arial" w:hAnsi="Arial"/>
          <w:sz w:val="18"/>
          <w:szCs w:val="18"/>
          <w:i w:val="1"/>
          <w:iCs w:val="1"/>
          <w:color w:val="auto"/>
        </w:rPr>
        <w:t xml:space="preserve"> </w:t>
      </w:r>
      <w:r>
        <w:rPr>
          <w:rFonts w:ascii="Arial" w:cs="Arial" w:eastAsia="Arial" w:hAnsi="Arial"/>
          <w:sz w:val="18"/>
          <w:szCs w:val="18"/>
          <w:color w:val="auto"/>
        </w:rPr>
        <w:t>months ended March 31, 2021. The decrease is attributable to a $1.2 million decrease in insurance expenses and $1.0 million decrease in personnel expenses, partially offset by a $0.5 million increase in professional and legal expenses.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w:t>
      </w:r>
    </w:p>
    <w:p>
      <w:pPr>
        <w:spacing w:after="0" w:line="225" w:lineRule="exact"/>
        <w:rPr>
          <w:sz w:val="20"/>
          <w:szCs w:val="20"/>
          <w:color w:val="auto"/>
        </w:rPr>
      </w:pPr>
    </w:p>
    <w:p>
      <w:pPr>
        <w:ind w:right="540"/>
        <w:spacing w:after="0" w:line="311" w:lineRule="auto"/>
        <w:rPr>
          <w:sz w:val="20"/>
          <w:szCs w:val="20"/>
          <w:color w:val="auto"/>
        </w:rPr>
      </w:pPr>
      <w:r>
        <w:rPr>
          <w:rFonts w:ascii="Arial" w:cs="Arial" w:eastAsia="Arial" w:hAnsi="Arial"/>
          <w:sz w:val="16"/>
          <w:szCs w:val="16"/>
          <w:color w:val="auto"/>
        </w:rPr>
        <w:t>Operating expense for the three months ended March 31, 2022 decreased by $3.1 million from the three months ended March 31, 2021, which was primarily attributable to a decrease in Fiber Infrastructure operating expenses partially offset by an increase in Leasing operating expenses discussed below. Operating expense for our reportable segments for the three months ended March 31, 2022 and 2021 consisted of the following:</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2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2740" w:type="dxa"/>
            <w:vAlign w:val="bottom"/>
            <w:tcBorders>
              <w:bottom w:val="single" w:sz="8" w:color="auto"/>
            </w:tcBorders>
            <w:gridSpan w:val="5"/>
          </w:tcPr>
          <w:p>
            <w:pPr>
              <w:ind w:left="240"/>
              <w:spacing w:after="0"/>
              <w:rPr>
                <w:sz w:val="20"/>
                <w:szCs w:val="20"/>
                <w:color w:val="auto"/>
              </w:rPr>
            </w:pPr>
            <w:r>
              <w:rPr>
                <w:rFonts w:ascii="Arial" w:cs="Arial" w:eastAsia="Arial" w:hAnsi="Arial"/>
                <w:sz w:val="18"/>
                <w:szCs w:val="18"/>
                <w:b w:val="1"/>
                <w:bCs w:val="1"/>
                <w:color w:val="auto"/>
                <w:w w:val="93"/>
              </w:rPr>
              <w:t>Three Months Ended March 31,</w:t>
            </w:r>
          </w:p>
        </w:tc>
        <w:tc>
          <w:tcPr>
            <w:tcW w:w="24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5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gridSpan w:val="2"/>
          </w:tcPr>
          <w:p>
            <w:pPr>
              <w:jc w:val="right"/>
              <w:ind w:right="1070"/>
              <w:spacing w:after="0"/>
              <w:rPr>
                <w:sz w:val="20"/>
                <w:szCs w:val="20"/>
                <w:color w:val="auto"/>
              </w:rPr>
            </w:pPr>
            <w:r>
              <w:rPr>
                <w:rFonts w:ascii="Arial" w:cs="Arial" w:eastAsia="Arial" w:hAnsi="Arial"/>
                <w:sz w:val="18"/>
                <w:szCs w:val="18"/>
                <w:b w:val="1"/>
                <w:bCs w:val="1"/>
                <w:color w:val="auto"/>
              </w:rPr>
              <w:t>2022</w:t>
            </w:r>
          </w:p>
        </w:tc>
        <w:tc>
          <w:tcPr>
            <w:tcW w:w="28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gridSpan w:val="2"/>
          </w:tcPr>
          <w:p>
            <w:pPr>
              <w:jc w:val="right"/>
              <w:ind w:right="1110"/>
              <w:spacing w:after="0"/>
              <w:rPr>
                <w:sz w:val="20"/>
                <w:szCs w:val="20"/>
                <w:color w:val="auto"/>
              </w:rPr>
            </w:pPr>
            <w:r>
              <w:rPr>
                <w:rFonts w:ascii="Arial" w:cs="Arial" w:eastAsia="Arial" w:hAnsi="Arial"/>
                <w:sz w:val="18"/>
                <w:szCs w:val="18"/>
                <w:b w:val="1"/>
                <w:bCs w:val="1"/>
                <w:color w:val="auto"/>
                <w:w w:val="94"/>
              </w:rPr>
              <w:t>2021</w:t>
            </w:r>
          </w:p>
        </w:tc>
        <w:tc>
          <w:tcPr>
            <w:tcW w:w="100" w:type="dxa"/>
            <w:vAlign w:val="bottom"/>
          </w:tcPr>
          <w:p>
            <w:pPr>
              <w:spacing w:after="0"/>
              <w:rPr>
                <w:sz w:val="19"/>
                <w:szCs w:val="19"/>
                <w:color w:val="auto"/>
              </w:rPr>
            </w:pPr>
          </w:p>
        </w:tc>
      </w:tr>
      <w:tr>
        <w:trPr>
          <w:trHeight w:val="205"/>
        </w:trPr>
        <w:tc>
          <w:tcPr>
            <w:tcW w:w="52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320" w:type="dxa"/>
            <w:vAlign w:val="bottom"/>
          </w:tcPr>
          <w:p>
            <w:pPr>
              <w:jc w:val="center"/>
              <w:spacing w:after="0" w:line="205" w:lineRule="exact"/>
              <w:rPr>
                <w:sz w:val="20"/>
                <w:szCs w:val="20"/>
                <w:color w:val="auto"/>
              </w:rPr>
            </w:pPr>
            <w:r>
              <w:rPr>
                <w:rFonts w:ascii="Arial" w:cs="Arial" w:eastAsia="Arial" w:hAnsi="Arial"/>
                <w:sz w:val="18"/>
                <w:szCs w:val="18"/>
                <w:b w:val="1"/>
                <w:bCs w:val="1"/>
                <w:color w:val="auto"/>
                <w:w w:val="99"/>
              </w:rPr>
              <w:t>% of</w:t>
            </w:r>
          </w:p>
        </w:tc>
        <w:tc>
          <w:tcPr>
            <w:tcW w:w="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60" w:type="dxa"/>
            <w:vAlign w:val="bottom"/>
          </w:tcPr>
          <w:p>
            <w:pPr>
              <w:jc w:val="center"/>
              <w:spacing w:after="0" w:line="205" w:lineRule="exact"/>
              <w:rPr>
                <w:sz w:val="20"/>
                <w:szCs w:val="20"/>
                <w:color w:val="auto"/>
              </w:rPr>
            </w:pPr>
            <w:r>
              <w:rPr>
                <w:rFonts w:ascii="Arial" w:cs="Arial" w:eastAsia="Arial" w:hAnsi="Arial"/>
                <w:sz w:val="18"/>
                <w:szCs w:val="18"/>
                <w:b w:val="1"/>
                <w:bCs w:val="1"/>
                <w:color w:val="auto"/>
                <w:w w:val="99"/>
              </w:rPr>
              <w:t>% of</w:t>
            </w:r>
          </w:p>
        </w:tc>
        <w:tc>
          <w:tcPr>
            <w:tcW w:w="100" w:type="dxa"/>
            <w:vAlign w:val="bottom"/>
          </w:tcPr>
          <w:p>
            <w:pPr>
              <w:spacing w:after="0"/>
              <w:rPr>
                <w:sz w:val="17"/>
                <w:szCs w:val="17"/>
                <w:color w:val="auto"/>
              </w:rPr>
            </w:pPr>
          </w:p>
        </w:tc>
      </w:tr>
      <w:tr>
        <w:trPr>
          <w:trHeight w:val="216"/>
        </w:trPr>
        <w:tc>
          <w:tcPr>
            <w:tcW w:w="5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9"/>
              </w:rPr>
              <w:t>Consolidated</w:t>
            </w: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9"/>
              </w:rPr>
              <w:t>Consolidated</w:t>
            </w:r>
          </w:p>
        </w:tc>
      </w:tr>
      <w:tr>
        <w:trPr>
          <w:trHeight w:val="234"/>
        </w:trPr>
        <w:tc>
          <w:tcPr>
            <w:tcW w:w="5440" w:type="dxa"/>
            <w:vAlign w:val="bottom"/>
            <w:gridSpan w:val="2"/>
          </w:tcPr>
          <w:p>
            <w:pPr>
              <w:spacing w:after="0"/>
              <w:rPr>
                <w:sz w:val="20"/>
                <w:szCs w:val="20"/>
                <w:color w:val="auto"/>
              </w:rPr>
            </w:pPr>
            <w:r>
              <w:rPr>
                <w:rFonts w:ascii="Arial" w:cs="Arial" w:eastAsia="Arial" w:hAnsi="Arial"/>
                <w:sz w:val="18"/>
                <w:szCs w:val="18"/>
                <w:color w:val="auto"/>
              </w:rPr>
              <w:t>(Thousands)</w:t>
            </w:r>
          </w:p>
        </w:tc>
        <w:tc>
          <w:tcPr>
            <w:tcW w:w="140" w:type="dxa"/>
            <w:vAlign w:val="bottom"/>
          </w:tcPr>
          <w:p>
            <w:pPr>
              <w:spacing w:after="0"/>
              <w:rPr>
                <w:sz w:val="20"/>
                <w:szCs w:val="20"/>
                <w:color w:val="auto"/>
              </w:rPr>
            </w:pPr>
          </w:p>
        </w:tc>
        <w:tc>
          <w:tcPr>
            <w:tcW w:w="940" w:type="dxa"/>
            <w:vAlign w:val="bottom"/>
          </w:tcPr>
          <w:p>
            <w:pPr>
              <w:jc w:val="right"/>
              <w:ind w:right="150"/>
              <w:spacing w:after="0"/>
              <w:rPr>
                <w:sz w:val="20"/>
                <w:szCs w:val="20"/>
                <w:color w:val="auto"/>
              </w:rPr>
            </w:pPr>
            <w:r>
              <w:rPr>
                <w:rFonts w:ascii="Arial" w:cs="Arial" w:eastAsia="Arial" w:hAnsi="Arial"/>
                <w:sz w:val="18"/>
                <w:szCs w:val="18"/>
                <w:b w:val="1"/>
                <w:bCs w:val="1"/>
                <w:color w:val="auto"/>
                <w:w w:val="99"/>
              </w:rPr>
              <w:t>Amount</w:t>
            </w:r>
          </w:p>
        </w:tc>
        <w:tc>
          <w:tcPr>
            <w:tcW w:w="280" w:type="dxa"/>
            <w:vAlign w:val="bottom"/>
          </w:tcPr>
          <w:p>
            <w:pPr>
              <w:spacing w:after="0"/>
              <w:rPr>
                <w:sz w:val="20"/>
                <w:szCs w:val="20"/>
                <w:color w:val="auto"/>
              </w:rPr>
            </w:pPr>
          </w:p>
        </w:tc>
        <w:tc>
          <w:tcPr>
            <w:tcW w:w="16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6"/>
              </w:rPr>
              <w:t>Revenues</w:t>
            </w:r>
          </w:p>
        </w:tc>
        <w:tc>
          <w:tcPr>
            <w:tcW w:w="160" w:type="dxa"/>
            <w:vAlign w:val="bottom"/>
          </w:tcPr>
          <w:p>
            <w:pPr>
              <w:spacing w:after="0"/>
              <w:rPr>
                <w:sz w:val="20"/>
                <w:szCs w:val="20"/>
                <w:color w:val="auto"/>
              </w:rPr>
            </w:pPr>
          </w:p>
        </w:tc>
        <w:tc>
          <w:tcPr>
            <w:tcW w:w="980" w:type="dxa"/>
            <w:vAlign w:val="bottom"/>
            <w:gridSpan w:val="2"/>
          </w:tcPr>
          <w:p>
            <w:pPr>
              <w:ind w:left="80"/>
              <w:spacing w:after="0"/>
              <w:rPr>
                <w:sz w:val="20"/>
                <w:szCs w:val="20"/>
                <w:color w:val="auto"/>
              </w:rPr>
            </w:pPr>
            <w:r>
              <w:rPr>
                <w:rFonts w:ascii="Arial" w:cs="Arial" w:eastAsia="Arial" w:hAnsi="Arial"/>
                <w:sz w:val="18"/>
                <w:szCs w:val="18"/>
                <w:b w:val="1"/>
                <w:bCs w:val="1"/>
                <w:color w:val="auto"/>
              </w:rPr>
              <w:t>Amount</w:t>
            </w:r>
          </w:p>
        </w:tc>
        <w:tc>
          <w:tcPr>
            <w:tcW w:w="240" w:type="dxa"/>
            <w:vAlign w:val="bottom"/>
          </w:tcPr>
          <w:p>
            <w:pPr>
              <w:spacing w:after="0"/>
              <w:rPr>
                <w:sz w:val="20"/>
                <w:szCs w:val="20"/>
                <w:color w:val="auto"/>
              </w:rPr>
            </w:pPr>
          </w:p>
        </w:tc>
        <w:tc>
          <w:tcPr>
            <w:tcW w:w="14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6"/>
              </w:rPr>
              <w:t>Revenues</w:t>
            </w:r>
          </w:p>
        </w:tc>
      </w:tr>
      <w:tr>
        <w:trPr>
          <w:trHeight w:val="223"/>
        </w:trPr>
        <w:tc>
          <w:tcPr>
            <w:tcW w:w="526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Operating expenses by segment:</w:t>
            </w:r>
          </w:p>
        </w:tc>
        <w:tc>
          <w:tcPr>
            <w:tcW w:w="18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spacing w:after="0"/>
              <w:rPr>
                <w:sz w:val="19"/>
                <w:szCs w:val="19"/>
                <w:color w:val="auto"/>
              </w:rPr>
            </w:pPr>
          </w:p>
        </w:tc>
        <w:tc>
          <w:tcPr>
            <w:tcW w:w="280" w:type="dxa"/>
            <w:vAlign w:val="bottom"/>
            <w:tcBorders>
              <w:top w:val="single" w:sz="8" w:color="CFF0FC"/>
            </w:tcBorders>
            <w:shd w:val="clear" w:color="auto" w:fill="CFF0FC"/>
          </w:tcPr>
          <w:p>
            <w:pPr>
              <w:spacing w:after="0"/>
              <w:rPr>
                <w:sz w:val="19"/>
                <w:szCs w:val="19"/>
                <w:color w:val="auto"/>
              </w:rPr>
            </w:pPr>
          </w:p>
        </w:tc>
        <w:tc>
          <w:tcPr>
            <w:tcW w:w="1320" w:type="dxa"/>
            <w:vAlign w:val="bottom"/>
            <w:tcBorders>
              <w:top w:val="single" w:sz="8" w:color="auto"/>
            </w:tcBorders>
            <w:shd w:val="clear" w:color="auto" w:fill="CFF0FC"/>
          </w:tcPr>
          <w:p>
            <w:pPr>
              <w:spacing w:after="0"/>
              <w:rPr>
                <w:sz w:val="19"/>
                <w:szCs w:val="19"/>
                <w:color w:val="auto"/>
              </w:rPr>
            </w:pPr>
          </w:p>
        </w:tc>
        <w:tc>
          <w:tcPr>
            <w:tcW w:w="28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spacing w:after="0"/>
              <w:rPr>
                <w:sz w:val="19"/>
                <w:szCs w:val="19"/>
                <w:color w:val="auto"/>
              </w:rPr>
            </w:pPr>
          </w:p>
        </w:tc>
        <w:tc>
          <w:tcPr>
            <w:tcW w:w="4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36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r>
      <w:tr>
        <w:trPr>
          <w:trHeight w:val="229"/>
        </w:trPr>
        <w:tc>
          <w:tcPr>
            <w:tcW w:w="5440" w:type="dxa"/>
            <w:vAlign w:val="bottom"/>
            <w:gridSpan w:val="2"/>
          </w:tcPr>
          <w:p>
            <w:pPr>
              <w:ind w:left="260"/>
              <w:spacing w:after="0"/>
              <w:rPr>
                <w:sz w:val="20"/>
                <w:szCs w:val="20"/>
                <w:color w:val="auto"/>
              </w:rPr>
            </w:pPr>
            <w:r>
              <w:rPr>
                <w:rFonts w:ascii="Arial" w:cs="Arial" w:eastAsia="Arial" w:hAnsi="Arial"/>
                <w:sz w:val="18"/>
                <w:szCs w:val="18"/>
                <w:color w:val="auto"/>
              </w:rPr>
              <w:t>Leasing</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4,867</w:t>
            </w:r>
          </w:p>
        </w:tc>
        <w:tc>
          <w:tcPr>
            <w:tcW w:w="1600" w:type="dxa"/>
            <w:vAlign w:val="bottom"/>
            <w:gridSpan w:val="2"/>
          </w:tcPr>
          <w:p>
            <w:pPr>
              <w:jc w:val="center"/>
              <w:ind w:left="170"/>
              <w:spacing w:after="0"/>
              <w:rPr>
                <w:sz w:val="20"/>
                <w:szCs w:val="20"/>
                <w:color w:val="auto"/>
              </w:rPr>
            </w:pPr>
            <w:r>
              <w:rPr>
                <w:rFonts w:ascii="Arial" w:cs="Arial" w:eastAsia="Arial" w:hAnsi="Arial"/>
                <w:sz w:val="18"/>
                <w:szCs w:val="18"/>
                <w:color w:val="auto"/>
                <w:w w:val="92"/>
              </w:rPr>
              <w:t>1.8%</w:t>
            </w:r>
          </w:p>
        </w:tc>
        <w:tc>
          <w:tcPr>
            <w:tcW w:w="28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3,229</w:t>
            </w:r>
          </w:p>
        </w:tc>
        <w:tc>
          <w:tcPr>
            <w:tcW w:w="40" w:type="dxa"/>
            <w:vAlign w:val="bottom"/>
          </w:tcPr>
          <w:p>
            <w:pPr>
              <w:spacing w:after="0"/>
              <w:rPr>
                <w:sz w:val="19"/>
                <w:szCs w:val="19"/>
                <w:color w:val="auto"/>
              </w:rPr>
            </w:pPr>
          </w:p>
        </w:tc>
        <w:tc>
          <w:tcPr>
            <w:tcW w:w="1600" w:type="dxa"/>
            <w:vAlign w:val="bottom"/>
            <w:gridSpan w:val="2"/>
          </w:tcPr>
          <w:p>
            <w:pPr>
              <w:jc w:val="center"/>
              <w:ind w:left="130"/>
              <w:spacing w:after="0"/>
              <w:rPr>
                <w:sz w:val="20"/>
                <w:szCs w:val="20"/>
                <w:color w:val="auto"/>
              </w:rPr>
            </w:pPr>
            <w:r>
              <w:rPr>
                <w:rFonts w:ascii="Arial" w:cs="Arial" w:eastAsia="Arial" w:hAnsi="Arial"/>
                <w:sz w:val="18"/>
                <w:szCs w:val="18"/>
                <w:color w:val="auto"/>
                <w:w w:val="92"/>
              </w:rPr>
              <w:t>1.2%</w:t>
            </w:r>
          </w:p>
        </w:tc>
        <w:tc>
          <w:tcPr>
            <w:tcW w:w="100" w:type="dxa"/>
            <w:vAlign w:val="bottom"/>
          </w:tcPr>
          <w:p>
            <w:pPr>
              <w:spacing w:after="0"/>
              <w:rPr>
                <w:sz w:val="19"/>
                <w:szCs w:val="19"/>
                <w:color w:val="auto"/>
              </w:rPr>
            </w:pPr>
          </w:p>
        </w:tc>
      </w:tr>
      <w:tr>
        <w:trPr>
          <w:trHeight w:val="230"/>
        </w:trPr>
        <w:tc>
          <w:tcPr>
            <w:tcW w:w="544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Fiber Infrastructure</w:t>
            </w:r>
          </w:p>
        </w:tc>
        <w:tc>
          <w:tcPr>
            <w:tcW w:w="14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30,109</w:t>
            </w:r>
          </w:p>
        </w:tc>
        <w:tc>
          <w:tcPr>
            <w:tcW w:w="1600" w:type="dxa"/>
            <w:vAlign w:val="bottom"/>
            <w:gridSpan w:val="2"/>
            <w:shd w:val="clear" w:color="auto" w:fill="CFF0FC"/>
          </w:tcPr>
          <w:p>
            <w:pPr>
              <w:jc w:val="center"/>
              <w:ind w:left="170"/>
              <w:spacing w:after="0"/>
              <w:rPr>
                <w:sz w:val="20"/>
                <w:szCs w:val="20"/>
                <w:color w:val="auto"/>
              </w:rPr>
            </w:pPr>
            <w:r>
              <w:rPr>
                <w:rFonts w:ascii="Arial" w:cs="Arial" w:eastAsia="Arial" w:hAnsi="Arial"/>
                <w:sz w:val="18"/>
                <w:szCs w:val="18"/>
                <w:color w:val="auto"/>
                <w:w w:val="90"/>
              </w:rPr>
              <w:t>10.8%</w:t>
            </w:r>
          </w:p>
        </w:tc>
        <w:tc>
          <w:tcPr>
            <w:tcW w:w="2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34,855</w:t>
            </w:r>
          </w:p>
        </w:tc>
        <w:tc>
          <w:tcPr>
            <w:tcW w:w="40" w:type="dxa"/>
            <w:vAlign w:val="bottom"/>
            <w:shd w:val="clear" w:color="auto" w:fill="CFF0FC"/>
          </w:tcPr>
          <w:p>
            <w:pPr>
              <w:spacing w:after="0"/>
              <w:rPr>
                <w:sz w:val="19"/>
                <w:szCs w:val="19"/>
                <w:color w:val="auto"/>
              </w:rPr>
            </w:pPr>
          </w:p>
        </w:tc>
        <w:tc>
          <w:tcPr>
            <w:tcW w:w="1600" w:type="dxa"/>
            <w:vAlign w:val="bottom"/>
            <w:gridSpan w:val="2"/>
            <w:shd w:val="clear" w:color="auto" w:fill="CFF0FC"/>
          </w:tcPr>
          <w:p>
            <w:pPr>
              <w:jc w:val="center"/>
              <w:ind w:left="130"/>
              <w:spacing w:after="0"/>
              <w:rPr>
                <w:sz w:val="20"/>
                <w:szCs w:val="20"/>
                <w:color w:val="auto"/>
              </w:rPr>
            </w:pPr>
            <w:r>
              <w:rPr>
                <w:rFonts w:ascii="Arial" w:cs="Arial" w:eastAsia="Arial" w:hAnsi="Arial"/>
                <w:sz w:val="18"/>
                <w:szCs w:val="18"/>
                <w:color w:val="auto"/>
                <w:w w:val="90"/>
              </w:rPr>
              <w:t>12.8%</w:t>
            </w:r>
          </w:p>
        </w:tc>
        <w:tc>
          <w:tcPr>
            <w:tcW w:w="100" w:type="dxa"/>
            <w:vAlign w:val="bottom"/>
            <w:shd w:val="clear" w:color="auto" w:fill="CFF0FC"/>
          </w:tcPr>
          <w:p>
            <w:pPr>
              <w:spacing w:after="0"/>
              <w:rPr>
                <w:sz w:val="19"/>
                <w:szCs w:val="19"/>
                <w:color w:val="auto"/>
              </w:rPr>
            </w:pPr>
          </w:p>
        </w:tc>
      </w:tr>
      <w:tr>
        <w:trPr>
          <w:trHeight w:val="223"/>
        </w:trPr>
        <w:tc>
          <w:tcPr>
            <w:tcW w:w="5440" w:type="dxa"/>
            <w:vAlign w:val="bottom"/>
            <w:gridSpan w:val="2"/>
          </w:tcPr>
          <w:p>
            <w:pPr>
              <w:ind w:left="500"/>
              <w:spacing w:after="0"/>
              <w:rPr>
                <w:sz w:val="20"/>
                <w:szCs w:val="20"/>
                <w:color w:val="auto"/>
              </w:rPr>
            </w:pPr>
            <w:r>
              <w:rPr>
                <w:rFonts w:ascii="Arial" w:cs="Arial" w:eastAsia="Arial" w:hAnsi="Arial"/>
                <w:sz w:val="18"/>
                <w:szCs w:val="18"/>
                <w:color w:val="auto"/>
              </w:rPr>
              <w:t>Total operating expenses</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34,976</w:t>
            </w:r>
          </w:p>
        </w:tc>
        <w:tc>
          <w:tcPr>
            <w:tcW w:w="280" w:type="dxa"/>
            <w:vAlign w:val="bottom"/>
          </w:tcPr>
          <w:p>
            <w:pPr>
              <w:spacing w:after="0"/>
              <w:rPr>
                <w:sz w:val="19"/>
                <w:szCs w:val="19"/>
                <w:color w:val="auto"/>
              </w:rPr>
            </w:pPr>
          </w:p>
        </w:tc>
        <w:tc>
          <w:tcPr>
            <w:tcW w:w="13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0"/>
              </w:rPr>
              <w:t>12.6%</w:t>
            </w:r>
          </w:p>
        </w:tc>
        <w:tc>
          <w:tcPr>
            <w:tcW w:w="28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38,084</w:t>
            </w: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0"/>
              </w:rPr>
              <w:t>14.0%</w:t>
            </w:r>
          </w:p>
        </w:tc>
        <w:tc>
          <w:tcPr>
            <w:tcW w:w="100" w:type="dxa"/>
            <w:vAlign w:val="bottom"/>
          </w:tcPr>
          <w:p>
            <w:pPr>
              <w:spacing w:after="0"/>
              <w:rPr>
                <w:sz w:val="19"/>
                <w:szCs w:val="19"/>
                <w:color w:val="auto"/>
              </w:rPr>
            </w:pPr>
          </w:p>
        </w:tc>
      </w:tr>
      <w:tr>
        <w:trPr>
          <w:trHeight w:val="20"/>
        </w:trPr>
        <w:tc>
          <w:tcPr>
            <w:tcW w:w="5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240"/>
          </w:cols>
          <w:pgMar w:left="320" w:top="125" w:right="339" w:bottom="1440" w:gutter="0" w:footer="0" w:header="0"/>
        </w:sectPr>
      </w:pPr>
    </w:p>
    <w:p>
      <w:pPr>
        <w:spacing w:after="0" w:line="245"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type w:val="continuous"/>
        </w:sectPr>
      </w:pPr>
    </w:p>
    <w:bookmarkStart w:id="35" w:name="page36"/>
    <w:bookmarkEnd w:id="3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i w:val="1"/>
          <w:iCs w:val="1"/>
          <w:u w:val="single" w:color="auto"/>
          <w:color w:val="auto"/>
        </w:rPr>
        <w:t>Leasing</w:t>
      </w:r>
      <w:r>
        <w:rPr>
          <w:rFonts w:ascii="Arial" w:cs="Arial" w:eastAsia="Arial" w:hAnsi="Arial"/>
          <w:sz w:val="18"/>
          <w:szCs w:val="18"/>
          <w:i w:val="1"/>
          <w:iCs w:val="1"/>
          <w:color w:val="auto"/>
        </w:rPr>
        <w:t xml:space="preserve"> </w:t>
      </w:r>
      <w:r>
        <w:rPr>
          <w:rFonts w:ascii="Arial" w:cs="Arial" w:eastAsia="Arial" w:hAnsi="Arial"/>
          <w:sz w:val="18"/>
          <w:szCs w:val="18"/>
          <w:color w:val="auto"/>
        </w:rPr>
        <w:t>– Leasing operating expense was $4.9 million and $3.2 million for the three months ended March 31, 2022 and 2021, respectively. The increase is</w:t>
      </w:r>
      <w:r>
        <w:rPr>
          <w:rFonts w:ascii="Arial" w:cs="Arial" w:eastAsia="Arial" w:hAnsi="Arial"/>
          <w:sz w:val="18"/>
          <w:szCs w:val="18"/>
          <w:i w:val="1"/>
          <w:iCs w:val="1"/>
          <w:color w:val="auto"/>
        </w:rPr>
        <w:t xml:space="preserve"> </w:t>
      </w:r>
      <w:r>
        <w:rPr>
          <w:rFonts w:ascii="Arial" w:cs="Arial" w:eastAsia="Arial" w:hAnsi="Arial"/>
          <w:sz w:val="18"/>
          <w:szCs w:val="18"/>
          <w:color w:val="auto"/>
        </w:rPr>
        <w:t>primarily driven by growth within our Leasing business growth resulting in a $1.0 million increase in network expenses.</w:t>
      </w:r>
    </w:p>
    <w:p>
      <w:pPr>
        <w:spacing w:after="0" w:line="163"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i w:val="1"/>
          <w:iCs w:val="1"/>
          <w:u w:val="single" w:color="auto"/>
          <w:color w:val="auto"/>
        </w:rPr>
        <w:t>Fiber Infrastructure</w:t>
      </w:r>
      <w:r>
        <w:rPr>
          <w:rFonts w:ascii="Arial" w:cs="Arial" w:eastAsia="Arial" w:hAnsi="Arial"/>
          <w:sz w:val="18"/>
          <w:szCs w:val="18"/>
          <w:i w:val="1"/>
          <w:iCs w:val="1"/>
          <w:color w:val="auto"/>
        </w:rPr>
        <w:t xml:space="preserve"> </w:t>
      </w:r>
      <w:r>
        <w:rPr>
          <w:rFonts w:ascii="Arial" w:cs="Arial" w:eastAsia="Arial" w:hAnsi="Arial"/>
          <w:sz w:val="21"/>
          <w:szCs w:val="21"/>
          <w:color w:val="auto"/>
        </w:rPr>
        <w:t>–</w:t>
      </w:r>
      <w:r>
        <w:rPr>
          <w:rFonts w:ascii="Arial" w:cs="Arial" w:eastAsia="Arial" w:hAnsi="Arial"/>
          <w:sz w:val="18"/>
          <w:szCs w:val="18"/>
          <w:i w:val="1"/>
          <w:iCs w:val="1"/>
          <w:color w:val="auto"/>
        </w:rPr>
        <w:t xml:space="preserve"> </w:t>
      </w:r>
      <w:r>
        <w:rPr>
          <w:rFonts w:ascii="Arial" w:cs="Arial" w:eastAsia="Arial" w:hAnsi="Arial"/>
          <w:sz w:val="18"/>
          <w:szCs w:val="18"/>
          <w:color w:val="auto"/>
        </w:rPr>
        <w:t>For the three months ended March 31, 2022, Fiber Infrastructure operating expenses totaled $30.1 million as compared to $34.9</w:t>
      </w:r>
      <w:r>
        <w:rPr>
          <w:rFonts w:ascii="Arial" w:cs="Arial" w:eastAsia="Arial" w:hAnsi="Arial"/>
          <w:sz w:val="18"/>
          <w:szCs w:val="18"/>
          <w:i w:val="1"/>
          <w:iCs w:val="1"/>
          <w:color w:val="auto"/>
        </w:rPr>
        <w:t xml:space="preserve"> </w:t>
      </w:r>
      <w:r>
        <w:rPr>
          <w:rFonts w:ascii="Arial" w:cs="Arial" w:eastAsia="Arial" w:hAnsi="Arial"/>
          <w:sz w:val="18"/>
          <w:szCs w:val="18"/>
          <w:color w:val="auto"/>
        </w:rPr>
        <w:t>million for the three months ended March 31, 2021. Operating expense consists of network related costs, such as dark fiber and tower rents, and lit service and maintenance expense. In addition, costs associated with our construction activities are presented within operating expenses. The $4.7 million decrease in operating expenses is primarily attributable to decreases of $3.9 million in equipment sales and installations expenses, $1.7 million in expenses related to the Uniti Fiber Northeast operations sold on May 28, 2021 and $1.1 million in construction related expenses, partially offset by a $1.5 million increase in dark fiber early termination fees.</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Transaction Related and Other Costs</w:t>
      </w:r>
    </w:p>
    <w:p>
      <w:pPr>
        <w:spacing w:after="0" w:line="225" w:lineRule="exact"/>
        <w:rPr>
          <w:sz w:val="20"/>
          <w:szCs w:val="20"/>
          <w:color w:val="auto"/>
        </w:rPr>
      </w:pPr>
    </w:p>
    <w:p>
      <w:pPr>
        <w:ind w:right="200"/>
        <w:spacing w:after="0" w:line="275" w:lineRule="auto"/>
        <w:rPr>
          <w:sz w:val="20"/>
          <w:szCs w:val="20"/>
          <w:color w:val="auto"/>
        </w:rPr>
      </w:pPr>
      <w:r>
        <w:rPr>
          <w:rFonts w:ascii="Arial" w:cs="Arial" w:eastAsia="Arial" w:hAnsi="Arial"/>
          <w:sz w:val="17"/>
          <w:szCs w:val="17"/>
          <w:color w:val="auto"/>
        </w:rPr>
        <w:t>Transaction related and other costs included incremental acquisition, pursuit, transaction and integration costs (including unsuccessful acquisition pursuit costs), costs incurred as a result of Windstream’s bankruptcy filing, costs associated with Windstream’s claims against us and costs associated with the implementation of our new enterprise resource planning system. For the three months ended March 31, 2022, we incurred $1.7 million of transaction related and other costs, compared to $4.1 million of such costs during the three months ended March 31, 2021. The decrease is primarily attributable to a $1.3 million decrease in costs incurred related to the Windstream bankruptcy for the comparable periods.</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 Benefit</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The income tax benefit recorded for the three months ended March 31, 2022 and 2021, respectively, is related to the tax impact of the following:</w:t>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480" w:type="dxa"/>
            <w:vAlign w:val="bottom"/>
            <w:gridSpan w:val="6"/>
          </w:tcPr>
          <w:p>
            <w:pPr>
              <w:jc w:val="right"/>
              <w:ind w:right="740"/>
              <w:spacing w:after="0"/>
              <w:rPr>
                <w:sz w:val="20"/>
                <w:szCs w:val="20"/>
                <w:color w:val="auto"/>
              </w:rPr>
            </w:pPr>
            <w:r>
              <w:rPr>
                <w:rFonts w:ascii="Arial" w:cs="Arial" w:eastAsia="Arial" w:hAnsi="Arial"/>
                <w:sz w:val="18"/>
                <w:szCs w:val="18"/>
                <w:b w:val="1"/>
                <w:bCs w:val="1"/>
                <w:color w:val="auto"/>
              </w:rPr>
              <w:t>Three Months Ended March 31,</w:t>
            </w:r>
          </w:p>
        </w:tc>
      </w:tr>
      <w:tr>
        <w:trPr>
          <w:trHeight w:val="223"/>
        </w:trPr>
        <w:tc>
          <w:tcPr>
            <w:tcW w:w="72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(Thousands)</w:t>
            </w:r>
          </w:p>
        </w:tc>
        <w:tc>
          <w:tcPr>
            <w:tcW w:w="200" w:type="dxa"/>
            <w:vAlign w:val="bottom"/>
            <w:tcBorders>
              <w:bottom w:val="single" w:sz="8" w:color="CFF0FC"/>
            </w:tcBorders>
          </w:tcPr>
          <w:p>
            <w:pPr>
              <w:spacing w:after="0"/>
              <w:rPr>
                <w:sz w:val="19"/>
                <w:szCs w:val="19"/>
                <w:color w:val="auto"/>
              </w:rPr>
            </w:pPr>
          </w:p>
        </w:tc>
        <w:tc>
          <w:tcPr>
            <w:tcW w:w="34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320" w:type="dxa"/>
            <w:vAlign w:val="bottom"/>
            <w:tcBorders>
              <w:top w:val="single" w:sz="8" w:color="auto"/>
              <w:bottom w:val="single" w:sz="8" w:color="CFF0FC"/>
            </w:tcBorders>
          </w:tcPr>
          <w:p>
            <w:pPr>
              <w:spacing w:after="0"/>
              <w:rPr>
                <w:sz w:val="19"/>
                <w:szCs w:val="19"/>
                <w:color w:val="auto"/>
              </w:rPr>
            </w:pPr>
          </w:p>
        </w:tc>
        <w:tc>
          <w:tcPr>
            <w:tcW w:w="20" w:type="dxa"/>
            <w:vAlign w:val="bottom"/>
            <w:tcBorders>
              <w:top w:val="single" w:sz="8" w:color="auto"/>
              <w:bottom w:val="single" w:sz="8" w:color="CFF0FC"/>
            </w:tcBorders>
          </w:tcPr>
          <w:p>
            <w:pPr>
              <w:spacing w:after="0"/>
              <w:rPr>
                <w:sz w:val="19"/>
                <w:szCs w:val="19"/>
                <w:color w:val="auto"/>
              </w:rPr>
            </w:pPr>
          </w:p>
        </w:tc>
        <w:tc>
          <w:tcPr>
            <w:tcW w:w="360" w:type="dxa"/>
            <w:vAlign w:val="bottom"/>
            <w:tcBorders>
              <w:top w:val="single" w:sz="8" w:color="auto"/>
              <w:bottom w:val="single" w:sz="8" w:color="auto"/>
            </w:tcBorders>
          </w:tcPr>
          <w:p>
            <w:pPr>
              <w:spacing w:after="0"/>
              <w:rPr>
                <w:sz w:val="19"/>
                <w:szCs w:val="19"/>
                <w:color w:val="auto"/>
              </w:rPr>
            </w:pPr>
          </w:p>
        </w:tc>
        <w:tc>
          <w:tcPr>
            <w:tcW w:w="1320" w:type="dxa"/>
            <w:vAlign w:val="bottom"/>
            <w:tcBorders>
              <w:top w:val="single" w:sz="8" w:color="auto"/>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2021</w:t>
            </w:r>
          </w:p>
        </w:tc>
        <w:tc>
          <w:tcPr>
            <w:tcW w:w="120" w:type="dxa"/>
            <w:vAlign w:val="bottom"/>
            <w:tcBorders>
              <w:bottom w:val="single" w:sz="8" w:color="CFF0FC"/>
            </w:tcBorders>
          </w:tcPr>
          <w:p>
            <w:pPr>
              <w:spacing w:after="0"/>
              <w:rPr>
                <w:sz w:val="19"/>
                <w:szCs w:val="19"/>
                <w:color w:val="auto"/>
              </w:rPr>
            </w:pPr>
          </w:p>
        </w:tc>
      </w:tr>
      <w:tr>
        <w:trPr>
          <w:trHeight w:val="223"/>
        </w:trPr>
        <w:tc>
          <w:tcPr>
            <w:tcW w:w="722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Income tax benefit</w:t>
            </w:r>
          </w:p>
        </w:tc>
        <w:tc>
          <w:tcPr>
            <w:tcW w:w="2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30"/>
        </w:trPr>
        <w:tc>
          <w:tcPr>
            <w:tcW w:w="7220" w:type="dxa"/>
            <w:vAlign w:val="bottom"/>
          </w:tcPr>
          <w:p>
            <w:pPr>
              <w:ind w:left="260"/>
              <w:spacing w:after="0"/>
              <w:rPr>
                <w:sz w:val="20"/>
                <w:szCs w:val="20"/>
                <w:color w:val="auto"/>
              </w:rPr>
            </w:pPr>
            <w:r>
              <w:rPr>
                <w:rFonts w:ascii="Arial" w:cs="Arial" w:eastAsia="Arial" w:hAnsi="Arial"/>
                <w:sz w:val="18"/>
                <w:szCs w:val="18"/>
                <w:color w:val="auto"/>
              </w:rPr>
              <w:t>Pre-tax loss (Fiber Infrastructure)</w:t>
            </w:r>
          </w:p>
        </w:tc>
        <w:tc>
          <w:tcPr>
            <w:tcW w:w="540" w:type="dxa"/>
            <w:vAlign w:val="bottom"/>
            <w:gridSpan w:val="2"/>
          </w:tcPr>
          <w:p>
            <w:pPr>
              <w:jc w:val="right"/>
              <w:ind w:right="187"/>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260"/>
              <w:spacing w:after="0"/>
              <w:rPr>
                <w:sz w:val="20"/>
                <w:szCs w:val="20"/>
                <w:color w:val="auto"/>
              </w:rPr>
            </w:pPr>
            <w:r>
              <w:rPr>
                <w:rFonts w:ascii="Arial" w:cs="Arial" w:eastAsia="Arial" w:hAnsi="Arial"/>
                <w:sz w:val="18"/>
                <w:szCs w:val="18"/>
                <w:color w:val="auto"/>
              </w:rPr>
              <w:t>(3,812)</w:t>
            </w:r>
          </w:p>
        </w:tc>
        <w:tc>
          <w:tcPr>
            <w:tcW w:w="380" w:type="dxa"/>
            <w:vAlign w:val="bottom"/>
            <w:gridSpan w:val="2"/>
          </w:tcPr>
          <w:p>
            <w:pPr>
              <w:jc w:val="right"/>
              <w:ind w:right="249"/>
              <w:spacing w:after="0"/>
              <w:rPr>
                <w:sz w:val="20"/>
                <w:szCs w:val="20"/>
                <w:color w:val="auto"/>
              </w:rPr>
            </w:pPr>
            <w:r>
              <w:rPr>
                <w:rFonts w:ascii="Arial" w:cs="Arial" w:eastAsia="Arial" w:hAnsi="Arial"/>
                <w:sz w:val="15"/>
                <w:szCs w:val="15"/>
                <w:color w:val="auto"/>
                <w:w w:val="71"/>
              </w:rPr>
              <w:t>$</w:t>
            </w:r>
          </w:p>
        </w:tc>
        <w:tc>
          <w:tcPr>
            <w:tcW w:w="1440" w:type="dxa"/>
            <w:vAlign w:val="bottom"/>
            <w:gridSpan w:val="2"/>
          </w:tcPr>
          <w:p>
            <w:pPr>
              <w:jc w:val="right"/>
              <w:ind w:right="60"/>
              <w:spacing w:after="0"/>
              <w:rPr>
                <w:sz w:val="20"/>
                <w:szCs w:val="20"/>
                <w:color w:val="auto"/>
              </w:rPr>
            </w:pPr>
            <w:r>
              <w:rPr>
                <w:rFonts w:ascii="Arial" w:cs="Arial" w:eastAsia="Arial" w:hAnsi="Arial"/>
                <w:sz w:val="18"/>
                <w:szCs w:val="18"/>
                <w:color w:val="auto"/>
              </w:rPr>
              <w:t>(3,058)</w:t>
            </w:r>
          </w:p>
        </w:tc>
      </w:tr>
      <w:tr>
        <w:trPr>
          <w:trHeight w:val="230"/>
        </w:trPr>
        <w:tc>
          <w:tcPr>
            <w:tcW w:w="72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 undistributed REIT taxable income</w:t>
            </w:r>
          </w:p>
        </w:tc>
        <w:tc>
          <w:tcPr>
            <w:tcW w:w="2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1,160</w:t>
            </w:r>
          </w:p>
        </w:tc>
        <w:tc>
          <w:tcPr>
            <w:tcW w:w="3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r>
      <w:tr>
        <w:trPr>
          <w:trHeight w:val="230"/>
        </w:trPr>
        <w:tc>
          <w:tcPr>
            <w:tcW w:w="7220" w:type="dxa"/>
            <w:vAlign w:val="bottom"/>
          </w:tcPr>
          <w:p>
            <w:pPr>
              <w:ind w:left="260"/>
              <w:spacing w:after="0"/>
              <w:rPr>
                <w:sz w:val="20"/>
                <w:szCs w:val="20"/>
                <w:color w:val="auto"/>
              </w:rPr>
            </w:pPr>
            <w:r>
              <w:rPr>
                <w:rFonts w:ascii="Arial" w:cs="Arial" w:eastAsia="Arial" w:hAnsi="Arial"/>
                <w:sz w:val="18"/>
                <w:szCs w:val="18"/>
                <w:color w:val="auto"/>
              </w:rPr>
              <w:t>REIT state and local taxes</w:t>
            </w: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538</w:t>
            </w:r>
          </w:p>
        </w:tc>
        <w:tc>
          <w:tcPr>
            <w:tcW w:w="3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370</w:t>
            </w:r>
          </w:p>
        </w:tc>
        <w:tc>
          <w:tcPr>
            <w:tcW w:w="120" w:type="dxa"/>
            <w:vAlign w:val="bottom"/>
          </w:tcPr>
          <w:p>
            <w:pPr>
              <w:spacing w:after="0"/>
              <w:rPr>
                <w:sz w:val="19"/>
                <w:szCs w:val="19"/>
                <w:color w:val="auto"/>
              </w:rPr>
            </w:pPr>
          </w:p>
        </w:tc>
      </w:tr>
      <w:tr>
        <w:trPr>
          <w:trHeight w:val="229"/>
        </w:trPr>
        <w:tc>
          <w:tcPr>
            <w:tcW w:w="72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w:t>
            </w:r>
          </w:p>
        </w:tc>
        <w:tc>
          <w:tcPr>
            <w:tcW w:w="20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43</w:t>
            </w:r>
          </w:p>
        </w:tc>
        <w:tc>
          <w:tcPr>
            <w:tcW w:w="3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131</w:t>
            </w:r>
          </w:p>
        </w:tc>
        <w:tc>
          <w:tcPr>
            <w:tcW w:w="120" w:type="dxa"/>
            <w:vAlign w:val="bottom"/>
            <w:shd w:val="clear" w:color="auto" w:fill="CFF0FC"/>
          </w:tcPr>
          <w:p>
            <w:pPr>
              <w:spacing w:after="0"/>
              <w:rPr>
                <w:sz w:val="19"/>
                <w:szCs w:val="19"/>
                <w:color w:val="auto"/>
              </w:rPr>
            </w:pPr>
          </w:p>
        </w:tc>
      </w:tr>
      <w:tr>
        <w:trPr>
          <w:trHeight w:val="223"/>
        </w:trPr>
        <w:tc>
          <w:tcPr>
            <w:tcW w:w="7220" w:type="dxa"/>
            <w:vAlign w:val="bottom"/>
          </w:tcPr>
          <w:p>
            <w:pPr>
              <w:ind w:left="380"/>
              <w:spacing w:after="0"/>
              <w:rPr>
                <w:sz w:val="20"/>
                <w:szCs w:val="20"/>
                <w:color w:val="auto"/>
              </w:rPr>
            </w:pPr>
            <w:r>
              <w:rPr>
                <w:rFonts w:ascii="Arial" w:cs="Arial" w:eastAsia="Arial" w:hAnsi="Arial"/>
                <w:sz w:val="18"/>
                <w:szCs w:val="18"/>
                <w:color w:val="auto"/>
              </w:rPr>
              <w:t>Total income tax benefit</w:t>
            </w:r>
          </w:p>
        </w:tc>
        <w:tc>
          <w:tcPr>
            <w:tcW w:w="200" w:type="dxa"/>
            <w:vAlign w:val="bottom"/>
          </w:tcPr>
          <w:p>
            <w:pPr>
              <w:spacing w:after="0"/>
              <w:rPr>
                <w:sz w:val="19"/>
                <w:szCs w:val="19"/>
                <w:color w:val="auto"/>
              </w:rPr>
            </w:pPr>
          </w:p>
        </w:tc>
        <w:tc>
          <w:tcPr>
            <w:tcW w:w="340" w:type="dxa"/>
            <w:vAlign w:val="bottom"/>
            <w:tcBorders>
              <w:bottom w:val="single" w:sz="8" w:color="auto"/>
            </w:tcBorders>
          </w:tcPr>
          <w:p>
            <w:pPr>
              <w:jc w:val="right"/>
              <w:ind w:right="187"/>
              <w:spacing w:after="0"/>
              <w:rPr>
                <w:sz w:val="20"/>
                <w:szCs w:val="20"/>
                <w:color w:val="auto"/>
              </w:rPr>
            </w:pPr>
            <w:r>
              <w:rPr>
                <w:rFonts w:ascii="Arial" w:cs="Arial" w:eastAsia="Arial" w:hAnsi="Arial"/>
                <w:sz w:val="15"/>
                <w:szCs w:val="15"/>
                <w:color w:val="auto"/>
                <w:w w:val="71"/>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(2,071)</w:t>
            </w:r>
          </w:p>
        </w:tc>
        <w:tc>
          <w:tcPr>
            <w:tcW w:w="3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360" w:type="dxa"/>
            <w:vAlign w:val="bottom"/>
            <w:tcBorders>
              <w:bottom w:val="single" w:sz="8" w:color="auto"/>
            </w:tcBorders>
          </w:tcPr>
          <w:p>
            <w:pPr>
              <w:jc w:val="right"/>
              <w:ind w:right="249"/>
              <w:spacing w:after="0"/>
              <w:rPr>
                <w:sz w:val="20"/>
                <w:szCs w:val="20"/>
                <w:color w:val="auto"/>
              </w:rPr>
            </w:pPr>
            <w:r>
              <w:rPr>
                <w:rFonts w:ascii="Arial" w:cs="Arial" w:eastAsia="Arial" w:hAnsi="Arial"/>
                <w:sz w:val="10"/>
                <w:szCs w:val="10"/>
                <w:color w:val="auto"/>
                <w:w w:val="71"/>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(2,557)</w:t>
            </w:r>
          </w:p>
        </w:tc>
        <w:tc>
          <w:tcPr>
            <w:tcW w:w="120" w:type="dxa"/>
            <w:vAlign w:val="bottom"/>
          </w:tcPr>
          <w:p>
            <w:pPr>
              <w:spacing w:after="0"/>
              <w:rPr>
                <w:sz w:val="19"/>
                <w:szCs w:val="19"/>
                <w:color w:val="auto"/>
              </w:rPr>
            </w:pPr>
          </w:p>
        </w:tc>
      </w:tr>
      <w:tr>
        <w:trPr>
          <w:trHeight w:val="20"/>
        </w:trPr>
        <w:tc>
          <w:tcPr>
            <w:tcW w:w="72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36" w:name="page37"/>
    <w:bookmarkEnd w:id="3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Financial Measures</w:t>
      </w:r>
    </w:p>
    <w:p>
      <w:pPr>
        <w:spacing w:after="0" w:line="229"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We refer to EBITDA, Adjusted EBITDA, Funds From Operations (“FFO”) (as defined by the National Association of Real Estate Investment Trusts (“NAREIT”)) and Adjusted Funds From Operations (“AFFO”) in our analysis of our results of operations, which are not required by, or presented in accordance with, accounting principles generally accepted in the United States (“GAAP”). While we believe that net income, as defined by GAAP, is the most appropriate earnings measure, we also believe that EBITDA, Adjusted EBITDA, FFO and AFFO are important non-GAAP supplemental measures of operating performance for a REIT.</w:t>
      </w:r>
    </w:p>
    <w:p>
      <w:pPr>
        <w:spacing w:after="0" w:line="215"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We define “EBITDA” as net income, as defined by GAAP, before interest expense, provision for income taxes and depreciation and amortization. We define “Adjusted EBITDA” as EBITDA before stock-based compensation expense and the impact, which may be recurring in nature, of transaction and integration related costs, costs associated with Windstream’s bankruptcy, costs associated with litigation claims made against us, and costs associated with the implementation of our enterprise resource planning system, (collectively, “Transaction Related and Other Costs”), costs related to the settlement with Windstream, goodwill impairment charges, executive severance costs, amortization of non-cash rights-of-use assets, the write off of unamortized deferred financing costs, costs incurred as a result of the early repayment of debt, including early tender and redemption premiums and costs associated with the termination of related hedging activities, gains or losses on dispositions, changes in the fair value of contingent consideration and financial instruments, and other similar or infrequent items (although we may not have had such charges in the periods presented). Adjusted EBITDA includes adjustments to reflect the Company’s share of Adjusted EBITDA from unconsolidated entities. We believe EBITDA and Adjusted EBITDA are important supplemental measures to net income because they provide additional information to evaluate our operating performance on an unleveraged basis. In addition, Adjusted EBITDA is calculated similar to defined terms in our material debt agreements used to determine compliance with specific financial covenants. Since EBITDA and Adjusted EBITDA are not measures calculated in accordance with GAAP, they should not be considered as alternatives to net income determined in accordance with GAAP.</w:t>
      </w:r>
    </w:p>
    <w:p>
      <w:pPr>
        <w:spacing w:after="0" w:line="186"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color w:val="auto"/>
        </w:rPr>
        <w:t>Because the historical cost accounting convention used for real estate assets requires the recognition of depreciation expense except on land, such accounting presentation implies that the value of real estate assets diminishes predictably over time. However, since real estate values have historically risen or fallen with market and other conditions, presentations of operating results for a REIT that uses historical cost accounting for depreciation could be less informative. Thus, NAREIT created FFO as a supplemental measure of operating performance for REITs that excludes historical cost depreciation and amortization, among other items, from net income, as defined by GAAP. FFO is defined by NAREIT as net income attributable to common shareholders computed in accordance with GAAP, excluding gains or losses from real estate dispositions, plus real estate depreciation and amortization and impairment charges, and includes adjustments to reflect the Company’s share of FFO from unconsolidated entities. We compute FFO in accordance with NAREIT’s definition.</w:t>
      </w:r>
    </w:p>
    <w:p>
      <w:pPr>
        <w:spacing w:after="0" w:line="192" w:lineRule="exact"/>
        <w:rPr>
          <w:sz w:val="20"/>
          <w:szCs w:val="20"/>
          <w:color w:val="auto"/>
        </w:rPr>
      </w:pPr>
    </w:p>
    <w:p>
      <w:pPr>
        <w:ind w:right="40"/>
        <w:spacing w:after="0" w:line="285" w:lineRule="auto"/>
        <w:rPr>
          <w:sz w:val="20"/>
          <w:szCs w:val="20"/>
          <w:color w:val="auto"/>
        </w:rPr>
      </w:pPr>
      <w:r>
        <w:rPr>
          <w:rFonts w:ascii="Arial" w:cs="Arial" w:eastAsia="Arial" w:hAnsi="Arial"/>
          <w:sz w:val="16"/>
          <w:szCs w:val="16"/>
          <w:color w:val="auto"/>
        </w:rPr>
        <w:t>The Company defines AFFO, as FFO excluding (i) Transaction Related and Other Costs; (ii) costs related to the litigation settlement with Windstream, accretion on our settlement obligation, and gains on prepayment of our settlement obligation as these items are not reflective of ongoing operating performance; (iii) goodwill impairment charges; (iv) certain non-cash revenues and expenses such as stock-based compensation expense, amortization of debt and equity discounts, amortization of deferred financing costs, depreciation and amortization of non-real estate assets, amortization of non-cash rights-of-use assets, straight line revenues, non-cash income taxes, and the amortization of other non-cash revenues to the extent that cash has not been received, such as revenue associated with the amortization of TCIs; and (v) the impact, which may be recurring in nature, of the write-off of unamortized deferred financing fees, additional costs incurred as a result of the early repayment of debt, including early tender and redemption premiums and costs associated with the termination of related hedging activities, executive severance costs, taxes associated with tax basis cancellation of debt, gains or losses on dispositions, changes in the fair value of contingent consideration and financial instruments and similar or infrequent items less maintenance capital expenditures. AFFO includes adjustments to reflect the Company’s share of AFFO from unconsolidated entities. We believe that the use of FFO and AFFO, and their respective per share amounts, combined with the required GAAP presentations, improves the understanding of operating results of REITs among investors and analysts, and makes comparisons of operating results among such companies more meaningful. We consider FFO and AFFO to be useful measures for reviewing comparative operating performance. In particular, we believe AFFO, by excluding certain revenue and expense items, can help investors compare our operating performance between periods and to other REITs on a consistent basis without having to account for differences caused by unanticipated items and events, such as transaction and integration related costs. The Company uses FFO and AFFO, and their respective per share amounts, only as performance measures, and FFO and AFFO do not purport to be indicative of cash available to fund our future cash requirements. While FFO and AFFO are relevant and widely used measures of operating performance of REITs, they do not represent cash flows from operations or net income as defined by GAAP and should not be considered an alternative to those measures in evaluating our liquidity or operating performance</w:t>
      </w:r>
      <w:r>
        <w:rPr>
          <w:rFonts w:ascii="Arial" w:cs="Arial" w:eastAsia="Arial" w:hAnsi="Arial"/>
          <w:sz w:val="19"/>
          <w:szCs w:val="19"/>
          <w:color w:val="auto"/>
        </w:rPr>
        <w:t>.</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37" w:name="page38"/>
    <w:bookmarkEnd w:id="3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jc w:val="both"/>
        <w:ind w:right="180"/>
        <w:spacing w:after="0" w:line="263" w:lineRule="auto"/>
        <w:rPr>
          <w:sz w:val="20"/>
          <w:szCs w:val="20"/>
          <w:color w:val="auto"/>
        </w:rPr>
      </w:pPr>
      <w:r>
        <w:rPr>
          <w:rFonts w:ascii="Arial" w:cs="Arial" w:eastAsia="Arial" w:hAnsi="Arial"/>
          <w:sz w:val="18"/>
          <w:szCs w:val="18"/>
          <w:color w:val="auto"/>
        </w:rPr>
        <w:t>Further, our computations of EBITDA, Adjusted EBITDA, FFO and AFFO may not be comparable to that reported by other REITs or companies that do not define FFO in accordance with the current NAREIT definition or that interpret the current NAREIT definition or define EBITDA, Adjusted EBITDA and AFFO differently than we do.</w:t>
      </w:r>
    </w:p>
    <w:p>
      <w:pPr>
        <w:spacing w:after="0" w:line="184"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The reconciliation of our net income (loss) to EBITDA and Adjusted EBITDA and of our net income (loss) attributable to common shareholders to FFO and AFFO for the three months ended March 31, 2022 and 2021 is as follows:</w:t>
      </w:r>
    </w:p>
    <w:p>
      <w:pPr>
        <w:spacing w:after="0" w:line="180" w:lineRule="exact"/>
        <w:rPr>
          <w:sz w:val="20"/>
          <w:szCs w:val="20"/>
          <w:color w:val="auto"/>
        </w:rPr>
      </w:pPr>
    </w:p>
    <w:p>
      <w:pPr>
        <w:ind w:left="7740"/>
        <w:spacing w:after="0"/>
        <w:rPr>
          <w:sz w:val="20"/>
          <w:szCs w:val="20"/>
          <w:color w:val="auto"/>
        </w:rPr>
      </w:pPr>
      <w:r>
        <w:rPr>
          <w:rFonts w:ascii="Arial" w:cs="Arial" w:eastAsia="Arial" w:hAnsi="Arial"/>
          <w:sz w:val="18"/>
          <w:szCs w:val="18"/>
          <w:b w:val="1"/>
          <w:bCs w:val="1"/>
          <w:color w:val="auto"/>
        </w:rPr>
        <w:t>Three Months Ended March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6840" w:type="dxa"/>
            <w:vAlign w:val="bottom"/>
            <w:tcBorders>
              <w:bottom w:val="single" w:sz="8" w:color="CFF0FC"/>
            </w:tcBorders>
          </w:tcPr>
          <w:p>
            <w:pPr>
              <w:spacing w:after="0"/>
              <w:rPr>
                <w:sz w:val="20"/>
                <w:szCs w:val="20"/>
                <w:color w:val="auto"/>
              </w:rPr>
            </w:pPr>
            <w:r>
              <w:rPr>
                <w:rFonts w:ascii="Arial" w:cs="Arial" w:eastAsia="Arial" w:hAnsi="Arial"/>
                <w:sz w:val="14"/>
                <w:szCs w:val="14"/>
                <w:color w:val="auto"/>
              </w:rPr>
              <w:t>(Thousands)</w:t>
            </w:r>
          </w:p>
        </w:tc>
        <w:tc>
          <w:tcPr>
            <w:tcW w:w="440" w:type="dxa"/>
            <w:vAlign w:val="bottom"/>
            <w:tcBorders>
              <w:top w:val="single" w:sz="8" w:color="auto"/>
              <w:bottom w:val="single" w:sz="8" w:color="auto"/>
            </w:tcBorders>
          </w:tcPr>
          <w:p>
            <w:pPr>
              <w:spacing w:after="0"/>
              <w:rPr>
                <w:sz w:val="19"/>
                <w:szCs w:val="19"/>
                <w:color w:val="auto"/>
              </w:rPr>
            </w:pPr>
          </w:p>
        </w:tc>
        <w:tc>
          <w:tcPr>
            <w:tcW w:w="1540" w:type="dxa"/>
            <w:vAlign w:val="bottom"/>
            <w:tcBorders>
              <w:top w:val="single" w:sz="8" w:color="auto"/>
              <w:bottom w:val="single" w:sz="8" w:color="auto"/>
            </w:tcBorders>
          </w:tcPr>
          <w:p>
            <w:pPr>
              <w:jc w:val="right"/>
              <w:ind w:right="730"/>
              <w:spacing w:after="0"/>
              <w:rPr>
                <w:sz w:val="20"/>
                <w:szCs w:val="20"/>
                <w:color w:val="auto"/>
              </w:rPr>
            </w:pPr>
            <w:r>
              <w:rPr>
                <w:rFonts w:ascii="Arial" w:cs="Arial" w:eastAsia="Arial" w:hAnsi="Arial"/>
                <w:sz w:val="18"/>
                <w:szCs w:val="18"/>
                <w:b w:val="1"/>
                <w:bCs w:val="1"/>
                <w:color w:val="auto"/>
              </w:rPr>
              <w:t>2022</w:t>
            </w:r>
          </w:p>
        </w:tc>
        <w:tc>
          <w:tcPr>
            <w:tcW w:w="300" w:type="dxa"/>
            <w:vAlign w:val="bottom"/>
            <w:tcBorders>
              <w:top w:val="single" w:sz="8" w:color="auto"/>
              <w:bottom w:val="single" w:sz="8" w:color="CFF0FC"/>
            </w:tcBorders>
          </w:tcPr>
          <w:p>
            <w:pPr>
              <w:spacing w:after="0"/>
              <w:rPr>
                <w:sz w:val="19"/>
                <w:szCs w:val="19"/>
                <w:color w:val="auto"/>
              </w:rPr>
            </w:pPr>
          </w:p>
        </w:tc>
        <w:tc>
          <w:tcPr>
            <w:tcW w:w="20" w:type="dxa"/>
            <w:vAlign w:val="bottom"/>
            <w:tcBorders>
              <w:top w:val="single" w:sz="8" w:color="auto"/>
              <w:bottom w:val="single" w:sz="8" w:color="CFF0FC"/>
            </w:tcBorders>
          </w:tcPr>
          <w:p>
            <w:pPr>
              <w:spacing w:after="0"/>
              <w:rPr>
                <w:sz w:val="19"/>
                <w:szCs w:val="19"/>
                <w:color w:val="auto"/>
              </w:rPr>
            </w:pPr>
          </w:p>
        </w:tc>
        <w:tc>
          <w:tcPr>
            <w:tcW w:w="440" w:type="dxa"/>
            <w:vAlign w:val="bottom"/>
            <w:tcBorders>
              <w:top w:val="single" w:sz="8" w:color="auto"/>
              <w:bottom w:val="single" w:sz="8" w:color="auto"/>
            </w:tcBorders>
          </w:tcPr>
          <w:p>
            <w:pPr>
              <w:spacing w:after="0"/>
              <w:rPr>
                <w:sz w:val="19"/>
                <w:szCs w:val="19"/>
                <w:color w:val="auto"/>
              </w:rPr>
            </w:pPr>
          </w:p>
        </w:tc>
        <w:tc>
          <w:tcPr>
            <w:tcW w:w="1540" w:type="dxa"/>
            <w:vAlign w:val="bottom"/>
            <w:tcBorders>
              <w:top w:val="single" w:sz="8" w:color="auto"/>
              <w:bottom w:val="single" w:sz="8" w:color="auto"/>
            </w:tcBorders>
          </w:tcPr>
          <w:p>
            <w:pPr>
              <w:jc w:val="right"/>
              <w:ind w:right="730"/>
              <w:spacing w:after="0"/>
              <w:rPr>
                <w:sz w:val="20"/>
                <w:szCs w:val="20"/>
                <w:color w:val="auto"/>
              </w:rPr>
            </w:pPr>
            <w:r>
              <w:rPr>
                <w:rFonts w:ascii="Arial" w:cs="Arial" w:eastAsia="Arial" w:hAnsi="Arial"/>
                <w:sz w:val="18"/>
                <w:szCs w:val="18"/>
                <w:b w:val="1"/>
                <w:bCs w:val="1"/>
                <w:color w:val="auto"/>
              </w:rPr>
              <w:t>2021</w:t>
            </w:r>
          </w:p>
        </w:tc>
        <w:tc>
          <w:tcPr>
            <w:tcW w:w="120" w:type="dxa"/>
            <w:vAlign w:val="bottom"/>
            <w:tcBorders>
              <w:bottom w:val="single" w:sz="8" w:color="CFF0FC"/>
            </w:tcBorders>
          </w:tcPr>
          <w:p>
            <w:pPr>
              <w:spacing w:after="0"/>
              <w:rPr>
                <w:sz w:val="19"/>
                <w:szCs w:val="19"/>
                <w:color w:val="auto"/>
              </w:rPr>
            </w:pPr>
          </w:p>
        </w:tc>
      </w:tr>
      <w:tr>
        <w:trPr>
          <w:trHeight w:val="223"/>
        </w:trPr>
        <w:tc>
          <w:tcPr>
            <w:tcW w:w="684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Net income (loss)</w:t>
            </w:r>
          </w:p>
        </w:tc>
        <w:tc>
          <w:tcPr>
            <w:tcW w:w="440" w:type="dxa"/>
            <w:vAlign w:val="bottom"/>
            <w:shd w:val="clear" w:color="auto" w:fill="CFF0FC"/>
          </w:tcPr>
          <w:p>
            <w:pPr>
              <w:jc w:val="right"/>
              <w:ind w:right="287"/>
              <w:spacing w:after="0"/>
              <w:rPr>
                <w:sz w:val="20"/>
                <w:szCs w:val="20"/>
                <w:color w:val="auto"/>
              </w:rPr>
            </w:pPr>
            <w:r>
              <w:rPr>
                <w:rFonts w:ascii="Arial" w:cs="Arial" w:eastAsia="Arial" w:hAnsi="Arial"/>
                <w:sz w:val="15"/>
                <w:szCs w:val="15"/>
                <w:color w:val="auto"/>
                <w:w w:val="71"/>
              </w:rPr>
              <w:t>$</w:t>
            </w: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52,858</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440" w:type="dxa"/>
            <w:vAlign w:val="bottom"/>
            <w:shd w:val="clear" w:color="auto" w:fill="CFF0FC"/>
          </w:tcPr>
          <w:p>
            <w:pPr>
              <w:jc w:val="right"/>
              <w:ind w:right="287"/>
              <w:spacing w:after="0"/>
              <w:rPr>
                <w:sz w:val="20"/>
                <w:szCs w:val="20"/>
                <w:color w:val="auto"/>
              </w:rPr>
            </w:pPr>
            <w:r>
              <w:rPr>
                <w:rFonts w:ascii="Arial" w:cs="Arial" w:eastAsia="Arial" w:hAnsi="Arial"/>
                <w:sz w:val="15"/>
                <w:szCs w:val="15"/>
                <w:color w:val="auto"/>
                <w:w w:val="71"/>
              </w:rPr>
              <w:t>$</w:t>
            </w: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(4,502)</w:t>
            </w:r>
          </w:p>
        </w:tc>
        <w:tc>
          <w:tcPr>
            <w:tcW w:w="120" w:type="dxa"/>
            <w:vAlign w:val="bottom"/>
            <w:shd w:val="clear" w:color="auto" w:fill="CFF0FC"/>
          </w:tcPr>
          <w:p>
            <w:pPr>
              <w:spacing w:after="0"/>
              <w:rPr>
                <w:sz w:val="19"/>
                <w:szCs w:val="19"/>
                <w:color w:val="auto"/>
              </w:rPr>
            </w:pPr>
          </w:p>
        </w:tc>
      </w:tr>
      <w:tr>
        <w:trPr>
          <w:trHeight w:val="229"/>
        </w:trPr>
        <w:tc>
          <w:tcPr>
            <w:tcW w:w="6840" w:type="dxa"/>
            <w:vAlign w:val="bottom"/>
          </w:tcPr>
          <w:p>
            <w:pPr>
              <w:spacing w:after="0"/>
              <w:rPr>
                <w:sz w:val="20"/>
                <w:szCs w:val="20"/>
                <w:color w:val="auto"/>
              </w:rPr>
            </w:pPr>
            <w:r>
              <w:rPr>
                <w:rFonts w:ascii="Arial" w:cs="Arial" w:eastAsia="Arial" w:hAnsi="Arial"/>
                <w:sz w:val="18"/>
                <w:szCs w:val="18"/>
                <w:color w:val="auto"/>
              </w:rPr>
              <w:t>Depreciation and amortization</w:t>
            </w:r>
          </w:p>
        </w:tc>
        <w:tc>
          <w:tcPr>
            <w:tcW w:w="44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71,457</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70,964</w:t>
            </w:r>
          </w:p>
        </w:tc>
        <w:tc>
          <w:tcPr>
            <w:tcW w:w="120" w:type="dxa"/>
            <w:vAlign w:val="bottom"/>
          </w:tcPr>
          <w:p>
            <w:pPr>
              <w:spacing w:after="0"/>
              <w:rPr>
                <w:sz w:val="19"/>
                <w:szCs w:val="19"/>
                <w:color w:val="auto"/>
              </w:rPr>
            </w:pPr>
          </w:p>
        </w:tc>
      </w:tr>
      <w:tr>
        <w:trPr>
          <w:trHeight w:val="229"/>
        </w:trPr>
        <w:tc>
          <w:tcPr>
            <w:tcW w:w="6840" w:type="dxa"/>
            <w:vAlign w:val="bottom"/>
            <w:shd w:val="clear" w:color="auto" w:fill="CFF0FC"/>
          </w:tcPr>
          <w:p>
            <w:pPr>
              <w:spacing w:after="0"/>
              <w:rPr>
                <w:sz w:val="20"/>
                <w:szCs w:val="20"/>
                <w:color w:val="auto"/>
              </w:rPr>
            </w:pPr>
            <w:r>
              <w:rPr>
                <w:rFonts w:ascii="Arial" w:cs="Arial" w:eastAsia="Arial" w:hAnsi="Arial"/>
                <w:sz w:val="18"/>
                <w:szCs w:val="18"/>
                <w:color w:val="auto"/>
              </w:rPr>
              <w:t>Interest expense, net</w:t>
            </w:r>
          </w:p>
        </w:tc>
        <w:tc>
          <w:tcPr>
            <w:tcW w:w="44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96,172</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140,581</w:t>
            </w:r>
          </w:p>
        </w:tc>
        <w:tc>
          <w:tcPr>
            <w:tcW w:w="120" w:type="dxa"/>
            <w:vAlign w:val="bottom"/>
            <w:shd w:val="clear" w:color="auto" w:fill="CFF0FC"/>
          </w:tcPr>
          <w:p>
            <w:pPr>
              <w:spacing w:after="0"/>
              <w:rPr>
                <w:sz w:val="19"/>
                <w:szCs w:val="19"/>
                <w:color w:val="auto"/>
              </w:rPr>
            </w:pPr>
          </w:p>
        </w:tc>
      </w:tr>
      <w:tr>
        <w:trPr>
          <w:trHeight w:val="230"/>
        </w:trPr>
        <w:tc>
          <w:tcPr>
            <w:tcW w:w="6840" w:type="dxa"/>
            <w:vAlign w:val="bottom"/>
          </w:tcPr>
          <w:p>
            <w:pPr>
              <w:spacing w:after="0"/>
              <w:rPr>
                <w:sz w:val="20"/>
                <w:szCs w:val="20"/>
                <w:color w:val="auto"/>
              </w:rPr>
            </w:pPr>
            <w:r>
              <w:rPr>
                <w:rFonts w:ascii="Arial" w:cs="Arial" w:eastAsia="Arial" w:hAnsi="Arial"/>
                <w:sz w:val="18"/>
                <w:szCs w:val="18"/>
                <w:color w:val="auto"/>
              </w:rPr>
              <w:t>Income tax benefit</w:t>
            </w:r>
          </w:p>
        </w:tc>
        <w:tc>
          <w:tcPr>
            <w:tcW w:w="440" w:type="dxa"/>
            <w:vAlign w:val="bottom"/>
          </w:tcPr>
          <w:p>
            <w:pPr>
              <w:spacing w:after="0"/>
              <w:rPr>
                <w:sz w:val="19"/>
                <w:szCs w:val="19"/>
                <w:color w:val="auto"/>
              </w:rPr>
            </w:pPr>
          </w:p>
        </w:tc>
        <w:tc>
          <w:tcPr>
            <w:tcW w:w="1840" w:type="dxa"/>
            <w:vAlign w:val="bottom"/>
            <w:gridSpan w:val="2"/>
          </w:tcPr>
          <w:p>
            <w:pPr>
              <w:jc w:val="right"/>
              <w:ind w:right="240"/>
              <w:spacing w:after="0"/>
              <w:rPr>
                <w:sz w:val="20"/>
                <w:szCs w:val="20"/>
                <w:color w:val="auto"/>
              </w:rPr>
            </w:pPr>
            <w:r>
              <w:rPr>
                <w:rFonts w:ascii="Arial" w:cs="Arial" w:eastAsia="Arial" w:hAnsi="Arial"/>
                <w:sz w:val="18"/>
                <w:szCs w:val="18"/>
                <w:color w:val="auto"/>
              </w:rPr>
              <w:t>(2,071)</w:t>
            </w:r>
          </w:p>
        </w:tc>
        <w:tc>
          <w:tcPr>
            <w:tcW w:w="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660" w:type="dxa"/>
            <w:vAlign w:val="bottom"/>
            <w:gridSpan w:val="2"/>
          </w:tcPr>
          <w:p>
            <w:pPr>
              <w:jc w:val="right"/>
              <w:ind w:right="60"/>
              <w:spacing w:after="0"/>
              <w:rPr>
                <w:sz w:val="20"/>
                <w:szCs w:val="20"/>
                <w:color w:val="auto"/>
              </w:rPr>
            </w:pPr>
            <w:r>
              <w:rPr>
                <w:rFonts w:ascii="Arial" w:cs="Arial" w:eastAsia="Arial" w:hAnsi="Arial"/>
                <w:sz w:val="18"/>
                <w:szCs w:val="18"/>
                <w:color w:val="auto"/>
              </w:rPr>
              <w:t>(2,557)</w:t>
            </w:r>
          </w:p>
        </w:tc>
      </w:tr>
      <w:tr>
        <w:trPr>
          <w:trHeight w:val="223"/>
        </w:trPr>
        <w:tc>
          <w:tcPr>
            <w:tcW w:w="68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EBITDA</w:t>
            </w:r>
          </w:p>
        </w:tc>
        <w:tc>
          <w:tcPr>
            <w:tcW w:w="440" w:type="dxa"/>
            <w:vAlign w:val="bottom"/>
            <w:tcBorders>
              <w:top w:val="single" w:sz="8" w:color="auto"/>
            </w:tcBorders>
            <w:shd w:val="clear" w:color="auto" w:fill="CFF0FC"/>
          </w:tcPr>
          <w:p>
            <w:pPr>
              <w:jc w:val="right"/>
              <w:ind w:right="287"/>
              <w:spacing w:after="0"/>
              <w:rPr>
                <w:sz w:val="20"/>
                <w:szCs w:val="20"/>
                <w:color w:val="auto"/>
              </w:rPr>
            </w:pPr>
            <w:r>
              <w:rPr>
                <w:rFonts w:ascii="Arial" w:cs="Arial" w:eastAsia="Arial" w:hAnsi="Arial"/>
                <w:sz w:val="15"/>
                <w:szCs w:val="15"/>
                <w:color w:val="auto"/>
                <w:w w:val="71"/>
              </w:rPr>
              <w:t>$</w:t>
            </w:r>
          </w:p>
        </w:tc>
        <w:tc>
          <w:tcPr>
            <w:tcW w:w="15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218,416</w:t>
            </w:r>
          </w:p>
        </w:tc>
        <w:tc>
          <w:tcPr>
            <w:tcW w:w="3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440" w:type="dxa"/>
            <w:vAlign w:val="bottom"/>
            <w:tcBorders>
              <w:top w:val="single" w:sz="8" w:color="auto"/>
            </w:tcBorders>
            <w:shd w:val="clear" w:color="auto" w:fill="CFF0FC"/>
          </w:tcPr>
          <w:p>
            <w:pPr>
              <w:jc w:val="right"/>
              <w:ind w:right="287"/>
              <w:spacing w:after="0"/>
              <w:rPr>
                <w:sz w:val="20"/>
                <w:szCs w:val="20"/>
                <w:color w:val="auto"/>
              </w:rPr>
            </w:pPr>
            <w:r>
              <w:rPr>
                <w:rFonts w:ascii="Arial" w:cs="Arial" w:eastAsia="Arial" w:hAnsi="Arial"/>
                <w:sz w:val="15"/>
                <w:szCs w:val="15"/>
                <w:color w:val="auto"/>
                <w:w w:val="71"/>
              </w:rPr>
              <w:t>$</w:t>
            </w:r>
          </w:p>
        </w:tc>
        <w:tc>
          <w:tcPr>
            <w:tcW w:w="15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204,486</w:t>
            </w:r>
          </w:p>
        </w:tc>
        <w:tc>
          <w:tcPr>
            <w:tcW w:w="120" w:type="dxa"/>
            <w:vAlign w:val="bottom"/>
            <w:tcBorders>
              <w:top w:val="single" w:sz="8" w:color="CFF0FC"/>
            </w:tcBorders>
            <w:shd w:val="clear" w:color="auto" w:fill="CFF0FC"/>
          </w:tcPr>
          <w:p>
            <w:pPr>
              <w:spacing w:after="0"/>
              <w:rPr>
                <w:sz w:val="19"/>
                <w:szCs w:val="19"/>
                <w:color w:val="auto"/>
              </w:rPr>
            </w:pPr>
          </w:p>
        </w:tc>
      </w:tr>
      <w:tr>
        <w:trPr>
          <w:trHeight w:val="230"/>
        </w:trPr>
        <w:tc>
          <w:tcPr>
            <w:tcW w:w="6840" w:type="dxa"/>
            <w:vAlign w:val="bottom"/>
          </w:tcPr>
          <w:p>
            <w:pPr>
              <w:spacing w:after="0"/>
              <w:rPr>
                <w:sz w:val="20"/>
                <w:szCs w:val="20"/>
                <w:color w:val="auto"/>
              </w:rPr>
            </w:pPr>
            <w:r>
              <w:rPr>
                <w:rFonts w:ascii="Arial" w:cs="Arial" w:eastAsia="Arial" w:hAnsi="Arial"/>
                <w:sz w:val="18"/>
                <w:szCs w:val="18"/>
                <w:color w:val="auto"/>
              </w:rPr>
              <w:t>Stock based compensation</w:t>
            </w:r>
          </w:p>
        </w:tc>
        <w:tc>
          <w:tcPr>
            <w:tcW w:w="44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3,312</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3,335</w:t>
            </w:r>
          </w:p>
        </w:tc>
        <w:tc>
          <w:tcPr>
            <w:tcW w:w="120" w:type="dxa"/>
            <w:vAlign w:val="bottom"/>
          </w:tcPr>
          <w:p>
            <w:pPr>
              <w:spacing w:after="0"/>
              <w:rPr>
                <w:sz w:val="19"/>
                <w:szCs w:val="19"/>
                <w:color w:val="auto"/>
              </w:rPr>
            </w:pPr>
          </w:p>
        </w:tc>
      </w:tr>
      <w:tr>
        <w:trPr>
          <w:trHeight w:val="229"/>
        </w:trPr>
        <w:tc>
          <w:tcPr>
            <w:tcW w:w="6840" w:type="dxa"/>
            <w:vAlign w:val="bottom"/>
            <w:shd w:val="clear" w:color="auto" w:fill="CFF0FC"/>
          </w:tcPr>
          <w:p>
            <w:pPr>
              <w:spacing w:after="0"/>
              <w:rPr>
                <w:sz w:val="20"/>
                <w:szCs w:val="20"/>
                <w:color w:val="auto"/>
              </w:rPr>
            </w:pPr>
            <w:r>
              <w:rPr>
                <w:rFonts w:ascii="Arial" w:cs="Arial" w:eastAsia="Arial" w:hAnsi="Arial"/>
                <w:sz w:val="18"/>
                <w:szCs w:val="18"/>
                <w:color w:val="auto"/>
              </w:rPr>
              <w:t>Transaction related and other costs</w:t>
            </w:r>
          </w:p>
        </w:tc>
        <w:tc>
          <w:tcPr>
            <w:tcW w:w="44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1,714</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4,137</w:t>
            </w:r>
          </w:p>
        </w:tc>
        <w:tc>
          <w:tcPr>
            <w:tcW w:w="120" w:type="dxa"/>
            <w:vAlign w:val="bottom"/>
            <w:shd w:val="clear" w:color="auto" w:fill="CFF0FC"/>
          </w:tcPr>
          <w:p>
            <w:pPr>
              <w:spacing w:after="0"/>
              <w:rPr>
                <w:sz w:val="19"/>
                <w:szCs w:val="19"/>
                <w:color w:val="auto"/>
              </w:rPr>
            </w:pPr>
          </w:p>
        </w:tc>
      </w:tr>
      <w:tr>
        <w:trPr>
          <w:trHeight w:val="229"/>
        </w:trPr>
        <w:tc>
          <w:tcPr>
            <w:tcW w:w="6840" w:type="dxa"/>
            <w:vAlign w:val="bottom"/>
          </w:tcPr>
          <w:p>
            <w:pPr>
              <w:spacing w:after="0"/>
              <w:rPr>
                <w:sz w:val="20"/>
                <w:szCs w:val="20"/>
                <w:color w:val="auto"/>
              </w:rPr>
            </w:pPr>
            <w:r>
              <w:rPr>
                <w:rFonts w:ascii="Arial" w:cs="Arial" w:eastAsia="Arial" w:hAnsi="Arial"/>
                <w:sz w:val="18"/>
                <w:szCs w:val="18"/>
                <w:color w:val="auto"/>
              </w:rPr>
              <w:t>Other, net</w:t>
            </w:r>
          </w:p>
        </w:tc>
        <w:tc>
          <w:tcPr>
            <w:tcW w:w="44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361</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1,318</w:t>
            </w:r>
          </w:p>
        </w:tc>
        <w:tc>
          <w:tcPr>
            <w:tcW w:w="120" w:type="dxa"/>
            <w:vAlign w:val="bottom"/>
          </w:tcPr>
          <w:p>
            <w:pPr>
              <w:spacing w:after="0"/>
              <w:rPr>
                <w:sz w:val="19"/>
                <w:szCs w:val="19"/>
                <w:color w:val="auto"/>
              </w:rPr>
            </w:pPr>
          </w:p>
        </w:tc>
      </w:tr>
      <w:tr>
        <w:trPr>
          <w:trHeight w:val="230"/>
        </w:trPr>
        <w:tc>
          <w:tcPr>
            <w:tcW w:w="6840" w:type="dxa"/>
            <w:vAlign w:val="bottom"/>
            <w:shd w:val="clear" w:color="auto" w:fill="CFF0FC"/>
          </w:tcPr>
          <w:p>
            <w:pPr>
              <w:spacing w:after="0"/>
              <w:rPr>
                <w:sz w:val="20"/>
                <w:szCs w:val="20"/>
                <w:color w:val="auto"/>
              </w:rPr>
            </w:pPr>
            <w:r>
              <w:rPr>
                <w:rFonts w:ascii="Arial" w:cs="Arial" w:eastAsia="Arial" w:hAnsi="Arial"/>
                <w:sz w:val="18"/>
                <w:szCs w:val="18"/>
                <w:color w:val="auto"/>
              </w:rPr>
              <w:t>Adjustments for equity in earnings from unconsolidated entities</w:t>
            </w:r>
          </w:p>
        </w:tc>
        <w:tc>
          <w:tcPr>
            <w:tcW w:w="440" w:type="dxa"/>
            <w:vAlign w:val="bottom"/>
            <w:tcBorders>
              <w:bottom w:val="single" w:sz="8" w:color="auto"/>
            </w:tcBorders>
            <w:shd w:val="clear" w:color="auto" w:fill="CFF0FC"/>
          </w:tcPr>
          <w:p>
            <w:pPr>
              <w:spacing w:after="0"/>
              <w:rPr>
                <w:sz w:val="19"/>
                <w:szCs w:val="19"/>
                <w:color w:val="auto"/>
              </w:rPr>
            </w:pPr>
          </w:p>
        </w:tc>
        <w:tc>
          <w:tcPr>
            <w:tcW w:w="15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986</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440" w:type="dxa"/>
            <w:vAlign w:val="bottom"/>
            <w:tcBorders>
              <w:bottom w:val="single" w:sz="8" w:color="auto"/>
            </w:tcBorders>
            <w:shd w:val="clear" w:color="auto" w:fill="CFF0FC"/>
          </w:tcPr>
          <w:p>
            <w:pPr>
              <w:spacing w:after="0"/>
              <w:rPr>
                <w:sz w:val="19"/>
                <w:szCs w:val="19"/>
                <w:color w:val="auto"/>
              </w:rPr>
            </w:pPr>
          </w:p>
        </w:tc>
        <w:tc>
          <w:tcPr>
            <w:tcW w:w="15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972</w:t>
            </w:r>
          </w:p>
        </w:tc>
        <w:tc>
          <w:tcPr>
            <w:tcW w:w="120" w:type="dxa"/>
            <w:vAlign w:val="bottom"/>
            <w:shd w:val="clear" w:color="auto" w:fill="CFF0FC"/>
          </w:tcPr>
          <w:p>
            <w:pPr>
              <w:spacing w:after="0"/>
              <w:rPr>
                <w:sz w:val="19"/>
                <w:szCs w:val="19"/>
                <w:color w:val="auto"/>
              </w:rPr>
            </w:pPr>
          </w:p>
        </w:tc>
      </w:tr>
      <w:tr>
        <w:trPr>
          <w:trHeight w:val="223"/>
        </w:trPr>
        <w:tc>
          <w:tcPr>
            <w:tcW w:w="6840" w:type="dxa"/>
            <w:vAlign w:val="bottom"/>
          </w:tcPr>
          <w:p>
            <w:pPr>
              <w:spacing w:after="0"/>
              <w:rPr>
                <w:sz w:val="20"/>
                <w:szCs w:val="20"/>
                <w:color w:val="auto"/>
              </w:rPr>
            </w:pPr>
            <w:r>
              <w:rPr>
                <w:rFonts w:ascii="Arial" w:cs="Arial" w:eastAsia="Arial" w:hAnsi="Arial"/>
                <w:sz w:val="18"/>
                <w:szCs w:val="18"/>
                <w:b w:val="1"/>
                <w:bCs w:val="1"/>
                <w:color w:val="auto"/>
              </w:rPr>
              <w:t>Adjusted EBITDA</w:t>
            </w:r>
          </w:p>
        </w:tc>
        <w:tc>
          <w:tcPr>
            <w:tcW w:w="440" w:type="dxa"/>
            <w:vAlign w:val="bottom"/>
            <w:tcBorders>
              <w:bottom w:val="single" w:sz="8" w:color="auto"/>
            </w:tcBorders>
          </w:tcPr>
          <w:p>
            <w:pPr>
              <w:jc w:val="right"/>
              <w:ind w:right="287"/>
              <w:spacing w:after="0"/>
              <w:rPr>
                <w:sz w:val="20"/>
                <w:szCs w:val="20"/>
                <w:color w:val="auto"/>
              </w:rPr>
            </w:pPr>
            <w:r>
              <w:rPr>
                <w:rFonts w:ascii="Arial" w:cs="Arial" w:eastAsia="Arial" w:hAnsi="Arial"/>
                <w:sz w:val="15"/>
                <w:szCs w:val="15"/>
                <w:color w:val="auto"/>
                <w:w w:val="71"/>
              </w:rPr>
              <w:t>$</w:t>
            </w: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224,789</w:t>
            </w:r>
          </w:p>
        </w:tc>
        <w:tc>
          <w:tcPr>
            <w:tcW w:w="30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ind w:right="287"/>
              <w:spacing w:after="0"/>
              <w:rPr>
                <w:sz w:val="20"/>
                <w:szCs w:val="20"/>
                <w:color w:val="auto"/>
              </w:rPr>
            </w:pPr>
            <w:r>
              <w:rPr>
                <w:rFonts w:ascii="Arial" w:cs="Arial" w:eastAsia="Arial" w:hAnsi="Arial"/>
                <w:sz w:val="15"/>
                <w:szCs w:val="15"/>
                <w:color w:val="auto"/>
                <w:w w:val="71"/>
              </w:rPr>
              <w:t>$</w:t>
            </w: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214,248</w:t>
            </w:r>
          </w:p>
        </w:tc>
        <w:tc>
          <w:tcPr>
            <w:tcW w:w="120" w:type="dxa"/>
            <w:vAlign w:val="bottom"/>
          </w:tcPr>
          <w:p>
            <w:pPr>
              <w:spacing w:after="0"/>
              <w:rPr>
                <w:sz w:val="19"/>
                <w:szCs w:val="19"/>
                <w:color w:val="auto"/>
              </w:rPr>
            </w:pPr>
          </w:p>
        </w:tc>
      </w:tr>
      <w:tr>
        <w:trPr>
          <w:trHeight w:val="20"/>
        </w:trPr>
        <w:tc>
          <w:tcPr>
            <w:tcW w:w="684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54" w:lineRule="exact"/>
        <w:rPr>
          <w:sz w:val="20"/>
          <w:szCs w:val="20"/>
          <w:color w:val="auto"/>
        </w:rPr>
      </w:pPr>
    </w:p>
    <w:p>
      <w:pPr>
        <w:ind w:left="7740"/>
        <w:spacing w:after="0"/>
        <w:rPr>
          <w:sz w:val="20"/>
          <w:szCs w:val="20"/>
          <w:color w:val="auto"/>
        </w:rPr>
      </w:pPr>
      <w:r>
        <w:rPr>
          <w:rFonts w:ascii="Arial" w:cs="Arial" w:eastAsia="Arial" w:hAnsi="Arial"/>
          <w:sz w:val="18"/>
          <w:szCs w:val="18"/>
          <w:b w:val="1"/>
          <w:bCs w:val="1"/>
          <w:color w:val="auto"/>
        </w:rPr>
        <w:t>Three Months Ended March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6840" w:type="dxa"/>
            <w:vAlign w:val="bottom"/>
            <w:tcBorders>
              <w:bottom w:val="single" w:sz="8" w:color="CFF0FC"/>
            </w:tcBorders>
          </w:tcPr>
          <w:p>
            <w:pPr>
              <w:spacing w:after="0"/>
              <w:rPr>
                <w:sz w:val="20"/>
                <w:szCs w:val="20"/>
                <w:color w:val="auto"/>
              </w:rPr>
            </w:pPr>
            <w:r>
              <w:rPr>
                <w:rFonts w:ascii="Arial" w:cs="Arial" w:eastAsia="Arial" w:hAnsi="Arial"/>
                <w:sz w:val="14"/>
                <w:szCs w:val="14"/>
                <w:color w:val="auto"/>
              </w:rPr>
              <w:t>(Thousands)</w:t>
            </w:r>
          </w:p>
        </w:tc>
        <w:tc>
          <w:tcPr>
            <w:tcW w:w="440" w:type="dxa"/>
            <w:vAlign w:val="bottom"/>
            <w:tcBorders>
              <w:top w:val="single" w:sz="8" w:color="auto"/>
              <w:bottom w:val="single" w:sz="8" w:color="auto"/>
            </w:tcBorders>
          </w:tcPr>
          <w:p>
            <w:pPr>
              <w:spacing w:after="0"/>
              <w:rPr>
                <w:sz w:val="19"/>
                <w:szCs w:val="19"/>
                <w:color w:val="auto"/>
              </w:rPr>
            </w:pPr>
          </w:p>
        </w:tc>
        <w:tc>
          <w:tcPr>
            <w:tcW w:w="1540" w:type="dxa"/>
            <w:vAlign w:val="bottom"/>
            <w:tcBorders>
              <w:top w:val="single" w:sz="8" w:color="auto"/>
              <w:bottom w:val="single" w:sz="8" w:color="auto"/>
            </w:tcBorders>
          </w:tcPr>
          <w:p>
            <w:pPr>
              <w:jc w:val="right"/>
              <w:ind w:right="730"/>
              <w:spacing w:after="0"/>
              <w:rPr>
                <w:sz w:val="20"/>
                <w:szCs w:val="20"/>
                <w:color w:val="auto"/>
              </w:rPr>
            </w:pPr>
            <w:r>
              <w:rPr>
                <w:rFonts w:ascii="Arial" w:cs="Arial" w:eastAsia="Arial" w:hAnsi="Arial"/>
                <w:sz w:val="18"/>
                <w:szCs w:val="18"/>
                <w:b w:val="1"/>
                <w:bCs w:val="1"/>
                <w:color w:val="auto"/>
              </w:rPr>
              <w:t>2022</w:t>
            </w:r>
          </w:p>
        </w:tc>
        <w:tc>
          <w:tcPr>
            <w:tcW w:w="300" w:type="dxa"/>
            <w:vAlign w:val="bottom"/>
            <w:tcBorders>
              <w:top w:val="single" w:sz="8" w:color="auto"/>
              <w:bottom w:val="single" w:sz="8" w:color="CFF0FC"/>
            </w:tcBorders>
          </w:tcPr>
          <w:p>
            <w:pPr>
              <w:spacing w:after="0"/>
              <w:rPr>
                <w:sz w:val="19"/>
                <w:szCs w:val="19"/>
                <w:color w:val="auto"/>
              </w:rPr>
            </w:pPr>
          </w:p>
        </w:tc>
        <w:tc>
          <w:tcPr>
            <w:tcW w:w="20" w:type="dxa"/>
            <w:vAlign w:val="bottom"/>
            <w:tcBorders>
              <w:top w:val="single" w:sz="8" w:color="auto"/>
              <w:bottom w:val="single" w:sz="8" w:color="CFF0FC"/>
            </w:tcBorders>
          </w:tcPr>
          <w:p>
            <w:pPr>
              <w:spacing w:after="0"/>
              <w:rPr>
                <w:sz w:val="19"/>
                <w:szCs w:val="19"/>
                <w:color w:val="auto"/>
              </w:rPr>
            </w:pPr>
          </w:p>
        </w:tc>
        <w:tc>
          <w:tcPr>
            <w:tcW w:w="440" w:type="dxa"/>
            <w:vAlign w:val="bottom"/>
            <w:tcBorders>
              <w:top w:val="single" w:sz="8" w:color="auto"/>
              <w:bottom w:val="single" w:sz="8" w:color="auto"/>
            </w:tcBorders>
          </w:tcPr>
          <w:p>
            <w:pPr>
              <w:spacing w:after="0"/>
              <w:rPr>
                <w:sz w:val="19"/>
                <w:szCs w:val="19"/>
                <w:color w:val="auto"/>
              </w:rPr>
            </w:pPr>
          </w:p>
        </w:tc>
        <w:tc>
          <w:tcPr>
            <w:tcW w:w="1540" w:type="dxa"/>
            <w:vAlign w:val="bottom"/>
            <w:tcBorders>
              <w:top w:val="single" w:sz="8" w:color="auto"/>
              <w:bottom w:val="single" w:sz="8" w:color="auto"/>
            </w:tcBorders>
          </w:tcPr>
          <w:p>
            <w:pPr>
              <w:jc w:val="right"/>
              <w:ind w:right="730"/>
              <w:spacing w:after="0"/>
              <w:rPr>
                <w:sz w:val="20"/>
                <w:szCs w:val="20"/>
                <w:color w:val="auto"/>
              </w:rPr>
            </w:pPr>
            <w:r>
              <w:rPr>
                <w:rFonts w:ascii="Arial" w:cs="Arial" w:eastAsia="Arial" w:hAnsi="Arial"/>
                <w:sz w:val="18"/>
                <w:szCs w:val="18"/>
                <w:b w:val="1"/>
                <w:bCs w:val="1"/>
                <w:color w:val="auto"/>
              </w:rPr>
              <w:t>2021</w:t>
            </w:r>
          </w:p>
        </w:tc>
        <w:tc>
          <w:tcPr>
            <w:tcW w:w="120" w:type="dxa"/>
            <w:vAlign w:val="bottom"/>
            <w:tcBorders>
              <w:bottom w:val="single" w:sz="8" w:color="CFF0FC"/>
            </w:tcBorders>
          </w:tcPr>
          <w:p>
            <w:pPr>
              <w:spacing w:after="0"/>
              <w:rPr>
                <w:sz w:val="19"/>
                <w:szCs w:val="19"/>
                <w:color w:val="auto"/>
              </w:rPr>
            </w:pPr>
          </w:p>
        </w:tc>
      </w:tr>
      <w:tr>
        <w:trPr>
          <w:trHeight w:val="223"/>
        </w:trPr>
        <w:tc>
          <w:tcPr>
            <w:tcW w:w="684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Net income (loss) attributable to common shareholders</w:t>
            </w:r>
          </w:p>
        </w:tc>
        <w:tc>
          <w:tcPr>
            <w:tcW w:w="440" w:type="dxa"/>
            <w:vAlign w:val="bottom"/>
            <w:shd w:val="clear" w:color="auto" w:fill="CFF0FC"/>
          </w:tcPr>
          <w:p>
            <w:pPr>
              <w:jc w:val="right"/>
              <w:ind w:right="287"/>
              <w:spacing w:after="0"/>
              <w:rPr>
                <w:sz w:val="20"/>
                <w:szCs w:val="20"/>
                <w:color w:val="auto"/>
              </w:rPr>
            </w:pPr>
            <w:r>
              <w:rPr>
                <w:rFonts w:ascii="Arial" w:cs="Arial" w:eastAsia="Arial" w:hAnsi="Arial"/>
                <w:sz w:val="15"/>
                <w:szCs w:val="15"/>
                <w:color w:val="auto"/>
                <w:w w:val="71"/>
              </w:rPr>
              <w:t>$</w:t>
            </w: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52,394</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440" w:type="dxa"/>
            <w:vAlign w:val="bottom"/>
            <w:shd w:val="clear" w:color="auto" w:fill="CFF0FC"/>
          </w:tcPr>
          <w:p>
            <w:pPr>
              <w:jc w:val="right"/>
              <w:ind w:right="287"/>
              <w:spacing w:after="0"/>
              <w:rPr>
                <w:sz w:val="20"/>
                <w:szCs w:val="20"/>
                <w:color w:val="auto"/>
              </w:rPr>
            </w:pPr>
            <w:r>
              <w:rPr>
                <w:rFonts w:ascii="Arial" w:cs="Arial" w:eastAsia="Arial" w:hAnsi="Arial"/>
                <w:sz w:val="15"/>
                <w:szCs w:val="15"/>
                <w:color w:val="auto"/>
                <w:w w:val="71"/>
              </w:rPr>
              <w:t>$</w:t>
            </w: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(4,689)</w:t>
            </w:r>
          </w:p>
        </w:tc>
        <w:tc>
          <w:tcPr>
            <w:tcW w:w="120" w:type="dxa"/>
            <w:vAlign w:val="bottom"/>
            <w:shd w:val="clear" w:color="auto" w:fill="CFF0FC"/>
          </w:tcPr>
          <w:p>
            <w:pPr>
              <w:spacing w:after="0"/>
              <w:rPr>
                <w:sz w:val="19"/>
                <w:szCs w:val="19"/>
                <w:color w:val="auto"/>
              </w:rPr>
            </w:pPr>
          </w:p>
        </w:tc>
      </w:tr>
      <w:tr>
        <w:trPr>
          <w:trHeight w:val="230"/>
        </w:trPr>
        <w:tc>
          <w:tcPr>
            <w:tcW w:w="6840" w:type="dxa"/>
            <w:vAlign w:val="bottom"/>
          </w:tcPr>
          <w:p>
            <w:pPr>
              <w:ind w:left="140"/>
              <w:spacing w:after="0"/>
              <w:rPr>
                <w:sz w:val="20"/>
                <w:szCs w:val="20"/>
                <w:color w:val="auto"/>
              </w:rPr>
            </w:pPr>
            <w:r>
              <w:rPr>
                <w:rFonts w:ascii="Arial" w:cs="Arial" w:eastAsia="Arial" w:hAnsi="Arial"/>
                <w:sz w:val="18"/>
                <w:szCs w:val="18"/>
                <w:color w:val="auto"/>
              </w:rPr>
              <w:t>Real estate depreciation and amortization</w:t>
            </w:r>
          </w:p>
        </w:tc>
        <w:tc>
          <w:tcPr>
            <w:tcW w:w="44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51,893</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53,377</w:t>
            </w:r>
          </w:p>
        </w:tc>
        <w:tc>
          <w:tcPr>
            <w:tcW w:w="120" w:type="dxa"/>
            <w:vAlign w:val="bottom"/>
          </w:tcPr>
          <w:p>
            <w:pPr>
              <w:spacing w:after="0"/>
              <w:rPr>
                <w:sz w:val="19"/>
                <w:szCs w:val="19"/>
                <w:color w:val="auto"/>
              </w:rPr>
            </w:pPr>
          </w:p>
        </w:tc>
      </w:tr>
      <w:tr>
        <w:trPr>
          <w:trHeight w:val="229"/>
        </w:trPr>
        <w:tc>
          <w:tcPr>
            <w:tcW w:w="68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Participating securities share in earnings</w:t>
            </w:r>
          </w:p>
        </w:tc>
        <w:tc>
          <w:tcPr>
            <w:tcW w:w="44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331</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248</w:t>
            </w:r>
          </w:p>
        </w:tc>
        <w:tc>
          <w:tcPr>
            <w:tcW w:w="120" w:type="dxa"/>
            <w:vAlign w:val="bottom"/>
            <w:shd w:val="clear" w:color="auto" w:fill="CFF0FC"/>
          </w:tcPr>
          <w:p>
            <w:pPr>
              <w:spacing w:after="0"/>
              <w:rPr>
                <w:sz w:val="19"/>
                <w:szCs w:val="19"/>
                <w:color w:val="auto"/>
              </w:rPr>
            </w:pPr>
          </w:p>
        </w:tc>
      </w:tr>
      <w:tr>
        <w:trPr>
          <w:trHeight w:val="230"/>
        </w:trPr>
        <w:tc>
          <w:tcPr>
            <w:tcW w:w="6840" w:type="dxa"/>
            <w:vAlign w:val="bottom"/>
          </w:tcPr>
          <w:p>
            <w:pPr>
              <w:ind w:left="140"/>
              <w:spacing w:after="0"/>
              <w:rPr>
                <w:sz w:val="20"/>
                <w:szCs w:val="20"/>
                <w:color w:val="auto"/>
              </w:rPr>
            </w:pPr>
            <w:r>
              <w:rPr>
                <w:rFonts w:ascii="Arial" w:cs="Arial" w:eastAsia="Arial" w:hAnsi="Arial"/>
                <w:sz w:val="18"/>
                <w:szCs w:val="18"/>
                <w:color w:val="auto"/>
              </w:rPr>
              <w:t>Participating securities share in FFO</w:t>
            </w:r>
          </w:p>
        </w:tc>
        <w:tc>
          <w:tcPr>
            <w:tcW w:w="440" w:type="dxa"/>
            <w:vAlign w:val="bottom"/>
          </w:tcPr>
          <w:p>
            <w:pPr>
              <w:spacing w:after="0"/>
              <w:rPr>
                <w:sz w:val="19"/>
                <w:szCs w:val="19"/>
                <w:color w:val="auto"/>
              </w:rPr>
            </w:pPr>
          </w:p>
        </w:tc>
        <w:tc>
          <w:tcPr>
            <w:tcW w:w="1840" w:type="dxa"/>
            <w:vAlign w:val="bottom"/>
            <w:gridSpan w:val="2"/>
          </w:tcPr>
          <w:p>
            <w:pPr>
              <w:jc w:val="right"/>
              <w:ind w:right="240"/>
              <w:spacing w:after="0"/>
              <w:rPr>
                <w:sz w:val="20"/>
                <w:szCs w:val="20"/>
                <w:color w:val="auto"/>
              </w:rPr>
            </w:pPr>
            <w:r>
              <w:rPr>
                <w:rFonts w:ascii="Arial" w:cs="Arial" w:eastAsia="Arial" w:hAnsi="Arial"/>
                <w:sz w:val="18"/>
                <w:szCs w:val="18"/>
                <w:color w:val="auto"/>
              </w:rPr>
              <w:t>(658)</w:t>
            </w:r>
          </w:p>
        </w:tc>
        <w:tc>
          <w:tcPr>
            <w:tcW w:w="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660" w:type="dxa"/>
            <w:vAlign w:val="bottom"/>
            <w:gridSpan w:val="2"/>
          </w:tcPr>
          <w:p>
            <w:pPr>
              <w:jc w:val="right"/>
              <w:ind w:right="60"/>
              <w:spacing w:after="0"/>
              <w:rPr>
                <w:sz w:val="20"/>
                <w:szCs w:val="20"/>
                <w:color w:val="auto"/>
              </w:rPr>
            </w:pPr>
            <w:r>
              <w:rPr>
                <w:rFonts w:ascii="Arial" w:cs="Arial" w:eastAsia="Arial" w:hAnsi="Arial"/>
                <w:sz w:val="18"/>
                <w:szCs w:val="18"/>
                <w:color w:val="auto"/>
              </w:rPr>
              <w:t>(344)</w:t>
            </w:r>
          </w:p>
        </w:tc>
      </w:tr>
      <w:tr>
        <w:trPr>
          <w:trHeight w:val="230"/>
        </w:trPr>
        <w:tc>
          <w:tcPr>
            <w:tcW w:w="68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Real estate depreciation and amortization from unconsolidated entities</w:t>
            </w:r>
          </w:p>
        </w:tc>
        <w:tc>
          <w:tcPr>
            <w:tcW w:w="44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690</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616</w:t>
            </w:r>
          </w:p>
        </w:tc>
        <w:tc>
          <w:tcPr>
            <w:tcW w:w="120" w:type="dxa"/>
            <w:vAlign w:val="bottom"/>
            <w:shd w:val="clear" w:color="auto" w:fill="CFF0FC"/>
          </w:tcPr>
          <w:p>
            <w:pPr>
              <w:spacing w:after="0"/>
              <w:rPr>
                <w:sz w:val="19"/>
                <w:szCs w:val="19"/>
                <w:color w:val="auto"/>
              </w:rPr>
            </w:pPr>
          </w:p>
        </w:tc>
      </w:tr>
      <w:tr>
        <w:trPr>
          <w:trHeight w:val="229"/>
        </w:trPr>
        <w:tc>
          <w:tcPr>
            <w:tcW w:w="6840" w:type="dxa"/>
            <w:vAlign w:val="bottom"/>
          </w:tcPr>
          <w:p>
            <w:pPr>
              <w:ind w:left="140"/>
              <w:spacing w:after="0"/>
              <w:rPr>
                <w:sz w:val="20"/>
                <w:szCs w:val="20"/>
                <w:color w:val="auto"/>
              </w:rPr>
            </w:pPr>
            <w:r>
              <w:rPr>
                <w:rFonts w:ascii="Arial" w:cs="Arial" w:eastAsia="Arial" w:hAnsi="Arial"/>
                <w:sz w:val="18"/>
                <w:szCs w:val="18"/>
                <w:color w:val="auto"/>
              </w:rPr>
              <w:t>Adjustments for noncontrolling interests</w:t>
            </w:r>
          </w:p>
        </w:tc>
        <w:tc>
          <w:tcPr>
            <w:tcW w:w="440" w:type="dxa"/>
            <w:vAlign w:val="bottom"/>
          </w:tcPr>
          <w:p>
            <w:pPr>
              <w:spacing w:after="0"/>
              <w:rPr>
                <w:sz w:val="19"/>
                <w:szCs w:val="19"/>
                <w:color w:val="auto"/>
              </w:rPr>
            </w:pPr>
          </w:p>
        </w:tc>
        <w:tc>
          <w:tcPr>
            <w:tcW w:w="1840" w:type="dxa"/>
            <w:vAlign w:val="bottom"/>
            <w:gridSpan w:val="2"/>
          </w:tcPr>
          <w:p>
            <w:pPr>
              <w:jc w:val="right"/>
              <w:ind w:right="240"/>
              <w:spacing w:after="0"/>
              <w:rPr>
                <w:sz w:val="20"/>
                <w:szCs w:val="20"/>
                <w:color w:val="auto"/>
              </w:rPr>
            </w:pPr>
            <w:r>
              <w:rPr>
                <w:rFonts w:ascii="Arial" w:cs="Arial" w:eastAsia="Arial" w:hAnsi="Arial"/>
                <w:sz w:val="18"/>
                <w:szCs w:val="18"/>
                <w:color w:val="auto"/>
              </w:rPr>
              <w:t>(129)</w:t>
            </w:r>
          </w:p>
        </w:tc>
        <w:tc>
          <w:tcPr>
            <w:tcW w:w="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660" w:type="dxa"/>
            <w:vAlign w:val="bottom"/>
            <w:gridSpan w:val="2"/>
          </w:tcPr>
          <w:p>
            <w:pPr>
              <w:jc w:val="right"/>
              <w:ind w:right="60"/>
              <w:spacing w:after="0"/>
              <w:rPr>
                <w:sz w:val="20"/>
                <w:szCs w:val="20"/>
                <w:color w:val="auto"/>
              </w:rPr>
            </w:pPr>
            <w:r>
              <w:rPr>
                <w:rFonts w:ascii="Arial" w:cs="Arial" w:eastAsia="Arial" w:hAnsi="Arial"/>
                <w:sz w:val="18"/>
                <w:szCs w:val="18"/>
                <w:color w:val="auto"/>
              </w:rPr>
              <w:t>(796)</w:t>
            </w:r>
          </w:p>
        </w:tc>
      </w:tr>
      <w:tr>
        <w:trPr>
          <w:trHeight w:val="223"/>
        </w:trPr>
        <w:tc>
          <w:tcPr>
            <w:tcW w:w="68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FFO attributable to common shareholders</w:t>
            </w:r>
          </w:p>
        </w:tc>
        <w:tc>
          <w:tcPr>
            <w:tcW w:w="440" w:type="dxa"/>
            <w:vAlign w:val="bottom"/>
            <w:tcBorders>
              <w:top w:val="single" w:sz="8" w:color="auto"/>
            </w:tcBorders>
            <w:shd w:val="clear" w:color="auto" w:fill="CFF0FC"/>
          </w:tcPr>
          <w:p>
            <w:pPr>
              <w:jc w:val="right"/>
              <w:ind w:right="287"/>
              <w:spacing w:after="0"/>
              <w:rPr>
                <w:sz w:val="20"/>
                <w:szCs w:val="20"/>
                <w:color w:val="auto"/>
              </w:rPr>
            </w:pPr>
            <w:r>
              <w:rPr>
                <w:rFonts w:ascii="Arial" w:cs="Arial" w:eastAsia="Arial" w:hAnsi="Arial"/>
                <w:sz w:val="15"/>
                <w:szCs w:val="15"/>
                <w:color w:val="auto"/>
                <w:w w:val="71"/>
              </w:rPr>
              <w:t>$</w:t>
            </w:r>
          </w:p>
        </w:tc>
        <w:tc>
          <w:tcPr>
            <w:tcW w:w="15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104,521</w:t>
            </w:r>
          </w:p>
        </w:tc>
        <w:tc>
          <w:tcPr>
            <w:tcW w:w="3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440" w:type="dxa"/>
            <w:vAlign w:val="bottom"/>
            <w:tcBorders>
              <w:top w:val="single" w:sz="8" w:color="auto"/>
            </w:tcBorders>
            <w:shd w:val="clear" w:color="auto" w:fill="CFF0FC"/>
          </w:tcPr>
          <w:p>
            <w:pPr>
              <w:jc w:val="right"/>
              <w:ind w:right="287"/>
              <w:spacing w:after="0"/>
              <w:rPr>
                <w:sz w:val="20"/>
                <w:szCs w:val="20"/>
                <w:color w:val="auto"/>
              </w:rPr>
            </w:pPr>
            <w:r>
              <w:rPr>
                <w:rFonts w:ascii="Arial" w:cs="Arial" w:eastAsia="Arial" w:hAnsi="Arial"/>
                <w:sz w:val="15"/>
                <w:szCs w:val="15"/>
                <w:color w:val="auto"/>
                <w:w w:val="71"/>
              </w:rPr>
              <w:t>$</w:t>
            </w:r>
          </w:p>
        </w:tc>
        <w:tc>
          <w:tcPr>
            <w:tcW w:w="15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48,412</w:t>
            </w:r>
          </w:p>
        </w:tc>
        <w:tc>
          <w:tcPr>
            <w:tcW w:w="120" w:type="dxa"/>
            <w:vAlign w:val="bottom"/>
            <w:tcBorders>
              <w:top w:val="single" w:sz="8" w:color="CFF0FC"/>
            </w:tcBorders>
            <w:shd w:val="clear" w:color="auto" w:fill="CFF0FC"/>
          </w:tcPr>
          <w:p>
            <w:pPr>
              <w:spacing w:after="0"/>
              <w:rPr>
                <w:sz w:val="19"/>
                <w:szCs w:val="19"/>
                <w:color w:val="auto"/>
              </w:rPr>
            </w:pPr>
          </w:p>
        </w:tc>
      </w:tr>
      <w:tr>
        <w:trPr>
          <w:trHeight w:val="229"/>
        </w:trPr>
        <w:tc>
          <w:tcPr>
            <w:tcW w:w="6840" w:type="dxa"/>
            <w:vAlign w:val="bottom"/>
          </w:tcPr>
          <w:p>
            <w:pPr>
              <w:ind w:left="140"/>
              <w:spacing w:after="0"/>
              <w:rPr>
                <w:sz w:val="20"/>
                <w:szCs w:val="20"/>
                <w:color w:val="auto"/>
              </w:rPr>
            </w:pPr>
            <w:r>
              <w:rPr>
                <w:rFonts w:ascii="Arial" w:cs="Arial" w:eastAsia="Arial" w:hAnsi="Arial"/>
                <w:sz w:val="18"/>
                <w:szCs w:val="18"/>
                <w:color w:val="auto"/>
              </w:rPr>
              <w:t>Transaction related and other costs</w:t>
            </w:r>
          </w:p>
        </w:tc>
        <w:tc>
          <w:tcPr>
            <w:tcW w:w="44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1,714</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4,137</w:t>
            </w:r>
          </w:p>
        </w:tc>
        <w:tc>
          <w:tcPr>
            <w:tcW w:w="120" w:type="dxa"/>
            <w:vAlign w:val="bottom"/>
          </w:tcPr>
          <w:p>
            <w:pPr>
              <w:spacing w:after="0"/>
              <w:rPr>
                <w:sz w:val="19"/>
                <w:szCs w:val="19"/>
                <w:color w:val="auto"/>
              </w:rPr>
            </w:pPr>
          </w:p>
        </w:tc>
      </w:tr>
      <w:tr>
        <w:trPr>
          <w:trHeight w:val="230"/>
        </w:trPr>
        <w:tc>
          <w:tcPr>
            <w:tcW w:w="68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Change in fair value of contingent consideration</w:t>
            </w:r>
          </w:p>
        </w:tc>
        <w:tc>
          <w:tcPr>
            <w:tcW w:w="44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w:t>
            </w:r>
          </w:p>
        </w:tc>
        <w:tc>
          <w:tcPr>
            <w:tcW w:w="120" w:type="dxa"/>
            <w:vAlign w:val="bottom"/>
            <w:shd w:val="clear" w:color="auto" w:fill="CFF0FC"/>
          </w:tcPr>
          <w:p>
            <w:pPr>
              <w:spacing w:after="0"/>
              <w:rPr>
                <w:sz w:val="19"/>
                <w:szCs w:val="19"/>
                <w:color w:val="auto"/>
              </w:rPr>
            </w:pPr>
          </w:p>
        </w:tc>
      </w:tr>
      <w:tr>
        <w:trPr>
          <w:trHeight w:val="230"/>
        </w:trPr>
        <w:tc>
          <w:tcPr>
            <w:tcW w:w="6840" w:type="dxa"/>
            <w:vAlign w:val="bottom"/>
          </w:tcPr>
          <w:p>
            <w:pPr>
              <w:ind w:left="140"/>
              <w:spacing w:after="0"/>
              <w:rPr>
                <w:sz w:val="20"/>
                <w:szCs w:val="20"/>
                <w:color w:val="auto"/>
              </w:rPr>
            </w:pPr>
            <w:r>
              <w:rPr>
                <w:rFonts w:ascii="Arial" w:cs="Arial" w:eastAsia="Arial" w:hAnsi="Arial"/>
                <w:sz w:val="18"/>
                <w:szCs w:val="18"/>
                <w:color w:val="auto"/>
              </w:rPr>
              <w:t>Amortization of deferred financing costs and debt discount</w:t>
            </w:r>
          </w:p>
        </w:tc>
        <w:tc>
          <w:tcPr>
            <w:tcW w:w="44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4,514</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4,959</w:t>
            </w:r>
          </w:p>
        </w:tc>
        <w:tc>
          <w:tcPr>
            <w:tcW w:w="120" w:type="dxa"/>
            <w:vAlign w:val="bottom"/>
          </w:tcPr>
          <w:p>
            <w:pPr>
              <w:spacing w:after="0"/>
              <w:rPr>
                <w:sz w:val="19"/>
                <w:szCs w:val="19"/>
                <w:color w:val="auto"/>
              </w:rPr>
            </w:pPr>
          </w:p>
        </w:tc>
      </w:tr>
      <w:tr>
        <w:trPr>
          <w:trHeight w:val="230"/>
        </w:trPr>
        <w:tc>
          <w:tcPr>
            <w:tcW w:w="68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Write off of deferred financing costs and debt discount</w:t>
            </w:r>
          </w:p>
        </w:tc>
        <w:tc>
          <w:tcPr>
            <w:tcW w:w="44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20,415</w:t>
            </w:r>
          </w:p>
        </w:tc>
        <w:tc>
          <w:tcPr>
            <w:tcW w:w="120" w:type="dxa"/>
            <w:vAlign w:val="bottom"/>
            <w:shd w:val="clear" w:color="auto" w:fill="CFF0FC"/>
          </w:tcPr>
          <w:p>
            <w:pPr>
              <w:spacing w:after="0"/>
              <w:rPr>
                <w:sz w:val="19"/>
                <w:szCs w:val="19"/>
                <w:color w:val="auto"/>
              </w:rPr>
            </w:pPr>
          </w:p>
        </w:tc>
      </w:tr>
      <w:tr>
        <w:trPr>
          <w:trHeight w:val="229"/>
        </w:trPr>
        <w:tc>
          <w:tcPr>
            <w:tcW w:w="6840" w:type="dxa"/>
            <w:vAlign w:val="bottom"/>
          </w:tcPr>
          <w:p>
            <w:pPr>
              <w:ind w:left="140"/>
              <w:spacing w:after="0"/>
              <w:rPr>
                <w:sz w:val="20"/>
                <w:szCs w:val="20"/>
                <w:color w:val="auto"/>
              </w:rPr>
            </w:pPr>
            <w:r>
              <w:rPr>
                <w:rFonts w:ascii="Arial" w:cs="Arial" w:eastAsia="Arial" w:hAnsi="Arial"/>
                <w:sz w:val="18"/>
                <w:szCs w:val="18"/>
                <w:color w:val="auto"/>
              </w:rPr>
              <w:t>Costs related to the early repayment of debt</w:t>
            </w:r>
          </w:p>
        </w:tc>
        <w:tc>
          <w:tcPr>
            <w:tcW w:w="44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17,550</w:t>
            </w:r>
          </w:p>
        </w:tc>
        <w:tc>
          <w:tcPr>
            <w:tcW w:w="120" w:type="dxa"/>
            <w:vAlign w:val="bottom"/>
          </w:tcPr>
          <w:p>
            <w:pPr>
              <w:spacing w:after="0"/>
              <w:rPr>
                <w:sz w:val="19"/>
                <w:szCs w:val="19"/>
                <w:color w:val="auto"/>
              </w:rPr>
            </w:pPr>
          </w:p>
        </w:tc>
      </w:tr>
      <w:tr>
        <w:trPr>
          <w:trHeight w:val="230"/>
        </w:trPr>
        <w:tc>
          <w:tcPr>
            <w:tcW w:w="68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Stock based compensation</w:t>
            </w:r>
          </w:p>
        </w:tc>
        <w:tc>
          <w:tcPr>
            <w:tcW w:w="44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3,312</w:t>
            </w: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3,335</w:t>
            </w:r>
          </w:p>
        </w:tc>
        <w:tc>
          <w:tcPr>
            <w:tcW w:w="120" w:type="dxa"/>
            <w:vAlign w:val="bottom"/>
            <w:shd w:val="clear" w:color="auto" w:fill="CFF0FC"/>
          </w:tcPr>
          <w:p>
            <w:pPr>
              <w:spacing w:after="0"/>
              <w:rPr>
                <w:sz w:val="19"/>
                <w:szCs w:val="19"/>
                <w:color w:val="auto"/>
              </w:rPr>
            </w:pPr>
          </w:p>
        </w:tc>
      </w:tr>
      <w:tr>
        <w:trPr>
          <w:trHeight w:val="230"/>
        </w:trPr>
        <w:tc>
          <w:tcPr>
            <w:tcW w:w="6840" w:type="dxa"/>
            <w:vAlign w:val="bottom"/>
          </w:tcPr>
          <w:p>
            <w:pPr>
              <w:ind w:left="140"/>
              <w:spacing w:after="0"/>
              <w:rPr>
                <w:sz w:val="20"/>
                <w:szCs w:val="20"/>
                <w:color w:val="auto"/>
              </w:rPr>
            </w:pPr>
            <w:r>
              <w:rPr>
                <w:rFonts w:ascii="Arial" w:cs="Arial" w:eastAsia="Arial" w:hAnsi="Arial"/>
                <w:sz w:val="18"/>
                <w:szCs w:val="18"/>
                <w:color w:val="auto"/>
              </w:rPr>
              <w:t>Non-real estate depreciation and amortization</w:t>
            </w:r>
          </w:p>
        </w:tc>
        <w:tc>
          <w:tcPr>
            <w:tcW w:w="44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19,564</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17,587</w:t>
            </w:r>
          </w:p>
        </w:tc>
        <w:tc>
          <w:tcPr>
            <w:tcW w:w="120" w:type="dxa"/>
            <w:vAlign w:val="bottom"/>
          </w:tcPr>
          <w:p>
            <w:pPr>
              <w:spacing w:after="0"/>
              <w:rPr>
                <w:sz w:val="19"/>
                <w:szCs w:val="19"/>
                <w:color w:val="auto"/>
              </w:rPr>
            </w:pPr>
          </w:p>
        </w:tc>
      </w:tr>
      <w:tr>
        <w:trPr>
          <w:trHeight w:val="230"/>
        </w:trPr>
        <w:tc>
          <w:tcPr>
            <w:tcW w:w="68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Straight-line revenues and amortization of below-market lease intangibles</w:t>
            </w:r>
          </w:p>
        </w:tc>
        <w:tc>
          <w:tcPr>
            <w:tcW w:w="440" w:type="dxa"/>
            <w:vAlign w:val="bottom"/>
            <w:shd w:val="clear" w:color="auto" w:fill="CFF0FC"/>
          </w:tcPr>
          <w:p>
            <w:pPr>
              <w:spacing w:after="0"/>
              <w:rPr>
                <w:sz w:val="19"/>
                <w:szCs w:val="19"/>
                <w:color w:val="auto"/>
              </w:rPr>
            </w:pPr>
          </w:p>
        </w:tc>
        <w:tc>
          <w:tcPr>
            <w:tcW w:w="18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(11,022)</w:t>
            </w:r>
          </w:p>
        </w:tc>
        <w:tc>
          <w:tcPr>
            <w:tcW w:w="2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66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(6,906)</w:t>
            </w:r>
          </w:p>
        </w:tc>
      </w:tr>
      <w:tr>
        <w:trPr>
          <w:trHeight w:val="229"/>
        </w:trPr>
        <w:tc>
          <w:tcPr>
            <w:tcW w:w="6840" w:type="dxa"/>
            <w:vAlign w:val="bottom"/>
          </w:tcPr>
          <w:p>
            <w:pPr>
              <w:ind w:left="140"/>
              <w:spacing w:after="0"/>
              <w:rPr>
                <w:sz w:val="20"/>
                <w:szCs w:val="20"/>
                <w:color w:val="auto"/>
              </w:rPr>
            </w:pPr>
            <w:r>
              <w:rPr>
                <w:rFonts w:ascii="Arial" w:cs="Arial" w:eastAsia="Arial" w:hAnsi="Arial"/>
                <w:sz w:val="18"/>
                <w:szCs w:val="18"/>
                <w:color w:val="auto"/>
              </w:rPr>
              <w:t>Maintenance capital expenditures</w:t>
            </w:r>
          </w:p>
        </w:tc>
        <w:tc>
          <w:tcPr>
            <w:tcW w:w="440" w:type="dxa"/>
            <w:vAlign w:val="bottom"/>
          </w:tcPr>
          <w:p>
            <w:pPr>
              <w:spacing w:after="0"/>
              <w:rPr>
                <w:sz w:val="19"/>
                <w:szCs w:val="19"/>
                <w:color w:val="auto"/>
              </w:rPr>
            </w:pPr>
          </w:p>
        </w:tc>
        <w:tc>
          <w:tcPr>
            <w:tcW w:w="1840" w:type="dxa"/>
            <w:vAlign w:val="bottom"/>
            <w:gridSpan w:val="2"/>
          </w:tcPr>
          <w:p>
            <w:pPr>
              <w:jc w:val="right"/>
              <w:ind w:right="240"/>
              <w:spacing w:after="0"/>
              <w:rPr>
                <w:sz w:val="20"/>
                <w:szCs w:val="20"/>
                <w:color w:val="auto"/>
              </w:rPr>
            </w:pPr>
            <w:r>
              <w:rPr>
                <w:rFonts w:ascii="Arial" w:cs="Arial" w:eastAsia="Arial" w:hAnsi="Arial"/>
                <w:sz w:val="18"/>
                <w:szCs w:val="18"/>
                <w:color w:val="auto"/>
              </w:rPr>
              <w:t>(2,366)</w:t>
            </w:r>
          </w:p>
        </w:tc>
        <w:tc>
          <w:tcPr>
            <w:tcW w:w="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660" w:type="dxa"/>
            <w:vAlign w:val="bottom"/>
            <w:gridSpan w:val="2"/>
          </w:tcPr>
          <w:p>
            <w:pPr>
              <w:jc w:val="right"/>
              <w:ind w:right="60"/>
              <w:spacing w:after="0"/>
              <w:rPr>
                <w:sz w:val="20"/>
                <w:szCs w:val="20"/>
                <w:color w:val="auto"/>
              </w:rPr>
            </w:pPr>
            <w:r>
              <w:rPr>
                <w:rFonts w:ascii="Arial" w:cs="Arial" w:eastAsia="Arial" w:hAnsi="Arial"/>
                <w:sz w:val="18"/>
                <w:szCs w:val="18"/>
                <w:color w:val="auto"/>
              </w:rPr>
              <w:t>(1,976)</w:t>
            </w:r>
          </w:p>
        </w:tc>
      </w:tr>
      <w:tr>
        <w:trPr>
          <w:trHeight w:val="230"/>
        </w:trPr>
        <w:tc>
          <w:tcPr>
            <w:tcW w:w="68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Other, net</w:t>
            </w:r>
          </w:p>
        </w:tc>
        <w:tc>
          <w:tcPr>
            <w:tcW w:w="440" w:type="dxa"/>
            <w:vAlign w:val="bottom"/>
            <w:shd w:val="clear" w:color="auto" w:fill="CFF0FC"/>
          </w:tcPr>
          <w:p>
            <w:pPr>
              <w:spacing w:after="0"/>
              <w:rPr>
                <w:sz w:val="19"/>
                <w:szCs w:val="19"/>
                <w:color w:val="auto"/>
              </w:rPr>
            </w:pPr>
          </w:p>
        </w:tc>
        <w:tc>
          <w:tcPr>
            <w:tcW w:w="18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(8,170)</w:t>
            </w:r>
          </w:p>
        </w:tc>
        <w:tc>
          <w:tcPr>
            <w:tcW w:w="2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66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(3,970)</w:t>
            </w:r>
          </w:p>
        </w:tc>
      </w:tr>
      <w:tr>
        <w:trPr>
          <w:trHeight w:val="230"/>
        </w:trPr>
        <w:tc>
          <w:tcPr>
            <w:tcW w:w="6840" w:type="dxa"/>
            <w:vAlign w:val="bottom"/>
          </w:tcPr>
          <w:p>
            <w:pPr>
              <w:ind w:left="140"/>
              <w:spacing w:after="0"/>
              <w:rPr>
                <w:sz w:val="20"/>
                <w:szCs w:val="20"/>
                <w:color w:val="auto"/>
              </w:rPr>
            </w:pPr>
            <w:r>
              <w:rPr>
                <w:rFonts w:ascii="Arial" w:cs="Arial" w:eastAsia="Arial" w:hAnsi="Arial"/>
                <w:sz w:val="18"/>
                <w:szCs w:val="18"/>
                <w:color w:val="auto"/>
              </w:rPr>
              <w:t>Adjustments for equity in earnings from unconsolidated entities</w:t>
            </w:r>
          </w:p>
        </w:tc>
        <w:tc>
          <w:tcPr>
            <w:tcW w:w="44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296</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356</w:t>
            </w:r>
          </w:p>
        </w:tc>
        <w:tc>
          <w:tcPr>
            <w:tcW w:w="120" w:type="dxa"/>
            <w:vAlign w:val="bottom"/>
          </w:tcPr>
          <w:p>
            <w:pPr>
              <w:spacing w:after="0"/>
              <w:rPr>
                <w:sz w:val="19"/>
                <w:szCs w:val="19"/>
                <w:color w:val="auto"/>
              </w:rPr>
            </w:pPr>
          </w:p>
        </w:tc>
      </w:tr>
      <w:tr>
        <w:trPr>
          <w:trHeight w:val="230"/>
        </w:trPr>
        <w:tc>
          <w:tcPr>
            <w:tcW w:w="68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Adjustments for noncontrolling interests</w:t>
            </w:r>
          </w:p>
        </w:tc>
        <w:tc>
          <w:tcPr>
            <w:tcW w:w="440" w:type="dxa"/>
            <w:vAlign w:val="bottom"/>
            <w:shd w:val="clear" w:color="auto" w:fill="CFF0FC"/>
          </w:tcPr>
          <w:p>
            <w:pPr>
              <w:spacing w:after="0"/>
              <w:rPr>
                <w:sz w:val="19"/>
                <w:szCs w:val="19"/>
                <w:color w:val="auto"/>
              </w:rPr>
            </w:pPr>
          </w:p>
        </w:tc>
        <w:tc>
          <w:tcPr>
            <w:tcW w:w="18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(21)</w:t>
            </w:r>
          </w:p>
        </w:tc>
        <w:tc>
          <w:tcPr>
            <w:tcW w:w="2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66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(818)</w:t>
            </w:r>
          </w:p>
        </w:tc>
      </w:tr>
      <w:tr>
        <w:trPr>
          <w:trHeight w:val="223"/>
        </w:trPr>
        <w:tc>
          <w:tcPr>
            <w:tcW w:w="6840" w:type="dxa"/>
            <w:vAlign w:val="bottom"/>
          </w:tcPr>
          <w:p>
            <w:pPr>
              <w:spacing w:after="0"/>
              <w:rPr>
                <w:sz w:val="20"/>
                <w:szCs w:val="20"/>
                <w:color w:val="auto"/>
              </w:rPr>
            </w:pPr>
            <w:r>
              <w:rPr>
                <w:rFonts w:ascii="Arial" w:cs="Arial" w:eastAsia="Arial" w:hAnsi="Arial"/>
                <w:sz w:val="18"/>
                <w:szCs w:val="18"/>
                <w:b w:val="1"/>
                <w:bCs w:val="1"/>
                <w:color w:val="auto"/>
              </w:rPr>
              <w:t>AFFO attributable to common shareholders</w:t>
            </w:r>
          </w:p>
        </w:tc>
        <w:tc>
          <w:tcPr>
            <w:tcW w:w="440" w:type="dxa"/>
            <w:vAlign w:val="bottom"/>
            <w:tcBorders>
              <w:top w:val="single" w:sz="8" w:color="auto"/>
              <w:bottom w:val="single" w:sz="8" w:color="auto"/>
            </w:tcBorders>
          </w:tcPr>
          <w:p>
            <w:pPr>
              <w:jc w:val="right"/>
              <w:ind w:right="287"/>
              <w:spacing w:after="0"/>
              <w:rPr>
                <w:sz w:val="20"/>
                <w:szCs w:val="20"/>
                <w:color w:val="auto"/>
              </w:rPr>
            </w:pPr>
            <w:r>
              <w:rPr>
                <w:rFonts w:ascii="Arial" w:cs="Arial" w:eastAsia="Arial" w:hAnsi="Arial"/>
                <w:sz w:val="15"/>
                <w:szCs w:val="15"/>
                <w:color w:val="auto"/>
                <w:w w:val="71"/>
              </w:rPr>
              <w:t>$</w:t>
            </w:r>
          </w:p>
        </w:tc>
        <w:tc>
          <w:tcPr>
            <w:tcW w:w="1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112,342</w:t>
            </w:r>
          </w:p>
        </w:tc>
        <w:tc>
          <w:tcPr>
            <w:tcW w:w="30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440" w:type="dxa"/>
            <w:vAlign w:val="bottom"/>
            <w:tcBorders>
              <w:top w:val="single" w:sz="8" w:color="auto"/>
              <w:bottom w:val="single" w:sz="8" w:color="auto"/>
            </w:tcBorders>
          </w:tcPr>
          <w:p>
            <w:pPr>
              <w:jc w:val="right"/>
              <w:ind w:right="287"/>
              <w:spacing w:after="0"/>
              <w:rPr>
                <w:sz w:val="20"/>
                <w:szCs w:val="20"/>
                <w:color w:val="auto"/>
              </w:rPr>
            </w:pPr>
            <w:r>
              <w:rPr>
                <w:rFonts w:ascii="Arial" w:cs="Arial" w:eastAsia="Arial" w:hAnsi="Arial"/>
                <w:sz w:val="15"/>
                <w:szCs w:val="15"/>
                <w:color w:val="auto"/>
                <w:w w:val="71"/>
              </w:rPr>
              <w:t>$</w:t>
            </w:r>
          </w:p>
        </w:tc>
        <w:tc>
          <w:tcPr>
            <w:tcW w:w="1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103,102</w:t>
            </w:r>
          </w:p>
        </w:tc>
        <w:tc>
          <w:tcPr>
            <w:tcW w:w="120" w:type="dxa"/>
            <w:vAlign w:val="bottom"/>
          </w:tcPr>
          <w:p>
            <w:pPr>
              <w:spacing w:after="0"/>
              <w:rPr>
                <w:sz w:val="19"/>
                <w:szCs w:val="19"/>
                <w:color w:val="auto"/>
              </w:rPr>
            </w:pPr>
          </w:p>
        </w:tc>
      </w:tr>
      <w:tr>
        <w:trPr>
          <w:trHeight w:val="20"/>
        </w:trPr>
        <w:tc>
          <w:tcPr>
            <w:tcW w:w="684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ind w:right="80"/>
        <w:spacing w:after="0" w:line="271" w:lineRule="auto"/>
        <w:rPr>
          <w:sz w:val="20"/>
          <w:szCs w:val="20"/>
          <w:color w:val="auto"/>
        </w:rPr>
      </w:pPr>
      <w:r>
        <w:rPr>
          <w:rFonts w:ascii="Arial" w:cs="Arial" w:eastAsia="Arial" w:hAnsi="Arial"/>
          <w:sz w:val="17"/>
          <w:szCs w:val="17"/>
          <w:color w:val="auto"/>
        </w:rPr>
        <w:t>Our principal liquidity needs are to fund operating expenses, meet debt service obligations, fund investment activities, including capital expenditures, and make dividend distributions. Furthermore, following consummation of our settlement agreement with Windstream, including entry into the Windstream Leases, we are obligated (i) to make $490.1 million of cash payments to Windstream in equal installments over 20 consecutive quarters beginning in October 2020 and (ii) to reimburse Windstream for up to an aggregate of $1.75 billion for Growth Capital Improvements in long-term value accretive fiber and related assets made by Windstream through 2029. To date, we have paid $215.4 million of the $490.1 million due to Windstream under the settlement agreement, including $92.9 million that we pre-paid on October 14, 2021, $78.0 million of which was funded from a portion of the proceeds of the 2030 Notes. Uniti’s reimbursement commitment for Growth Capital Improvements does not require Uniti to reimburse Windstream for maintenance or repair expenditures (except for costs incurred for fiber replacements to the CLEC MLA</w:t>
      </w:r>
    </w:p>
    <w:p>
      <w:pPr>
        <w:sectPr>
          <w:pgSz w:w="11900" w:h="16838" w:orient="portrait"/>
          <w:cols w:equalWidth="0" w:num="1">
            <w:col w:w="11240"/>
          </w:cols>
          <w:pgMar w:left="320" w:top="125" w:right="339" w:bottom="1440" w:gutter="0" w:footer="0" w:header="0"/>
        </w:sectPr>
      </w:pP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type w:val="continuous"/>
        </w:sectPr>
      </w:pPr>
    </w:p>
    <w:bookmarkStart w:id="38" w:name="page39"/>
    <w:bookmarkEnd w:id="3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leased property, up to $70 million during the term), and each such reimbursement is subject to underwriting standards. Uniti’s total annual reimbursement commitments for the Growth Capital Improvements under both Windstream Leases (and under separate equipment loan facilities) were limited to $125 million in 2020 and $225 million in 2021, and are limited to $225 million per year in 2022 through 2024; $175 million per year in 2025 and 2026; and $125 million per year in 2027 through 2029.</w:t>
      </w:r>
    </w:p>
    <w:p>
      <w:pPr>
        <w:spacing w:after="0" w:line="187"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Our primary sources of liquidity and capital resources are cash on hand, cash provided by operating activities (primarily from the Windstream Leases), available borrowings under our credit agreement by and among the Operating Partnership, CSL Capital, LLC and Uniti Group Finance 2019 Inc., the guarantors and lenders party thereto and Bank of America, N.A., as administrative agent and collateral agent (the “Credit Agreement”), and proceeds from the issuance of debt and equity securities.</w:t>
      </w:r>
    </w:p>
    <w:p>
      <w:pPr>
        <w:spacing w:after="0" w:line="187"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 xml:space="preserve">As of March 31, 2022, we had cash and cash equivalents of $51.1 million and approximately $335.5 million of borrowing availability under our Revolving Credit Facility. Subsequent to March 31, 2022, other than $10.4 million of Growth Capital Improvements (see </w:t>
      </w:r>
      <w:r>
        <w:rPr>
          <w:rFonts w:ascii="Arial" w:cs="Arial" w:eastAsia="Arial" w:hAnsi="Arial"/>
          <w:sz w:val="18"/>
          <w:szCs w:val="18"/>
          <w:i w:val="1"/>
          <w:iCs w:val="1"/>
          <w:color w:val="auto"/>
        </w:rPr>
        <w:t>“Result of Operations—Revenues”</w:t>
      </w:r>
      <w:r>
        <w:rPr>
          <w:rFonts w:ascii="Arial" w:cs="Arial" w:eastAsia="Arial" w:hAnsi="Arial"/>
          <w:sz w:val="18"/>
          <w:szCs w:val="18"/>
          <w:color w:val="auto"/>
        </w:rPr>
        <w:t xml:space="preserve"> above), there have been no material outlays of funds outside of our scheduled interest and dividend payments. Availability under our Revolving Credit Facility is subject to various conditions, including a maximum secured leverage ratio of 5.0:1. In addition, if we incur debt under our Revolving Credit Facility or otherwise such that our total leverage ratio exceeds 6.5:1, our Revolving Credit Facility would impose significant restrictions on our ability to pay dividends. See “—Dividends.”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08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rPr>
              <w:t>Three Months Ended March 31,</w:t>
            </w:r>
          </w:p>
        </w:tc>
        <w:tc>
          <w:tcPr>
            <w:tcW w:w="62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r>
      <w:tr>
        <w:trPr>
          <w:trHeight w:val="223"/>
        </w:trPr>
        <w:tc>
          <w:tcPr>
            <w:tcW w:w="7220" w:type="dxa"/>
            <w:vAlign w:val="bottom"/>
          </w:tcPr>
          <w:p>
            <w:pPr>
              <w:spacing w:after="0"/>
              <w:rPr>
                <w:sz w:val="20"/>
                <w:szCs w:val="20"/>
                <w:color w:val="auto"/>
              </w:rPr>
            </w:pPr>
            <w:r>
              <w:rPr>
                <w:rFonts w:ascii="Arial" w:cs="Arial" w:eastAsia="Arial" w:hAnsi="Arial"/>
                <w:sz w:val="18"/>
                <w:szCs w:val="18"/>
                <w:color w:val="auto"/>
              </w:rPr>
              <w:t>(Thousands)</w:t>
            </w:r>
          </w:p>
        </w:tc>
        <w:tc>
          <w:tcPr>
            <w:tcW w:w="20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2022</w:t>
            </w:r>
          </w:p>
        </w:tc>
        <w:tc>
          <w:tcPr>
            <w:tcW w:w="580" w:type="dxa"/>
            <w:vAlign w:val="bottom"/>
          </w:tcPr>
          <w:p>
            <w:pPr>
              <w:spacing w:after="0"/>
              <w:rPr>
                <w:sz w:val="19"/>
                <w:szCs w:val="19"/>
                <w:color w:val="auto"/>
              </w:rPr>
            </w:pPr>
          </w:p>
        </w:tc>
        <w:tc>
          <w:tcPr>
            <w:tcW w:w="140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2021</w:t>
            </w:r>
          </w:p>
        </w:tc>
        <w:tc>
          <w:tcPr>
            <w:tcW w:w="62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23"/>
        </w:trPr>
        <w:tc>
          <w:tcPr>
            <w:tcW w:w="722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Cash flow from operating activities:</w:t>
            </w:r>
          </w:p>
        </w:tc>
        <w:tc>
          <w:tcPr>
            <w:tcW w:w="200" w:type="dxa"/>
            <w:vAlign w:val="bottom"/>
            <w:tcBorders>
              <w:top w:val="single" w:sz="8" w:color="CFF0FC"/>
            </w:tcBorders>
            <w:shd w:val="clear" w:color="auto" w:fill="CFF0FC"/>
          </w:tcPr>
          <w:p>
            <w:pPr>
              <w:spacing w:after="0"/>
              <w:rPr>
                <w:sz w:val="19"/>
                <w:szCs w:val="19"/>
                <w:color w:val="auto"/>
              </w:rPr>
            </w:pPr>
          </w:p>
        </w:tc>
        <w:tc>
          <w:tcPr>
            <w:tcW w:w="1100" w:type="dxa"/>
            <w:vAlign w:val="bottom"/>
            <w:tcBorders>
              <w:top w:val="single" w:sz="8" w:color="auto"/>
            </w:tcBorders>
            <w:shd w:val="clear" w:color="auto" w:fill="CFF0FC"/>
          </w:tcPr>
          <w:p>
            <w:pPr>
              <w:spacing w:after="0"/>
              <w:rPr>
                <w:sz w:val="19"/>
                <w:szCs w:val="19"/>
                <w:color w:val="auto"/>
              </w:rPr>
            </w:pPr>
          </w:p>
        </w:tc>
        <w:tc>
          <w:tcPr>
            <w:tcW w:w="580" w:type="dxa"/>
            <w:vAlign w:val="bottom"/>
            <w:tcBorders>
              <w:top w:val="single" w:sz="8" w:color="auto"/>
            </w:tcBorders>
            <w:shd w:val="clear" w:color="auto" w:fill="CFF0FC"/>
          </w:tcPr>
          <w:p>
            <w:pPr>
              <w:spacing w:after="0"/>
              <w:rPr>
                <w:sz w:val="19"/>
                <w:szCs w:val="19"/>
                <w:color w:val="auto"/>
              </w:rPr>
            </w:pPr>
          </w:p>
        </w:tc>
        <w:tc>
          <w:tcPr>
            <w:tcW w:w="320" w:type="dxa"/>
            <w:vAlign w:val="bottom"/>
            <w:tcBorders>
              <w:top w:val="single" w:sz="8" w:color="CFF0FC"/>
            </w:tcBorders>
            <w:shd w:val="clear" w:color="auto" w:fill="CFF0FC"/>
          </w:tcPr>
          <w:p>
            <w:pPr>
              <w:spacing w:after="0"/>
              <w:rPr>
                <w:sz w:val="19"/>
                <w:szCs w:val="19"/>
                <w:color w:val="auto"/>
              </w:rPr>
            </w:pPr>
          </w:p>
        </w:tc>
        <w:tc>
          <w:tcPr>
            <w:tcW w:w="1080" w:type="dxa"/>
            <w:vAlign w:val="bottom"/>
            <w:tcBorders>
              <w:top w:val="single" w:sz="8" w:color="auto"/>
            </w:tcBorders>
            <w:shd w:val="clear" w:color="auto" w:fill="CFF0FC"/>
          </w:tcPr>
          <w:p>
            <w:pPr>
              <w:spacing w:after="0"/>
              <w:rPr>
                <w:sz w:val="19"/>
                <w:szCs w:val="19"/>
                <w:color w:val="auto"/>
              </w:rPr>
            </w:pPr>
          </w:p>
        </w:tc>
        <w:tc>
          <w:tcPr>
            <w:tcW w:w="62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r>
      <w:tr>
        <w:trPr>
          <w:trHeight w:val="230"/>
        </w:trPr>
        <w:tc>
          <w:tcPr>
            <w:tcW w:w="7220" w:type="dxa"/>
            <w:vAlign w:val="bottom"/>
          </w:tcPr>
          <w:p>
            <w:pPr>
              <w:ind w:left="260"/>
              <w:spacing w:after="0"/>
              <w:rPr>
                <w:sz w:val="20"/>
                <w:szCs w:val="20"/>
                <w:color w:val="auto"/>
              </w:rPr>
            </w:pPr>
            <w:r>
              <w:rPr>
                <w:rFonts w:ascii="Arial" w:cs="Arial" w:eastAsia="Arial" w:hAnsi="Arial"/>
                <w:sz w:val="18"/>
                <w:szCs w:val="18"/>
                <w:color w:val="auto"/>
              </w:rPr>
              <w:t>Net cash provided by operating activities</w:t>
            </w:r>
          </w:p>
        </w:tc>
        <w:tc>
          <w:tcPr>
            <w:tcW w:w="1300" w:type="dxa"/>
            <w:vAlign w:val="bottom"/>
            <w:gridSpan w:val="2"/>
          </w:tcPr>
          <w:p>
            <w:pPr>
              <w:jc w:val="right"/>
              <w:ind w:right="930"/>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63,221</w:t>
            </w:r>
          </w:p>
        </w:tc>
        <w:tc>
          <w:tcPr>
            <w:tcW w:w="1400" w:type="dxa"/>
            <w:vAlign w:val="bottom"/>
            <w:gridSpan w:val="2"/>
          </w:tcPr>
          <w:p>
            <w:pPr>
              <w:jc w:val="right"/>
              <w:ind w:right="1000"/>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w w:val="89"/>
              </w:rPr>
              <w:t>126,664</w:t>
            </w:r>
          </w:p>
        </w:tc>
        <w:tc>
          <w:tcPr>
            <w:tcW w:w="120" w:type="dxa"/>
            <w:vAlign w:val="bottom"/>
          </w:tcPr>
          <w:p>
            <w:pPr>
              <w:spacing w:after="0"/>
              <w:rPr>
                <w:sz w:val="20"/>
                <w:szCs w:val="20"/>
                <w:color w:val="auto"/>
              </w:rPr>
            </w:pPr>
          </w:p>
        </w:tc>
      </w:tr>
    </w:tbl>
    <w:p>
      <w:pPr>
        <w:spacing w:after="0" w:line="201"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Cash provided by operating activities is primarily attributable to our leasing activities, which includes the leasing of mission-critical communications assets to anchor customers on either an exclusive or shared-tenant basis, in addition to the leasing of dark fiber network assets to the telecommunications industry. Cash used in operating activities include compensation and related costs, interest payments, and other changes in working capital. Cash provided by operating activities was $63.2 million and $126.7 million for the three months ended March 31, 2022 and 2021, respectively. The decrease in cash provided by operating activities during the three months ended March 31, 2022 is primarily attributable to changes in working capital, including the timing of interest payments associated with debt refinancing activities occurring in 2021.</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280" w:type="dxa"/>
            <w:vAlign w:val="bottom"/>
          </w:tcPr>
          <w:p>
            <w:pPr>
              <w:spacing w:after="0"/>
              <w:rPr>
                <w:sz w:val="20"/>
                <w:szCs w:val="20"/>
                <w:color w:val="auto"/>
              </w:rPr>
            </w:pPr>
          </w:p>
        </w:tc>
        <w:tc>
          <w:tcPr>
            <w:tcW w:w="29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480" w:type="dxa"/>
            <w:vAlign w:val="bottom"/>
            <w:gridSpan w:val="6"/>
          </w:tcPr>
          <w:p>
            <w:pPr>
              <w:jc w:val="right"/>
              <w:ind w:right="740"/>
              <w:spacing w:after="0"/>
              <w:rPr>
                <w:sz w:val="20"/>
                <w:szCs w:val="20"/>
                <w:color w:val="auto"/>
              </w:rPr>
            </w:pPr>
            <w:r>
              <w:rPr>
                <w:rFonts w:ascii="Arial" w:cs="Arial" w:eastAsia="Arial" w:hAnsi="Arial"/>
                <w:sz w:val="18"/>
                <w:szCs w:val="18"/>
                <w:b w:val="1"/>
                <w:bCs w:val="1"/>
                <w:color w:val="auto"/>
              </w:rPr>
              <w:t>Three Months Ended March 31,</w:t>
            </w:r>
          </w:p>
        </w:tc>
        <w:tc>
          <w:tcPr>
            <w:tcW w:w="0" w:type="dxa"/>
            <w:vAlign w:val="bottom"/>
          </w:tcPr>
          <w:p>
            <w:pPr>
              <w:spacing w:after="0"/>
              <w:rPr>
                <w:sz w:val="1"/>
                <w:szCs w:val="1"/>
                <w:color w:val="auto"/>
              </w:rPr>
            </w:pPr>
          </w:p>
        </w:tc>
      </w:tr>
      <w:tr>
        <w:trPr>
          <w:trHeight w:val="223"/>
        </w:trPr>
        <w:tc>
          <w:tcPr>
            <w:tcW w:w="42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(Thousands)</w:t>
            </w:r>
          </w:p>
        </w:tc>
        <w:tc>
          <w:tcPr>
            <w:tcW w:w="2940" w:type="dxa"/>
            <w:vAlign w:val="bottom"/>
            <w:tcBorders>
              <w:bottom w:val="single" w:sz="8" w:color="auto"/>
            </w:tcBorders>
          </w:tcPr>
          <w:p>
            <w:pPr>
              <w:spacing w:after="0"/>
              <w:rPr>
                <w:sz w:val="19"/>
                <w:szCs w:val="19"/>
                <w:color w:val="auto"/>
              </w:rPr>
            </w:pPr>
          </w:p>
        </w:tc>
        <w:tc>
          <w:tcPr>
            <w:tcW w:w="200" w:type="dxa"/>
            <w:vAlign w:val="bottom"/>
            <w:tcBorders>
              <w:bottom w:val="single" w:sz="8" w:color="CFF0FC"/>
            </w:tcBorders>
          </w:tcPr>
          <w:p>
            <w:pPr>
              <w:spacing w:after="0"/>
              <w:rPr>
                <w:sz w:val="19"/>
                <w:szCs w:val="19"/>
                <w:color w:val="auto"/>
              </w:rPr>
            </w:pPr>
          </w:p>
        </w:tc>
        <w:tc>
          <w:tcPr>
            <w:tcW w:w="34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00" w:type="dxa"/>
            <w:vAlign w:val="bottom"/>
            <w:tcBorders>
              <w:top w:val="single" w:sz="8" w:color="auto"/>
              <w:bottom w:val="single" w:sz="8" w:color="CFF0FC"/>
            </w:tcBorders>
          </w:tcPr>
          <w:p>
            <w:pPr>
              <w:spacing w:after="0"/>
              <w:rPr>
                <w:sz w:val="19"/>
                <w:szCs w:val="19"/>
                <w:color w:val="auto"/>
              </w:rPr>
            </w:pPr>
          </w:p>
        </w:tc>
        <w:tc>
          <w:tcPr>
            <w:tcW w:w="120" w:type="dxa"/>
            <w:vAlign w:val="bottom"/>
            <w:tcBorders>
              <w:top w:val="single" w:sz="8" w:color="auto"/>
              <w:bottom w:val="single" w:sz="8" w:color="CFF0FC"/>
            </w:tcBorders>
          </w:tcPr>
          <w:p>
            <w:pPr>
              <w:spacing w:after="0"/>
              <w:rPr>
                <w:sz w:val="19"/>
                <w:szCs w:val="19"/>
                <w:color w:val="auto"/>
              </w:rPr>
            </w:pPr>
          </w:p>
        </w:tc>
        <w:tc>
          <w:tcPr>
            <w:tcW w:w="380" w:type="dxa"/>
            <w:vAlign w:val="bottom"/>
            <w:tcBorders>
              <w:top w:val="single" w:sz="8" w:color="auto"/>
              <w:bottom w:val="single" w:sz="8" w:color="auto"/>
            </w:tcBorders>
          </w:tcPr>
          <w:p>
            <w:pPr>
              <w:spacing w:after="0"/>
              <w:rPr>
                <w:sz w:val="19"/>
                <w:szCs w:val="19"/>
                <w:color w:val="auto"/>
              </w:rPr>
            </w:pPr>
          </w:p>
        </w:tc>
        <w:tc>
          <w:tcPr>
            <w:tcW w:w="1320" w:type="dxa"/>
            <w:vAlign w:val="bottom"/>
            <w:tcBorders>
              <w:top w:val="single" w:sz="8" w:color="auto"/>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2021</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28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Cash flow from investing activities:</w:t>
            </w:r>
          </w:p>
        </w:tc>
        <w:tc>
          <w:tcPr>
            <w:tcW w:w="29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280" w:type="dxa"/>
            <w:vAlign w:val="bottom"/>
          </w:tcPr>
          <w:p>
            <w:pPr>
              <w:ind w:left="260"/>
              <w:spacing w:after="0"/>
              <w:rPr>
                <w:sz w:val="20"/>
                <w:szCs w:val="20"/>
                <w:color w:val="auto"/>
              </w:rPr>
            </w:pPr>
            <w:r>
              <w:rPr>
                <w:rFonts w:ascii="Arial" w:cs="Arial" w:eastAsia="Arial" w:hAnsi="Arial"/>
                <w:sz w:val="18"/>
                <w:szCs w:val="18"/>
                <w:color w:val="auto"/>
              </w:rPr>
              <w:t>Other capital expenditures</w:t>
            </w:r>
          </w:p>
        </w:tc>
        <w:tc>
          <w:tcPr>
            <w:tcW w:w="3480" w:type="dxa"/>
            <w:vAlign w:val="bottom"/>
            <w:gridSpan w:val="3"/>
          </w:tcPr>
          <w:p>
            <w:pPr>
              <w:jc w:val="right"/>
              <w:ind w:right="187"/>
              <w:spacing w:after="0"/>
              <w:rPr>
                <w:sz w:val="20"/>
                <w:szCs w:val="20"/>
                <w:color w:val="auto"/>
              </w:rPr>
            </w:pPr>
            <w:r>
              <w:rPr>
                <w:rFonts w:ascii="Arial" w:cs="Arial" w:eastAsia="Arial" w:hAnsi="Arial"/>
                <w:sz w:val="18"/>
                <w:szCs w:val="18"/>
                <w:color w:val="auto"/>
              </w:rPr>
              <w:t>$</w:t>
            </w:r>
          </w:p>
        </w:tc>
        <w:tc>
          <w:tcPr>
            <w:tcW w:w="1540" w:type="dxa"/>
            <w:vAlign w:val="bottom"/>
            <w:gridSpan w:val="2"/>
          </w:tcPr>
          <w:p>
            <w:pPr>
              <w:jc w:val="right"/>
              <w:ind w:right="140"/>
              <w:spacing w:after="0"/>
              <w:rPr>
                <w:sz w:val="20"/>
                <w:szCs w:val="20"/>
                <w:color w:val="auto"/>
              </w:rPr>
            </w:pPr>
            <w:r>
              <w:rPr>
                <w:rFonts w:ascii="Arial" w:cs="Arial" w:eastAsia="Arial" w:hAnsi="Arial"/>
                <w:sz w:val="18"/>
                <w:szCs w:val="18"/>
                <w:color w:val="auto"/>
              </w:rPr>
              <w:t>(94,728)</w:t>
            </w:r>
          </w:p>
        </w:tc>
        <w:tc>
          <w:tcPr>
            <w:tcW w:w="500" w:type="dxa"/>
            <w:vAlign w:val="bottom"/>
            <w:gridSpan w:val="2"/>
          </w:tcPr>
          <w:p>
            <w:pPr>
              <w:jc w:val="right"/>
              <w:ind w:right="227"/>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60"/>
              <w:spacing w:after="0"/>
              <w:rPr>
                <w:sz w:val="20"/>
                <w:szCs w:val="20"/>
                <w:color w:val="auto"/>
              </w:rPr>
            </w:pPr>
            <w:r>
              <w:rPr>
                <w:rFonts w:ascii="Arial" w:cs="Arial" w:eastAsia="Arial" w:hAnsi="Arial"/>
                <w:sz w:val="18"/>
                <w:szCs w:val="18"/>
                <w:color w:val="auto"/>
              </w:rPr>
              <w:t>(84,377)</w:t>
            </w:r>
          </w:p>
        </w:tc>
        <w:tc>
          <w:tcPr>
            <w:tcW w:w="0" w:type="dxa"/>
            <w:vAlign w:val="bottom"/>
          </w:tcPr>
          <w:p>
            <w:pPr>
              <w:spacing w:after="0"/>
              <w:rPr>
                <w:sz w:val="1"/>
                <w:szCs w:val="1"/>
                <w:color w:val="auto"/>
              </w:rPr>
            </w:pPr>
          </w:p>
        </w:tc>
      </w:tr>
      <w:tr>
        <w:trPr>
          <w:trHeight w:val="230"/>
        </w:trPr>
        <w:tc>
          <w:tcPr>
            <w:tcW w:w="42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Proceeds from sale of other equipment</w:t>
            </w:r>
          </w:p>
        </w:tc>
        <w:tc>
          <w:tcPr>
            <w:tcW w:w="29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379</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80" w:type="dxa"/>
            <w:vAlign w:val="bottom"/>
            <w:tcBorders>
              <w:bottom w:val="single" w:sz="8" w:color="auto"/>
            </w:tcBorders>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280" w:type="dxa"/>
            <w:vAlign w:val="bottom"/>
          </w:tcPr>
          <w:p>
            <w:pPr>
              <w:ind w:left="380"/>
              <w:spacing w:after="0"/>
              <w:rPr>
                <w:sz w:val="20"/>
                <w:szCs w:val="20"/>
                <w:color w:val="auto"/>
              </w:rPr>
            </w:pPr>
            <w:r>
              <w:rPr>
                <w:rFonts w:ascii="Arial" w:cs="Arial" w:eastAsia="Arial" w:hAnsi="Arial"/>
                <w:sz w:val="18"/>
                <w:szCs w:val="18"/>
                <w:color w:val="auto"/>
              </w:rPr>
              <w:t>Net cash used in investing activities</w:t>
            </w:r>
          </w:p>
        </w:tc>
        <w:tc>
          <w:tcPr>
            <w:tcW w:w="29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40" w:type="dxa"/>
            <w:vAlign w:val="bottom"/>
            <w:tcBorders>
              <w:bottom w:val="single" w:sz="8" w:color="auto"/>
            </w:tcBorders>
          </w:tcPr>
          <w:p>
            <w:pPr>
              <w:jc w:val="right"/>
              <w:ind w:right="187"/>
              <w:spacing w:after="0"/>
              <w:rPr>
                <w:sz w:val="20"/>
                <w:szCs w:val="20"/>
                <w:color w:val="auto"/>
              </w:rPr>
            </w:pPr>
            <w:r>
              <w:rPr>
                <w:rFonts w:ascii="Arial" w:cs="Arial" w:eastAsia="Arial" w:hAnsi="Arial"/>
                <w:sz w:val="15"/>
                <w:szCs w:val="15"/>
                <w:color w:val="auto"/>
                <w:w w:val="71"/>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(94,349)</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Borders>
              <w:bottom w:val="single" w:sz="8" w:color="auto"/>
            </w:tcBorders>
          </w:tcPr>
          <w:p>
            <w:pPr>
              <w:jc w:val="right"/>
              <w:ind w:right="227"/>
              <w:spacing w:after="0"/>
              <w:rPr>
                <w:sz w:val="20"/>
                <w:szCs w:val="20"/>
                <w:color w:val="auto"/>
              </w:rPr>
            </w:pPr>
            <w:r>
              <w:rPr>
                <w:rFonts w:ascii="Arial" w:cs="Arial" w:eastAsia="Arial" w:hAnsi="Arial"/>
                <w:sz w:val="15"/>
                <w:szCs w:val="15"/>
                <w:color w:val="auto"/>
                <w:w w:val="71"/>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(84,377)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280" w:type="dxa"/>
            <w:vAlign w:val="bottom"/>
          </w:tcPr>
          <w:p>
            <w:pPr>
              <w:spacing w:after="0" w:line="20" w:lineRule="exact"/>
              <w:rPr>
                <w:sz w:val="1"/>
                <w:szCs w:val="1"/>
                <w:color w:val="auto"/>
              </w:rPr>
            </w:pPr>
          </w:p>
        </w:tc>
        <w:tc>
          <w:tcPr>
            <w:tcW w:w="2940" w:type="dxa"/>
            <w:vAlign w:val="bottom"/>
            <w:vMerge w:val="restart"/>
          </w:tcPr>
          <w:p>
            <w:pPr>
              <w:jc w:val="right"/>
              <w:ind w:right="1410"/>
              <w:spacing w:after="0"/>
              <w:rPr>
                <w:sz w:val="20"/>
                <w:szCs w:val="20"/>
                <w:color w:val="auto"/>
              </w:rPr>
            </w:pPr>
            <w:r>
              <w:rPr>
                <w:rFonts w:ascii="Arial" w:cs="Arial" w:eastAsia="Arial" w:hAnsi="Arial"/>
                <w:sz w:val="18"/>
                <w:szCs w:val="18"/>
                <w:color w:val="auto"/>
              </w:rPr>
              <w:t>39</w:t>
            </w:r>
          </w:p>
        </w:tc>
        <w:tc>
          <w:tcPr>
            <w:tcW w:w="2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5"/>
        </w:trPr>
        <w:tc>
          <w:tcPr>
            <w:tcW w:w="4280" w:type="dxa"/>
            <w:vAlign w:val="bottom"/>
          </w:tcPr>
          <w:p>
            <w:pPr>
              <w:spacing w:after="0"/>
              <w:rPr>
                <w:sz w:val="24"/>
                <w:szCs w:val="24"/>
                <w:color w:val="auto"/>
              </w:rPr>
            </w:pPr>
          </w:p>
        </w:tc>
        <w:tc>
          <w:tcPr>
            <w:tcW w:w="2940" w:type="dxa"/>
            <w:vAlign w:val="bottom"/>
            <w:vMerge w:val="continue"/>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4280" w:type="dxa"/>
            <w:vAlign w:val="bottom"/>
            <w:tcBorders>
              <w:bottom w:val="single" w:sz="8" w:color="9A9A9A"/>
            </w:tcBorders>
          </w:tcPr>
          <w:p>
            <w:pPr>
              <w:spacing w:after="0"/>
              <w:rPr>
                <w:sz w:val="10"/>
                <w:szCs w:val="10"/>
                <w:color w:val="auto"/>
              </w:rPr>
            </w:pPr>
          </w:p>
        </w:tc>
        <w:tc>
          <w:tcPr>
            <w:tcW w:w="294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340" w:type="dxa"/>
            <w:vAlign w:val="bottom"/>
            <w:tcBorders>
              <w:bottom w:val="single" w:sz="8" w:color="9A9A9A"/>
            </w:tcBorders>
          </w:tcPr>
          <w:p>
            <w:pPr>
              <w:spacing w:after="0"/>
              <w:rPr>
                <w:sz w:val="10"/>
                <w:szCs w:val="10"/>
                <w:color w:val="auto"/>
              </w:rPr>
            </w:pPr>
          </w:p>
        </w:tc>
        <w:tc>
          <w:tcPr>
            <w:tcW w:w="134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380" w:type="dxa"/>
            <w:vAlign w:val="bottom"/>
            <w:tcBorders>
              <w:bottom w:val="single" w:sz="8" w:color="9A9A9A"/>
            </w:tcBorders>
          </w:tcPr>
          <w:p>
            <w:pPr>
              <w:spacing w:after="0"/>
              <w:rPr>
                <w:sz w:val="10"/>
                <w:szCs w:val="10"/>
                <w:color w:val="auto"/>
              </w:rPr>
            </w:pPr>
          </w:p>
        </w:tc>
        <w:tc>
          <w:tcPr>
            <w:tcW w:w="132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39" w:name="page40"/>
    <w:bookmarkEnd w:id="3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Cash used in investing activities was $94.3 million and $84.4 million for the three months ended March 31, 2022 and 2021, respectively, and is driven by capital expenditures, primarily related to our Uniti Fiber and Uniti Leasing businesses for deployment of network assets.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480" w:type="dxa"/>
            <w:vAlign w:val="bottom"/>
            <w:gridSpan w:val="6"/>
          </w:tcPr>
          <w:p>
            <w:pPr>
              <w:jc w:val="right"/>
              <w:ind w:right="740"/>
              <w:spacing w:after="0"/>
              <w:rPr>
                <w:sz w:val="20"/>
                <w:szCs w:val="20"/>
                <w:color w:val="auto"/>
              </w:rPr>
            </w:pPr>
            <w:r>
              <w:rPr>
                <w:rFonts w:ascii="Arial" w:cs="Arial" w:eastAsia="Arial" w:hAnsi="Arial"/>
                <w:sz w:val="18"/>
                <w:szCs w:val="18"/>
                <w:b w:val="1"/>
                <w:bCs w:val="1"/>
                <w:color w:val="auto"/>
              </w:rPr>
              <w:t>Three Months Ended March 31,</w:t>
            </w:r>
          </w:p>
        </w:tc>
      </w:tr>
      <w:tr>
        <w:trPr>
          <w:trHeight w:val="223"/>
        </w:trPr>
        <w:tc>
          <w:tcPr>
            <w:tcW w:w="72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(Thousands)</w:t>
            </w:r>
          </w:p>
        </w:tc>
        <w:tc>
          <w:tcPr>
            <w:tcW w:w="200" w:type="dxa"/>
            <w:vAlign w:val="bottom"/>
            <w:tcBorders>
              <w:bottom w:val="single" w:sz="8" w:color="CFF0FC"/>
            </w:tcBorders>
          </w:tcPr>
          <w:p>
            <w:pPr>
              <w:spacing w:after="0"/>
              <w:rPr>
                <w:sz w:val="19"/>
                <w:szCs w:val="19"/>
                <w:color w:val="auto"/>
              </w:rPr>
            </w:pPr>
          </w:p>
        </w:tc>
        <w:tc>
          <w:tcPr>
            <w:tcW w:w="34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00" w:type="dxa"/>
            <w:vAlign w:val="bottom"/>
            <w:tcBorders>
              <w:top w:val="single" w:sz="8" w:color="auto"/>
              <w:bottom w:val="single" w:sz="8" w:color="CFF0FC"/>
            </w:tcBorders>
          </w:tcPr>
          <w:p>
            <w:pPr>
              <w:spacing w:after="0"/>
              <w:rPr>
                <w:sz w:val="19"/>
                <w:szCs w:val="19"/>
                <w:color w:val="auto"/>
              </w:rPr>
            </w:pPr>
          </w:p>
        </w:tc>
        <w:tc>
          <w:tcPr>
            <w:tcW w:w="120" w:type="dxa"/>
            <w:vAlign w:val="bottom"/>
            <w:tcBorders>
              <w:top w:val="single" w:sz="8" w:color="auto"/>
              <w:bottom w:val="single" w:sz="8" w:color="CFF0FC"/>
            </w:tcBorders>
          </w:tcPr>
          <w:p>
            <w:pPr>
              <w:spacing w:after="0"/>
              <w:rPr>
                <w:sz w:val="19"/>
                <w:szCs w:val="19"/>
                <w:color w:val="auto"/>
              </w:rPr>
            </w:pPr>
          </w:p>
        </w:tc>
        <w:tc>
          <w:tcPr>
            <w:tcW w:w="380" w:type="dxa"/>
            <w:vAlign w:val="bottom"/>
            <w:tcBorders>
              <w:top w:val="single" w:sz="8" w:color="auto"/>
              <w:bottom w:val="single" w:sz="8" w:color="auto"/>
            </w:tcBorders>
          </w:tcPr>
          <w:p>
            <w:pPr>
              <w:spacing w:after="0"/>
              <w:rPr>
                <w:sz w:val="19"/>
                <w:szCs w:val="19"/>
                <w:color w:val="auto"/>
              </w:rPr>
            </w:pPr>
          </w:p>
        </w:tc>
        <w:tc>
          <w:tcPr>
            <w:tcW w:w="1320" w:type="dxa"/>
            <w:vAlign w:val="bottom"/>
            <w:tcBorders>
              <w:top w:val="single" w:sz="8" w:color="auto"/>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2021</w:t>
            </w:r>
          </w:p>
        </w:tc>
        <w:tc>
          <w:tcPr>
            <w:tcW w:w="120" w:type="dxa"/>
            <w:vAlign w:val="bottom"/>
            <w:tcBorders>
              <w:bottom w:val="single" w:sz="8" w:color="CFF0FC"/>
            </w:tcBorders>
          </w:tcPr>
          <w:p>
            <w:pPr>
              <w:spacing w:after="0"/>
              <w:rPr>
                <w:sz w:val="19"/>
                <w:szCs w:val="19"/>
                <w:color w:val="auto"/>
              </w:rPr>
            </w:pPr>
          </w:p>
        </w:tc>
      </w:tr>
      <w:tr>
        <w:trPr>
          <w:trHeight w:val="223"/>
        </w:trPr>
        <w:tc>
          <w:tcPr>
            <w:tcW w:w="722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Cash flow from financing activities:</w:t>
            </w:r>
          </w:p>
        </w:tc>
        <w:tc>
          <w:tcPr>
            <w:tcW w:w="2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29"/>
        </w:trPr>
        <w:tc>
          <w:tcPr>
            <w:tcW w:w="7220" w:type="dxa"/>
            <w:vAlign w:val="bottom"/>
          </w:tcPr>
          <w:p>
            <w:pPr>
              <w:ind w:left="260"/>
              <w:spacing w:after="0"/>
              <w:rPr>
                <w:sz w:val="20"/>
                <w:szCs w:val="20"/>
                <w:color w:val="auto"/>
              </w:rPr>
            </w:pPr>
            <w:r>
              <w:rPr>
                <w:rFonts w:ascii="Arial" w:cs="Arial" w:eastAsia="Arial" w:hAnsi="Arial"/>
                <w:sz w:val="18"/>
                <w:szCs w:val="18"/>
                <w:color w:val="auto"/>
              </w:rPr>
              <w:t>Repayment of debt</w:t>
            </w:r>
          </w:p>
        </w:tc>
        <w:tc>
          <w:tcPr>
            <w:tcW w:w="540" w:type="dxa"/>
            <w:vAlign w:val="bottom"/>
            <w:gridSpan w:val="2"/>
          </w:tcPr>
          <w:p>
            <w:pPr>
              <w:jc w:val="right"/>
              <w:ind w:right="187"/>
              <w:spacing w:after="0"/>
              <w:rPr>
                <w:sz w:val="20"/>
                <w:szCs w:val="20"/>
                <w:color w:val="auto"/>
              </w:rPr>
            </w:pPr>
            <w:r>
              <w:rPr>
                <w:rFonts w:ascii="Arial" w:cs="Arial" w:eastAsia="Arial" w:hAnsi="Arial"/>
                <w:sz w:val="18"/>
                <w:szCs w:val="18"/>
                <w:color w:val="auto"/>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500" w:type="dxa"/>
            <w:vAlign w:val="bottom"/>
            <w:gridSpan w:val="2"/>
          </w:tcPr>
          <w:p>
            <w:pPr>
              <w:jc w:val="right"/>
              <w:ind w:right="227"/>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60"/>
              <w:spacing w:after="0"/>
              <w:rPr>
                <w:sz w:val="20"/>
                <w:szCs w:val="20"/>
                <w:color w:val="auto"/>
              </w:rPr>
            </w:pPr>
            <w:r>
              <w:rPr>
                <w:rFonts w:ascii="Arial" w:cs="Arial" w:eastAsia="Arial" w:hAnsi="Arial"/>
                <w:sz w:val="18"/>
                <w:szCs w:val="18"/>
                <w:color w:val="auto"/>
              </w:rPr>
              <w:t>(1,051,181)</w:t>
            </w:r>
          </w:p>
        </w:tc>
      </w:tr>
      <w:tr>
        <w:trPr>
          <w:trHeight w:val="229"/>
        </w:trPr>
        <w:tc>
          <w:tcPr>
            <w:tcW w:w="72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Proceeds from issuance of notes</w:t>
            </w:r>
          </w:p>
        </w:tc>
        <w:tc>
          <w:tcPr>
            <w:tcW w:w="2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1,110,000</w:t>
            </w:r>
          </w:p>
        </w:tc>
        <w:tc>
          <w:tcPr>
            <w:tcW w:w="120" w:type="dxa"/>
            <w:vAlign w:val="bottom"/>
            <w:shd w:val="clear" w:color="auto" w:fill="CFF0FC"/>
          </w:tcPr>
          <w:p>
            <w:pPr>
              <w:spacing w:after="0"/>
              <w:rPr>
                <w:sz w:val="19"/>
                <w:szCs w:val="19"/>
                <w:color w:val="auto"/>
              </w:rPr>
            </w:pPr>
          </w:p>
        </w:tc>
      </w:tr>
      <w:tr>
        <w:trPr>
          <w:trHeight w:val="230"/>
        </w:trPr>
        <w:tc>
          <w:tcPr>
            <w:tcW w:w="7220" w:type="dxa"/>
            <w:vAlign w:val="bottom"/>
          </w:tcPr>
          <w:p>
            <w:pPr>
              <w:ind w:left="260"/>
              <w:spacing w:after="0"/>
              <w:rPr>
                <w:sz w:val="20"/>
                <w:szCs w:val="20"/>
                <w:color w:val="auto"/>
              </w:rPr>
            </w:pPr>
            <w:r>
              <w:rPr>
                <w:rFonts w:ascii="Arial" w:cs="Arial" w:eastAsia="Arial" w:hAnsi="Arial"/>
                <w:sz w:val="18"/>
                <w:szCs w:val="18"/>
                <w:color w:val="auto"/>
              </w:rPr>
              <w:t>Dividends paid</w:t>
            </w: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540" w:type="dxa"/>
            <w:vAlign w:val="bottom"/>
            <w:gridSpan w:val="2"/>
          </w:tcPr>
          <w:p>
            <w:pPr>
              <w:jc w:val="right"/>
              <w:ind w:right="140"/>
              <w:spacing w:after="0"/>
              <w:rPr>
                <w:sz w:val="20"/>
                <w:szCs w:val="20"/>
                <w:color w:val="auto"/>
              </w:rPr>
            </w:pPr>
            <w:r>
              <w:rPr>
                <w:rFonts w:ascii="Arial" w:cs="Arial" w:eastAsia="Arial" w:hAnsi="Arial"/>
                <w:sz w:val="18"/>
                <w:szCs w:val="18"/>
                <w:color w:val="auto"/>
              </w:rPr>
              <w:t>(105)</w:t>
            </w: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440" w:type="dxa"/>
            <w:vAlign w:val="bottom"/>
            <w:gridSpan w:val="2"/>
          </w:tcPr>
          <w:p>
            <w:pPr>
              <w:jc w:val="right"/>
              <w:ind w:right="60"/>
              <w:spacing w:after="0"/>
              <w:rPr>
                <w:sz w:val="20"/>
                <w:szCs w:val="20"/>
                <w:color w:val="auto"/>
              </w:rPr>
            </w:pPr>
            <w:r>
              <w:rPr>
                <w:rFonts w:ascii="Arial" w:cs="Arial" w:eastAsia="Arial" w:hAnsi="Arial"/>
                <w:sz w:val="18"/>
                <w:szCs w:val="18"/>
                <w:color w:val="auto"/>
              </w:rPr>
              <w:t>(34,961)</w:t>
            </w:r>
          </w:p>
        </w:tc>
      </w:tr>
      <w:tr>
        <w:trPr>
          <w:trHeight w:val="229"/>
        </w:trPr>
        <w:tc>
          <w:tcPr>
            <w:tcW w:w="72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Payments of settlement payable</w:t>
            </w:r>
          </w:p>
        </w:tc>
        <w:tc>
          <w:tcPr>
            <w:tcW w:w="2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(24,505)</w:t>
            </w:r>
          </w:p>
        </w:tc>
      </w:tr>
      <w:tr>
        <w:trPr>
          <w:trHeight w:val="229"/>
        </w:trPr>
        <w:tc>
          <w:tcPr>
            <w:tcW w:w="7220" w:type="dxa"/>
            <w:vAlign w:val="bottom"/>
          </w:tcPr>
          <w:p>
            <w:pPr>
              <w:ind w:left="260"/>
              <w:spacing w:after="0"/>
              <w:rPr>
                <w:sz w:val="20"/>
                <w:szCs w:val="20"/>
                <w:color w:val="auto"/>
              </w:rPr>
            </w:pPr>
            <w:r>
              <w:rPr>
                <w:rFonts w:ascii="Arial" w:cs="Arial" w:eastAsia="Arial" w:hAnsi="Arial"/>
                <w:sz w:val="18"/>
                <w:szCs w:val="18"/>
                <w:color w:val="auto"/>
              </w:rPr>
              <w:t>Payments of contingent consideration</w:t>
            </w: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440" w:type="dxa"/>
            <w:vAlign w:val="bottom"/>
            <w:gridSpan w:val="2"/>
          </w:tcPr>
          <w:p>
            <w:pPr>
              <w:jc w:val="right"/>
              <w:ind w:right="60"/>
              <w:spacing w:after="0"/>
              <w:rPr>
                <w:sz w:val="20"/>
                <w:szCs w:val="20"/>
                <w:color w:val="auto"/>
              </w:rPr>
            </w:pPr>
            <w:r>
              <w:rPr>
                <w:rFonts w:ascii="Arial" w:cs="Arial" w:eastAsia="Arial" w:hAnsi="Arial"/>
                <w:sz w:val="18"/>
                <w:szCs w:val="18"/>
                <w:color w:val="auto"/>
              </w:rPr>
              <w:t>(2,979)</w:t>
            </w:r>
          </w:p>
        </w:tc>
      </w:tr>
      <w:tr>
        <w:trPr>
          <w:trHeight w:val="230"/>
        </w:trPr>
        <w:tc>
          <w:tcPr>
            <w:tcW w:w="72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Distributions paid to noncontrolling interest</w:t>
            </w:r>
          </w:p>
        </w:tc>
        <w:tc>
          <w:tcPr>
            <w:tcW w:w="2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(520)</w:t>
            </w:r>
          </w:p>
        </w:tc>
      </w:tr>
      <w:tr>
        <w:trPr>
          <w:trHeight w:val="229"/>
        </w:trPr>
        <w:tc>
          <w:tcPr>
            <w:tcW w:w="7220" w:type="dxa"/>
            <w:vAlign w:val="bottom"/>
          </w:tcPr>
          <w:p>
            <w:pPr>
              <w:ind w:left="260"/>
              <w:spacing w:after="0"/>
              <w:rPr>
                <w:sz w:val="20"/>
                <w:szCs w:val="20"/>
                <w:color w:val="auto"/>
              </w:rPr>
            </w:pPr>
            <w:r>
              <w:rPr>
                <w:rFonts w:ascii="Arial" w:cs="Arial" w:eastAsia="Arial" w:hAnsi="Arial"/>
                <w:sz w:val="18"/>
                <w:szCs w:val="18"/>
                <w:color w:val="auto"/>
              </w:rPr>
              <w:t>Borrowings under revolving credit facility</w:t>
            </w: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85,000</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105,000</w:t>
            </w:r>
          </w:p>
        </w:tc>
        <w:tc>
          <w:tcPr>
            <w:tcW w:w="120" w:type="dxa"/>
            <w:vAlign w:val="bottom"/>
          </w:tcPr>
          <w:p>
            <w:pPr>
              <w:spacing w:after="0"/>
              <w:rPr>
                <w:sz w:val="19"/>
                <w:szCs w:val="19"/>
                <w:color w:val="auto"/>
              </w:rPr>
            </w:pPr>
          </w:p>
        </w:tc>
      </w:tr>
      <w:tr>
        <w:trPr>
          <w:trHeight w:val="230"/>
        </w:trPr>
        <w:tc>
          <w:tcPr>
            <w:tcW w:w="72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Payments under revolving credit facility</w:t>
            </w:r>
          </w:p>
        </w:tc>
        <w:tc>
          <w:tcPr>
            <w:tcW w:w="2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54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(60,000)</w:t>
            </w:r>
          </w:p>
        </w:tc>
        <w:tc>
          <w:tcPr>
            <w:tcW w:w="12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(55,000)</w:t>
            </w:r>
          </w:p>
        </w:tc>
      </w:tr>
      <w:tr>
        <w:trPr>
          <w:trHeight w:val="229"/>
        </w:trPr>
        <w:tc>
          <w:tcPr>
            <w:tcW w:w="7220" w:type="dxa"/>
            <w:vAlign w:val="bottom"/>
          </w:tcPr>
          <w:p>
            <w:pPr>
              <w:ind w:left="260"/>
              <w:spacing w:after="0"/>
              <w:rPr>
                <w:sz w:val="20"/>
                <w:szCs w:val="20"/>
                <w:color w:val="auto"/>
              </w:rPr>
            </w:pPr>
            <w:r>
              <w:rPr>
                <w:rFonts w:ascii="Arial" w:cs="Arial" w:eastAsia="Arial" w:hAnsi="Arial"/>
                <w:sz w:val="18"/>
                <w:szCs w:val="18"/>
                <w:color w:val="auto"/>
              </w:rPr>
              <w:t>Finance lease payments</w:t>
            </w: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540" w:type="dxa"/>
            <w:vAlign w:val="bottom"/>
            <w:gridSpan w:val="2"/>
          </w:tcPr>
          <w:p>
            <w:pPr>
              <w:jc w:val="right"/>
              <w:ind w:right="140"/>
              <w:spacing w:after="0"/>
              <w:rPr>
                <w:sz w:val="20"/>
                <w:szCs w:val="20"/>
                <w:color w:val="auto"/>
              </w:rPr>
            </w:pPr>
            <w:r>
              <w:rPr>
                <w:rFonts w:ascii="Arial" w:cs="Arial" w:eastAsia="Arial" w:hAnsi="Arial"/>
                <w:sz w:val="18"/>
                <w:szCs w:val="18"/>
                <w:color w:val="auto"/>
              </w:rPr>
              <w:t>(280)</w:t>
            </w: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440" w:type="dxa"/>
            <w:vAlign w:val="bottom"/>
            <w:gridSpan w:val="2"/>
          </w:tcPr>
          <w:p>
            <w:pPr>
              <w:jc w:val="right"/>
              <w:ind w:right="60"/>
              <w:spacing w:after="0"/>
              <w:rPr>
                <w:sz w:val="20"/>
                <w:szCs w:val="20"/>
                <w:color w:val="auto"/>
              </w:rPr>
            </w:pPr>
            <w:r>
              <w:rPr>
                <w:rFonts w:ascii="Arial" w:cs="Arial" w:eastAsia="Arial" w:hAnsi="Arial"/>
                <w:sz w:val="18"/>
                <w:szCs w:val="18"/>
                <w:color w:val="auto"/>
              </w:rPr>
              <w:t>(710)</w:t>
            </w:r>
          </w:p>
        </w:tc>
      </w:tr>
      <w:tr>
        <w:trPr>
          <w:trHeight w:val="229"/>
        </w:trPr>
        <w:tc>
          <w:tcPr>
            <w:tcW w:w="72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Payments for financing costs</w:t>
            </w:r>
          </w:p>
        </w:tc>
        <w:tc>
          <w:tcPr>
            <w:tcW w:w="2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(22,931)</w:t>
            </w:r>
          </w:p>
        </w:tc>
      </w:tr>
      <w:tr>
        <w:trPr>
          <w:trHeight w:val="230"/>
        </w:trPr>
        <w:tc>
          <w:tcPr>
            <w:tcW w:w="7220" w:type="dxa"/>
            <w:vAlign w:val="bottom"/>
          </w:tcPr>
          <w:p>
            <w:pPr>
              <w:ind w:left="260"/>
              <w:spacing w:after="0"/>
              <w:rPr>
                <w:sz w:val="20"/>
                <w:szCs w:val="20"/>
                <w:color w:val="auto"/>
              </w:rPr>
            </w:pPr>
            <w:r>
              <w:rPr>
                <w:rFonts w:ascii="Arial" w:cs="Arial" w:eastAsia="Arial" w:hAnsi="Arial"/>
                <w:sz w:val="18"/>
                <w:szCs w:val="18"/>
                <w:color w:val="auto"/>
              </w:rPr>
              <w:t>Payment for tender premium</w:t>
            </w: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440" w:type="dxa"/>
            <w:vAlign w:val="bottom"/>
            <w:gridSpan w:val="2"/>
          </w:tcPr>
          <w:p>
            <w:pPr>
              <w:jc w:val="right"/>
              <w:ind w:right="60"/>
              <w:spacing w:after="0"/>
              <w:rPr>
                <w:sz w:val="20"/>
                <w:szCs w:val="20"/>
                <w:color w:val="auto"/>
              </w:rPr>
            </w:pPr>
            <w:r>
              <w:rPr>
                <w:rFonts w:ascii="Arial" w:cs="Arial" w:eastAsia="Arial" w:hAnsi="Arial"/>
                <w:sz w:val="18"/>
                <w:szCs w:val="18"/>
                <w:color w:val="auto"/>
              </w:rPr>
              <w:t>(17,550)</w:t>
            </w:r>
          </w:p>
        </w:tc>
      </w:tr>
      <w:tr>
        <w:trPr>
          <w:trHeight w:val="229"/>
        </w:trPr>
        <w:tc>
          <w:tcPr>
            <w:tcW w:w="72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Employee stock purchase program</w:t>
            </w:r>
          </w:p>
        </w:tc>
        <w:tc>
          <w:tcPr>
            <w:tcW w:w="2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264</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288</w:t>
            </w:r>
          </w:p>
        </w:tc>
        <w:tc>
          <w:tcPr>
            <w:tcW w:w="120" w:type="dxa"/>
            <w:vAlign w:val="bottom"/>
            <w:shd w:val="clear" w:color="auto" w:fill="CFF0FC"/>
          </w:tcPr>
          <w:p>
            <w:pPr>
              <w:spacing w:after="0"/>
              <w:rPr>
                <w:sz w:val="19"/>
                <w:szCs w:val="19"/>
                <w:color w:val="auto"/>
              </w:rPr>
            </w:pPr>
          </w:p>
        </w:tc>
      </w:tr>
      <w:tr>
        <w:trPr>
          <w:trHeight w:val="229"/>
        </w:trPr>
        <w:tc>
          <w:tcPr>
            <w:tcW w:w="7220" w:type="dxa"/>
            <w:vAlign w:val="bottom"/>
          </w:tcPr>
          <w:p>
            <w:pPr>
              <w:ind w:left="260"/>
              <w:spacing w:after="0"/>
              <w:rPr>
                <w:sz w:val="20"/>
                <w:szCs w:val="20"/>
                <w:color w:val="auto"/>
              </w:rPr>
            </w:pPr>
            <w:r>
              <w:rPr>
                <w:rFonts w:ascii="Arial" w:cs="Arial" w:eastAsia="Arial" w:hAnsi="Arial"/>
                <w:sz w:val="18"/>
                <w:szCs w:val="18"/>
                <w:color w:val="auto"/>
              </w:rPr>
              <w:t>Payments related to tax withholding for stock-based compensation</w:t>
            </w: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540" w:type="dxa"/>
            <w:vAlign w:val="bottom"/>
            <w:gridSpan w:val="2"/>
          </w:tcPr>
          <w:p>
            <w:pPr>
              <w:jc w:val="right"/>
              <w:ind w:right="140"/>
              <w:spacing w:after="0"/>
              <w:rPr>
                <w:sz w:val="20"/>
                <w:szCs w:val="20"/>
                <w:color w:val="auto"/>
              </w:rPr>
            </w:pPr>
            <w:r>
              <w:rPr>
                <w:rFonts w:ascii="Arial" w:cs="Arial" w:eastAsia="Arial" w:hAnsi="Arial"/>
                <w:sz w:val="18"/>
                <w:szCs w:val="18"/>
                <w:color w:val="auto"/>
              </w:rPr>
              <w:t>(1,525)</w:t>
            </w: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440" w:type="dxa"/>
            <w:vAlign w:val="bottom"/>
            <w:gridSpan w:val="2"/>
          </w:tcPr>
          <w:p>
            <w:pPr>
              <w:jc w:val="right"/>
              <w:ind w:right="60"/>
              <w:spacing w:after="0"/>
              <w:rPr>
                <w:sz w:val="20"/>
                <w:szCs w:val="20"/>
                <w:color w:val="auto"/>
              </w:rPr>
            </w:pPr>
            <w:r>
              <w:rPr>
                <w:rFonts w:ascii="Arial" w:cs="Arial" w:eastAsia="Arial" w:hAnsi="Arial"/>
                <w:sz w:val="18"/>
                <w:szCs w:val="18"/>
                <w:color w:val="auto"/>
              </w:rPr>
              <w:t>(2,306)</w:t>
            </w:r>
          </w:p>
        </w:tc>
      </w:tr>
      <w:tr>
        <w:trPr>
          <w:trHeight w:val="223"/>
        </w:trPr>
        <w:tc>
          <w:tcPr>
            <w:tcW w:w="7220" w:type="dxa"/>
            <w:vAlign w:val="bottom"/>
            <w:tcBorders>
              <w:top w:val="single" w:sz="8" w:color="CFF0FC"/>
              <w:bottom w:val="single" w:sz="8" w:color="CFF0FC"/>
            </w:tcBorders>
            <w:shd w:val="clear" w:color="auto" w:fill="CFF0FC"/>
          </w:tcPr>
          <w:p>
            <w:pPr>
              <w:ind w:left="380"/>
              <w:spacing w:after="0"/>
              <w:rPr>
                <w:sz w:val="20"/>
                <w:szCs w:val="20"/>
                <w:color w:val="auto"/>
              </w:rPr>
            </w:pPr>
            <w:r>
              <w:rPr>
                <w:rFonts w:ascii="Arial" w:cs="Arial" w:eastAsia="Arial" w:hAnsi="Arial"/>
                <w:sz w:val="18"/>
                <w:szCs w:val="18"/>
                <w:color w:val="auto"/>
              </w:rPr>
              <w:t>Net cash provided by financing activities</w:t>
            </w:r>
          </w:p>
        </w:tc>
        <w:tc>
          <w:tcPr>
            <w:tcW w:w="200" w:type="dxa"/>
            <w:vAlign w:val="bottom"/>
            <w:tcBorders>
              <w:top w:val="single" w:sz="8" w:color="CFF0FC"/>
              <w:bottom w:val="single" w:sz="8" w:color="CFF0FC"/>
            </w:tcBorders>
            <w:shd w:val="clear" w:color="auto" w:fill="CFF0FC"/>
          </w:tcPr>
          <w:p>
            <w:pPr>
              <w:spacing w:after="0"/>
              <w:rPr>
                <w:sz w:val="19"/>
                <w:szCs w:val="19"/>
                <w:color w:val="auto"/>
              </w:rPr>
            </w:pPr>
          </w:p>
        </w:tc>
        <w:tc>
          <w:tcPr>
            <w:tcW w:w="340" w:type="dxa"/>
            <w:vAlign w:val="bottom"/>
            <w:tcBorders>
              <w:top w:val="single" w:sz="8" w:color="auto"/>
              <w:bottom w:val="single" w:sz="8" w:color="auto"/>
            </w:tcBorders>
            <w:shd w:val="clear" w:color="auto" w:fill="CFF0FC"/>
          </w:tcPr>
          <w:p>
            <w:pPr>
              <w:jc w:val="right"/>
              <w:ind w:right="187"/>
              <w:spacing w:after="0"/>
              <w:rPr>
                <w:sz w:val="20"/>
                <w:szCs w:val="20"/>
                <w:color w:val="auto"/>
              </w:rPr>
            </w:pPr>
            <w:r>
              <w:rPr>
                <w:rFonts w:ascii="Arial" w:cs="Arial" w:eastAsia="Arial" w:hAnsi="Arial"/>
                <w:sz w:val="15"/>
                <w:szCs w:val="15"/>
                <w:color w:val="auto"/>
                <w:w w:val="71"/>
              </w:rPr>
              <w:t>$</w:t>
            </w:r>
          </w:p>
        </w:tc>
        <w:tc>
          <w:tcPr>
            <w:tcW w:w="13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23,354</w:t>
            </w:r>
          </w:p>
        </w:tc>
        <w:tc>
          <w:tcPr>
            <w:tcW w:w="20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380" w:type="dxa"/>
            <w:vAlign w:val="bottom"/>
            <w:tcBorders>
              <w:top w:val="single" w:sz="8" w:color="auto"/>
              <w:bottom w:val="single" w:sz="8" w:color="auto"/>
            </w:tcBorders>
            <w:shd w:val="clear" w:color="auto" w:fill="CFF0FC"/>
          </w:tcPr>
          <w:p>
            <w:pPr>
              <w:jc w:val="right"/>
              <w:ind w:right="227"/>
              <w:spacing w:after="0"/>
              <w:rPr>
                <w:sz w:val="20"/>
                <w:szCs w:val="20"/>
                <w:color w:val="auto"/>
              </w:rPr>
            </w:pPr>
            <w:r>
              <w:rPr>
                <w:rFonts w:ascii="Arial" w:cs="Arial" w:eastAsia="Arial" w:hAnsi="Arial"/>
                <w:sz w:val="15"/>
                <w:szCs w:val="15"/>
                <w:color w:val="auto"/>
                <w:w w:val="71"/>
              </w:rPr>
              <w:t>$</w:t>
            </w:r>
          </w:p>
        </w:tc>
        <w:tc>
          <w:tcPr>
            <w:tcW w:w="13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2,645</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r>
      <w:tr>
        <w:trPr>
          <w:trHeight w:val="20"/>
        </w:trPr>
        <w:tc>
          <w:tcPr>
            <w:tcW w:w="72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2"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color w:val="auto"/>
        </w:rPr>
        <w:t xml:space="preserve">Cash provided by financing activities was $23.4 million for the three months ended March 31, 2022, which was </w:t>
      </w:r>
      <w:r>
        <w:rPr>
          <w:rFonts w:ascii="Arial" w:cs="Arial" w:eastAsia="Arial" w:hAnsi="Arial"/>
          <w:sz w:val="18"/>
          <w:szCs w:val="18"/>
          <w:color w:val="212529"/>
        </w:rPr>
        <w:t>primarily driven by net borrowings of</w:t>
      </w:r>
      <w:r>
        <w:rPr>
          <w:rFonts w:ascii="Arial" w:cs="Arial" w:eastAsia="Arial" w:hAnsi="Arial"/>
          <w:sz w:val="18"/>
          <w:szCs w:val="18"/>
          <w:color w:val="auto"/>
        </w:rPr>
        <w:t xml:space="preserve"> </w:t>
      </w:r>
      <w:r>
        <w:rPr>
          <w:rFonts w:ascii="Arial" w:cs="Arial" w:eastAsia="Arial" w:hAnsi="Arial"/>
          <w:sz w:val="18"/>
          <w:szCs w:val="18"/>
          <w:color w:val="212529"/>
        </w:rPr>
        <w:t xml:space="preserve">$25.0 million under the Revolving Credit Facility. </w:t>
      </w:r>
      <w:r>
        <w:rPr>
          <w:rFonts w:ascii="Arial" w:cs="Arial" w:eastAsia="Arial" w:hAnsi="Arial"/>
          <w:sz w:val="18"/>
          <w:szCs w:val="18"/>
          <w:color w:val="000000"/>
        </w:rPr>
        <w:t>Cash provided by financing activities was $2.6 million for the three months ended March 31, 2021,</w:t>
      </w:r>
      <w:r>
        <w:rPr>
          <w:rFonts w:ascii="Arial" w:cs="Arial" w:eastAsia="Arial" w:hAnsi="Arial"/>
          <w:sz w:val="18"/>
          <w:szCs w:val="18"/>
          <w:color w:val="212529"/>
        </w:rPr>
        <w:t xml:space="preserve"> </w:t>
      </w:r>
      <w:r>
        <w:rPr>
          <w:rFonts w:ascii="Arial" w:cs="Arial" w:eastAsia="Arial" w:hAnsi="Arial"/>
          <w:sz w:val="18"/>
          <w:szCs w:val="18"/>
          <w:color w:val="000000"/>
        </w:rPr>
        <w:t xml:space="preserve">which was </w:t>
      </w:r>
      <w:r>
        <w:rPr>
          <w:rFonts w:ascii="Arial" w:cs="Arial" w:eastAsia="Arial" w:hAnsi="Arial"/>
          <w:sz w:val="18"/>
          <w:szCs w:val="18"/>
          <w:color w:val="212529"/>
        </w:rPr>
        <w:t>primarily driven by proceeds from the issuance of the 2029 Notes ($1.11 billion) and net borrowings under the Revolving Credit Facility ($50.0</w:t>
      </w:r>
      <w:r>
        <w:rPr>
          <w:rFonts w:ascii="Arial" w:cs="Arial" w:eastAsia="Arial" w:hAnsi="Arial"/>
          <w:sz w:val="18"/>
          <w:szCs w:val="18"/>
          <w:color w:val="000000"/>
        </w:rPr>
        <w:t xml:space="preserve"> </w:t>
      </w:r>
      <w:r>
        <w:rPr>
          <w:rFonts w:ascii="Arial" w:cs="Arial" w:eastAsia="Arial" w:hAnsi="Arial"/>
          <w:sz w:val="18"/>
          <w:szCs w:val="18"/>
          <w:color w:val="212529"/>
        </w:rPr>
        <w:t>million), partially offset by the repayment of the 2023 Notes ($1.05 billion), dividend payments ($35.0 million), payments for financing costs ($22.9 million), payment of settlement obligation ($24.5 million), 2023 Notes tender premium payment ($17.6 million) and contingent consideration payments ($3.0 million).</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Windstream Master Lease and Windstream Leases</w:t>
      </w:r>
    </w:p>
    <w:p>
      <w:pPr>
        <w:spacing w:after="0" w:line="225"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color w:val="auto"/>
        </w:rPr>
        <w:t>On September 18, 2020, in connection with Windstream’s emergence from bankruptcy and the implementation of the Settlement, Uniti and Windstream bifurcated the Master Lease and entered into the Windstream Leases that each expires on April 30, 2030. The aggregate initial annual rent under the Windstream Leases is equal to the annual rent under the Master Lease previously in effect. The Windstream Leases contain cross-guarantees and cross-default provisions, which will remain effective as long as Windstream or an affiliate is the tenant under both of the Windstream Leases and unless and until the landlords under the ILEC MLA are different from the landlords under the CLEC MLA. The Windstream Leases permit Uniti to transfer its rights and obligations and otherwise monetize or encumber the Windstream Leases, together or separately, so long as Uniti does not transfer interests in either Windstream Lease to a Windstream competitor.</w:t>
      </w:r>
    </w:p>
    <w:p>
      <w:pPr>
        <w:spacing w:after="0" w:line="195" w:lineRule="exact"/>
        <w:rPr>
          <w:sz w:val="20"/>
          <w:szCs w:val="20"/>
          <w:color w:val="auto"/>
        </w:rPr>
      </w:pPr>
    </w:p>
    <w:p>
      <w:pPr>
        <w:ind w:right="60"/>
        <w:spacing w:after="0" w:line="286" w:lineRule="auto"/>
        <w:rPr>
          <w:sz w:val="20"/>
          <w:szCs w:val="20"/>
          <w:color w:val="auto"/>
        </w:rPr>
      </w:pPr>
      <w:r>
        <w:rPr>
          <w:rFonts w:ascii="Arial" w:cs="Arial" w:eastAsia="Arial" w:hAnsi="Arial"/>
          <w:sz w:val="16"/>
          <w:szCs w:val="16"/>
          <w:color w:val="auto"/>
        </w:rPr>
        <w:t>Pursuant to the Windstream Leases, Windstream (or any successor tenant under a Windstream Lease) has the right to cause Uniti to reimburse up to an aggregate $1.75 billion for certain growth capital improvements in long-term value accretive fiber and related assets made by Windstream (or the applicable tenant under the Windstream Lease) to certain ILEC and CLEC properties (the “Growth Capital Improvements”). Uniti’s reimbursement commitment for Growth Capital Improvements does not require Uniti to reimburse Windstream for maintenance or repair expenditures (except for costs incurred for fiber replacements to the CLEC MLA leased property, up to $70 million during the term), and each such reimbursement is subject to underwriting standards. Uniti’s total annual reimbursement commitments for the Growth Capital Improvements under both Windstream Leases (and under separate equipment loan facilities) were limited to $125 million in 2020 and $225 million in 2021, and are limited to $225 million per year in 2022 through 2024; $175 million per year in 2025 and 2026; and $125 million per year in 2027 through 2029. If the costs incurred by Windstream (or the successor tenant under a Windstream Lease) for Growth Capital Improvements in any calendar year exceeds the annual limit for such calendar year, Windstream (or such tenant, as the case may be) may submit such excess costs for reimbursement in any subsequent year and such excess costs shall be funded from the annual commitment amounts in such subsequent period. In addition, to the extent that reimbursements for Growth Capital Improvements funded in any calendar year during the term is less than the annual limit for such calendar year, the unfunded amount in any calendar year will carry-over and may be added to the annual limits for subsequent calendar years, subject to an annual limit of $250 million in any calendar year.</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40" w:name="page41"/>
    <w:bookmarkEnd w:id="4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ind w:right="40"/>
        <w:spacing w:after="0" w:line="289" w:lineRule="auto"/>
        <w:rPr>
          <w:sz w:val="20"/>
          <w:szCs w:val="20"/>
          <w:color w:val="auto"/>
        </w:rPr>
      </w:pPr>
      <w:r>
        <w:rPr>
          <w:rFonts w:ascii="Arial" w:cs="Arial" w:eastAsia="Arial" w:hAnsi="Arial"/>
          <w:sz w:val="16"/>
          <w:szCs w:val="16"/>
          <w:color w:val="auto"/>
        </w:rPr>
        <w:t>Starting on the first anniversary of each installment of reimbursement for a Growth Capital Improvement, the rent payable by Windstream under the applicable Windstream Lease will increase by an amount equal to 8.0% (the “Rent Rate”) of such installment of reimbursement. The Rent Rate will thereafter increase to 100.5% of the prior Rent Rate on each anniversary of each reimbursement. In the event that the tenant’s interest in either Windstream Lease is transferred by Windstream under the terms thereof (unless transferred to the same transferee), or if Uniti transfers its interests as landlord under either Windstream Lease (unless to the same transferee), the reimbursement rights and obligations will be allocated between the ILEC MLA and the CLEC MLA by Windstream, provided that the maximum that may be allocated to the CLEC MLA following such transfer is $20 million per year. If Uniti fails to reimburse any Growth Capital Improvement reimbursement payment or equipment loan funding request as and when it is required to do so under the terms of the Windstream Leases, and such failure continues for thirty (30) days, then such unreimbursed amounts may be applied as an offset against the rent owed by Windstream under the Windstream Leases (and such amounts will thereafter be treated as if Uniti had reimbursed them).</w:t>
      </w:r>
    </w:p>
    <w:p>
      <w:pPr>
        <w:spacing w:after="0" w:line="166" w:lineRule="exact"/>
        <w:rPr>
          <w:sz w:val="20"/>
          <w:szCs w:val="20"/>
          <w:color w:val="auto"/>
        </w:rPr>
      </w:pPr>
    </w:p>
    <w:p>
      <w:pPr>
        <w:ind w:right="40"/>
        <w:spacing w:after="0" w:line="296" w:lineRule="auto"/>
        <w:rPr>
          <w:sz w:val="20"/>
          <w:szCs w:val="20"/>
          <w:color w:val="auto"/>
        </w:rPr>
      </w:pPr>
      <w:r>
        <w:rPr>
          <w:rFonts w:ascii="Arial" w:cs="Arial" w:eastAsia="Arial" w:hAnsi="Arial"/>
          <w:sz w:val="16"/>
          <w:szCs w:val="16"/>
          <w:color w:val="auto"/>
        </w:rPr>
        <w:t>Uniti and Windstream have entered into separate ILEC and CLEC Equipment Loan and Security Agreements (collectively “Equipment Loan Agreement”) in which Uniti will provide up to $125 million (limited to $25 million in any calendar year) of the $1.75 billion of Growth Capital Improvements commitments discussed above in the form of loans for Windstream to purchase equipment related to network upgrades or to be used in connection with the Windstream Leases. Interest on these loans will accrue at 8% from the date of the borrowing. All equipment financed through the Equipment Loan Agreement is the sole property of Windstream; however, Uniti will receive a first-lien security interest in the equipment purchased with the loans.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At-the-Market Common Stock Offering Program</w:t>
      </w:r>
    </w:p>
    <w:p>
      <w:pPr>
        <w:spacing w:after="0" w:line="225" w:lineRule="exact"/>
        <w:rPr>
          <w:sz w:val="20"/>
          <w:szCs w:val="20"/>
          <w:color w:val="auto"/>
        </w:rPr>
      </w:pPr>
    </w:p>
    <w:p>
      <w:pPr>
        <w:ind w:right="60"/>
        <w:spacing w:after="0" w:line="290" w:lineRule="auto"/>
        <w:rPr>
          <w:sz w:val="20"/>
          <w:szCs w:val="20"/>
          <w:color w:val="auto"/>
        </w:rPr>
      </w:pPr>
      <w:r>
        <w:rPr>
          <w:rFonts w:ascii="Arial" w:cs="Arial" w:eastAsia="Arial" w:hAnsi="Arial"/>
          <w:sz w:val="16"/>
          <w:szCs w:val="16"/>
          <w:color w:val="auto"/>
        </w:rPr>
        <w:t>We have an effective shelf registration statement on file with the SEC (the “Registration Statement”) to offer and sell various securities from time to time. Under the registration statement, we have established an at-the-market common stock offering program (the “ATM Program”) to sell shares of common stock having an aggregate offering price of up to $250 million. During the three months ended March 31, 2022, we did not make any sales under the ATM Program. This program is intended to provide additional financial flexibility and an alternative mechanism to access the capital markets at an efficient cost as and when we need financing, including for acquisitions. In addition, our UPREIT structure enables us to acquire properties by issuing to sellers, as a form of consideration, limited partnership interests in our operating partnership, (commonly called “OP Units”). We believe that this structure will facilitate our ability to acquire individual properties and portfolios of properties by enabling us to structure transactions which will defer taxes payable by a seller while preserving our available cash for other purposes, including the possible payment of dividends.</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Outlook</w:t>
      </w:r>
    </w:p>
    <w:p>
      <w:pPr>
        <w:spacing w:after="0" w:line="225"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We anticipate continuing to invest in our network infrastructure across our Uniti Leasing and Uniti Fiber portfolios. We anticipate that we will partially finance these needs, as well as operating expenses (including our debt service obligations), from our cash on hand and cash flows provided by operating activities. As of March 31, 2022, we had $</w:t>
      </w:r>
      <w:r>
        <w:rPr>
          <w:rFonts w:ascii="Arial" w:cs="Arial" w:eastAsia="Arial" w:hAnsi="Arial"/>
          <w:sz w:val="17"/>
          <w:szCs w:val="17"/>
          <w:color w:val="212529"/>
        </w:rPr>
        <w:t>335.5</w:t>
      </w:r>
      <w:r>
        <w:rPr>
          <w:rFonts w:ascii="Arial" w:cs="Arial" w:eastAsia="Arial" w:hAnsi="Arial"/>
          <w:sz w:val="17"/>
          <w:szCs w:val="17"/>
          <w:color w:val="auto"/>
        </w:rPr>
        <w:t xml:space="preserve"> million in borrowing availability under our Revolving Credit Facility, however, we may need to access the capital markets to generate additional funds in an amount sufficient to fund our business operations, announced investment activities, capital expenditures, including reimbursement commitments for Growth Capital Improvements, debt service and distributions to our shareholders. We may also issue equity securities to repay debt and reduce our leverage ratio to be below 5.75 to 1.0 to obtain additional flexibility under our debt covenants, as described under “—Dividends.” We are closely monitoring the equity and debt markets and may seek to access them promptly if and when we determine market conditions are appropriate. Our debt covenants currently do not permit us to incur material additional debt.</w:t>
      </w:r>
    </w:p>
    <w:p>
      <w:pPr>
        <w:spacing w:after="0" w:line="178" w:lineRule="exact"/>
        <w:rPr>
          <w:sz w:val="20"/>
          <w:szCs w:val="20"/>
          <w:color w:val="auto"/>
        </w:rPr>
      </w:pPr>
    </w:p>
    <w:p>
      <w:pPr>
        <w:ind w:right="80"/>
        <w:spacing w:after="0" w:line="293" w:lineRule="auto"/>
        <w:rPr>
          <w:sz w:val="20"/>
          <w:szCs w:val="20"/>
          <w:color w:val="auto"/>
        </w:rPr>
      </w:pPr>
      <w:r>
        <w:rPr>
          <w:rFonts w:ascii="Arial" w:cs="Arial" w:eastAsia="Arial" w:hAnsi="Arial"/>
          <w:sz w:val="16"/>
          <w:szCs w:val="16"/>
          <w:color w:val="auto"/>
        </w:rPr>
        <w:t>The amount, nature and timing of any capital markets transactions will depend on: our operating performance and other circumstances; our then-current commitments and obligations; the amount, nature and timing of our capital requirements; any limitations imposed by our current credit arrangements; and overall market conditions. These expectations are forward-looking and subject to a number of uncertainties and assumptions. If our expectations about our liquidity prove to be incorrect or we are unable to access the capital markets as we anticipate, we would be subject to a shortfall in liquidity in the future which could lead to a reduction in our capital expenditures and/or dividends and, in an extreme case, our ability to pay our debt service obligations. If this shortfall occurs rapidly and with little or no notice, it could limit our ability to address the shortfall on a timely basis.</w:t>
      </w:r>
    </w:p>
    <w:p>
      <w:pPr>
        <w:spacing w:after="0" w:line="164" w:lineRule="exact"/>
        <w:rPr>
          <w:sz w:val="20"/>
          <w:szCs w:val="20"/>
          <w:color w:val="auto"/>
        </w:rPr>
      </w:pPr>
    </w:p>
    <w:p>
      <w:pPr>
        <w:ind w:right="220"/>
        <w:spacing w:after="0" w:line="279" w:lineRule="auto"/>
        <w:rPr>
          <w:sz w:val="20"/>
          <w:szCs w:val="20"/>
          <w:color w:val="auto"/>
        </w:rPr>
      </w:pPr>
      <w:r>
        <w:rPr>
          <w:rFonts w:ascii="Arial" w:cs="Arial" w:eastAsia="Arial" w:hAnsi="Arial"/>
          <w:sz w:val="17"/>
          <w:szCs w:val="17"/>
          <w:color w:val="auto"/>
        </w:rPr>
        <w:t>In addition to exploring potential capital markets transactions, the Company regularly evaluates market conditions, its liquidity profile, and various financing alternatives for opportunities to enhance its capital structure. If opportunities are favorable, the Company may refinance or repurchase existing debt. However, there can be no assurances that any debt refinancing would be on similar or more favorable terms than our existing arrangements. This would include the risk that interest rates could increase and/or there may be changes to our existing covenants.</w:t>
      </w:r>
    </w:p>
    <w:p>
      <w:pPr>
        <w:spacing w:after="0" w:line="200" w:lineRule="exact"/>
        <w:rPr>
          <w:sz w:val="20"/>
          <w:szCs w:val="20"/>
          <w:color w:val="auto"/>
        </w:rPr>
      </w:pP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125" w:right="359" w:bottom="1440" w:gutter="0" w:footer="0" w:header="0"/>
        </w:sectPr>
      </w:pPr>
    </w:p>
    <w:bookmarkStart w:id="41" w:name="page42"/>
    <w:bookmarkEnd w:id="4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ind w:right="540"/>
        <w:spacing w:after="0" w:line="277" w:lineRule="auto"/>
        <w:rPr>
          <w:sz w:val="20"/>
          <w:szCs w:val="20"/>
          <w:color w:val="auto"/>
        </w:rPr>
      </w:pPr>
      <w:r>
        <w:rPr>
          <w:rFonts w:ascii="Arial" w:cs="Arial" w:eastAsia="Arial" w:hAnsi="Arial"/>
          <w:sz w:val="18"/>
          <w:szCs w:val="18"/>
          <w:color w:val="auto"/>
        </w:rPr>
        <w:t>If circumstances warrant, we may take measures to conserve cash as we anticipate that it will be more difficult for us to access the capital markets at attractive rates until such uncertainty is clarified.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040" w:type="dxa"/>
            <w:vAlign w:val="bottom"/>
          </w:tcPr>
          <w:p>
            <w:pPr>
              <w:spacing w:after="0"/>
              <w:rPr>
                <w:sz w:val="20"/>
                <w:szCs w:val="20"/>
                <w:color w:val="auto"/>
              </w:rPr>
            </w:pPr>
            <w:r>
              <w:rPr>
                <w:rFonts w:ascii="Arial" w:cs="Arial" w:eastAsia="Arial" w:hAnsi="Arial"/>
                <w:sz w:val="18"/>
                <w:szCs w:val="18"/>
                <w:b w:val="1"/>
                <w:bCs w:val="1"/>
                <w:color w:val="auto"/>
              </w:rPr>
              <w:t>Capital Expenditures</w:t>
            </w:r>
          </w:p>
        </w:tc>
        <w:tc>
          <w:tcPr>
            <w:tcW w:w="1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68"/>
        </w:trPr>
        <w:tc>
          <w:tcPr>
            <w:tcW w:w="50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720" w:type="dxa"/>
            <w:vAlign w:val="bottom"/>
            <w:gridSpan w:val="8"/>
          </w:tcPr>
          <w:p>
            <w:pPr>
              <w:ind w:left="40"/>
              <w:spacing w:after="0"/>
              <w:rPr>
                <w:sz w:val="20"/>
                <w:szCs w:val="20"/>
                <w:color w:val="auto"/>
              </w:rPr>
            </w:pPr>
            <w:r>
              <w:rPr>
                <w:rFonts w:ascii="Arial" w:cs="Arial" w:eastAsia="Arial" w:hAnsi="Arial"/>
                <w:sz w:val="18"/>
                <w:szCs w:val="18"/>
                <w:b w:val="1"/>
                <w:bCs w:val="1"/>
                <w:color w:val="auto"/>
              </w:rPr>
              <w:t>Three Months Ended March 31, 2022</w:t>
            </w: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6"/>
        </w:trPr>
        <w:tc>
          <w:tcPr>
            <w:tcW w:w="5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92"/>
              </w:rPr>
              <w:t>Non-</w:t>
            </w: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4"/>
        </w:trPr>
        <w:tc>
          <w:tcPr>
            <w:tcW w:w="5040" w:type="dxa"/>
            <w:vAlign w:val="bottom"/>
          </w:tcPr>
          <w:p>
            <w:pPr>
              <w:spacing w:after="0"/>
              <w:rPr>
                <w:sz w:val="20"/>
                <w:szCs w:val="20"/>
                <w:color w:val="auto"/>
              </w:rPr>
            </w:pPr>
            <w:r>
              <w:rPr>
                <w:rFonts w:ascii="Arial" w:cs="Arial" w:eastAsia="Arial" w:hAnsi="Arial"/>
                <w:sz w:val="18"/>
                <w:szCs w:val="18"/>
                <w:color w:val="auto"/>
              </w:rPr>
              <w:t>(Thousands)</w:t>
            </w:r>
          </w:p>
        </w:tc>
        <w:tc>
          <w:tcPr>
            <w:tcW w:w="140" w:type="dxa"/>
            <w:vAlign w:val="bottom"/>
          </w:tcPr>
          <w:p>
            <w:pPr>
              <w:spacing w:after="0"/>
              <w:rPr>
                <w:sz w:val="20"/>
                <w:szCs w:val="20"/>
                <w:color w:val="auto"/>
              </w:rPr>
            </w:pPr>
          </w:p>
        </w:tc>
        <w:tc>
          <w:tcPr>
            <w:tcW w:w="1380" w:type="dxa"/>
            <w:vAlign w:val="bottom"/>
            <w:gridSpan w:val="3"/>
          </w:tcPr>
          <w:p>
            <w:pPr>
              <w:ind w:left="20"/>
              <w:spacing w:after="0"/>
              <w:rPr>
                <w:sz w:val="20"/>
                <w:szCs w:val="20"/>
                <w:color w:val="auto"/>
              </w:rPr>
            </w:pPr>
            <w:r>
              <w:rPr>
                <w:rFonts w:ascii="Arial" w:cs="Arial" w:eastAsia="Arial" w:hAnsi="Arial"/>
                <w:sz w:val="18"/>
                <w:szCs w:val="18"/>
                <w:b w:val="1"/>
                <w:bCs w:val="1"/>
                <w:color w:val="auto"/>
              </w:rPr>
              <w:t>Success Based</w:t>
            </w:r>
          </w:p>
        </w:tc>
        <w:tc>
          <w:tcPr>
            <w:tcW w:w="1160" w:type="dxa"/>
            <w:vAlign w:val="bottom"/>
            <w:gridSpan w:val="2"/>
          </w:tcPr>
          <w:p>
            <w:pPr>
              <w:jc w:val="right"/>
              <w:spacing w:after="0"/>
              <w:rPr>
                <w:sz w:val="20"/>
                <w:szCs w:val="20"/>
                <w:color w:val="auto"/>
              </w:rPr>
            </w:pPr>
            <w:r>
              <w:rPr>
                <w:rFonts w:ascii="Arial" w:cs="Arial" w:eastAsia="Arial" w:hAnsi="Arial"/>
                <w:sz w:val="18"/>
                <w:szCs w:val="18"/>
                <w:b w:val="1"/>
                <w:bCs w:val="1"/>
                <w:color w:val="auto"/>
                <w:w w:val="97"/>
              </w:rPr>
              <w:t>Maintenance</w:t>
            </w:r>
          </w:p>
        </w:tc>
        <w:tc>
          <w:tcPr>
            <w:tcW w:w="240" w:type="dxa"/>
            <w:vAlign w:val="bottom"/>
          </w:tcPr>
          <w:p>
            <w:pPr>
              <w:spacing w:after="0"/>
              <w:rPr>
                <w:sz w:val="20"/>
                <w:szCs w:val="20"/>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b w:val="1"/>
                <w:bCs w:val="1"/>
                <w:color w:val="auto"/>
                <w:w w:val="94"/>
              </w:rPr>
              <w:t>Integration</w:t>
            </w:r>
          </w:p>
        </w:tc>
        <w:tc>
          <w:tcPr>
            <w:tcW w:w="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4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95"/>
              </w:rPr>
              <w:t>Network</w:t>
            </w:r>
          </w:p>
        </w:tc>
        <w:tc>
          <w:tcPr>
            <w:tcW w:w="120" w:type="dxa"/>
            <w:vAlign w:val="bottom"/>
          </w:tcPr>
          <w:p>
            <w:pPr>
              <w:spacing w:after="0"/>
              <w:rPr>
                <w:sz w:val="20"/>
                <w:szCs w:val="20"/>
                <w:color w:val="auto"/>
              </w:rPr>
            </w:pPr>
          </w:p>
        </w:tc>
        <w:tc>
          <w:tcPr>
            <w:tcW w:w="720" w:type="dxa"/>
            <w:vAlign w:val="bottom"/>
            <w:gridSpan w:val="2"/>
          </w:tcPr>
          <w:p>
            <w:pPr>
              <w:ind w:left="40"/>
              <w:spacing w:after="0"/>
              <w:rPr>
                <w:sz w:val="20"/>
                <w:szCs w:val="20"/>
                <w:color w:val="auto"/>
              </w:rPr>
            </w:pPr>
            <w:r>
              <w:rPr>
                <w:rFonts w:ascii="Arial" w:cs="Arial" w:eastAsia="Arial" w:hAnsi="Arial"/>
                <w:sz w:val="18"/>
                <w:szCs w:val="18"/>
                <w:b w:val="1"/>
                <w:bCs w:val="1"/>
                <w:color w:val="auto"/>
              </w:rPr>
              <w:t>Total</w:t>
            </w:r>
          </w:p>
        </w:tc>
      </w:tr>
      <w:tr>
        <w:trPr>
          <w:trHeight w:val="223"/>
        </w:trPr>
        <w:tc>
          <w:tcPr>
            <w:tcW w:w="504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Capital expenditures:</w:t>
            </w:r>
          </w:p>
        </w:tc>
        <w:tc>
          <w:tcPr>
            <w:tcW w:w="140" w:type="dxa"/>
            <w:vAlign w:val="bottom"/>
            <w:tcBorders>
              <w:top w:val="single" w:sz="8" w:color="CFF0FC"/>
            </w:tcBorders>
            <w:shd w:val="clear" w:color="auto" w:fill="CFF0FC"/>
          </w:tcPr>
          <w:p>
            <w:pPr>
              <w:spacing w:after="0"/>
              <w:rPr>
                <w:sz w:val="19"/>
                <w:szCs w:val="19"/>
                <w:color w:val="auto"/>
              </w:rPr>
            </w:pPr>
          </w:p>
        </w:tc>
        <w:tc>
          <w:tcPr>
            <w:tcW w:w="360" w:type="dxa"/>
            <w:vAlign w:val="bottom"/>
            <w:tcBorders>
              <w:top w:val="single" w:sz="8" w:color="auto"/>
            </w:tcBorders>
            <w:shd w:val="clear" w:color="auto" w:fill="CFF0FC"/>
          </w:tcPr>
          <w:p>
            <w:pPr>
              <w:spacing w:after="0"/>
              <w:rPr>
                <w:sz w:val="19"/>
                <w:szCs w:val="19"/>
                <w:color w:val="auto"/>
              </w:rPr>
            </w:pPr>
          </w:p>
        </w:tc>
        <w:tc>
          <w:tcPr>
            <w:tcW w:w="78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360" w:type="dxa"/>
            <w:vAlign w:val="bottom"/>
            <w:tcBorders>
              <w:top w:val="single" w:sz="8" w:color="auto"/>
            </w:tcBorders>
            <w:shd w:val="clear" w:color="auto" w:fill="CFF0FC"/>
          </w:tcPr>
          <w:p>
            <w:pPr>
              <w:spacing w:after="0"/>
              <w:rPr>
                <w:sz w:val="19"/>
                <w:szCs w:val="19"/>
                <w:color w:val="auto"/>
              </w:rPr>
            </w:pPr>
          </w:p>
        </w:tc>
        <w:tc>
          <w:tcPr>
            <w:tcW w:w="58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92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6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r>
      <w:tr>
        <w:trPr>
          <w:trHeight w:val="229"/>
        </w:trPr>
        <w:tc>
          <w:tcPr>
            <w:tcW w:w="5040" w:type="dxa"/>
            <w:vAlign w:val="bottom"/>
          </w:tcPr>
          <w:p>
            <w:pPr>
              <w:ind w:left="260"/>
              <w:spacing w:after="0"/>
              <w:rPr>
                <w:sz w:val="20"/>
                <w:szCs w:val="20"/>
                <w:color w:val="auto"/>
              </w:rPr>
            </w:pPr>
            <w:r>
              <w:rPr>
                <w:rFonts w:ascii="Arial" w:cs="Arial" w:eastAsia="Arial" w:hAnsi="Arial"/>
                <w:sz w:val="18"/>
                <w:szCs w:val="18"/>
                <w:color w:val="auto"/>
              </w:rPr>
              <w:t>Leasing</w:t>
            </w:r>
          </w:p>
        </w:tc>
        <w:tc>
          <w:tcPr>
            <w:tcW w:w="500" w:type="dxa"/>
            <w:vAlign w:val="bottom"/>
            <w:gridSpan w:val="2"/>
          </w:tcPr>
          <w:p>
            <w:pPr>
              <w:jc w:val="right"/>
              <w:ind w:right="198"/>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4,544</w:t>
            </w:r>
          </w:p>
        </w:tc>
        <w:tc>
          <w:tcPr>
            <w:tcW w:w="24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ind w:right="198"/>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4,544</w:t>
            </w:r>
          </w:p>
        </w:tc>
        <w:tc>
          <w:tcPr>
            <w:tcW w:w="100" w:type="dxa"/>
            <w:vAlign w:val="bottom"/>
          </w:tcPr>
          <w:p>
            <w:pPr>
              <w:spacing w:after="0"/>
              <w:rPr>
                <w:sz w:val="19"/>
                <w:szCs w:val="19"/>
                <w:color w:val="auto"/>
              </w:rPr>
            </w:pPr>
          </w:p>
        </w:tc>
      </w:tr>
      <w:tr>
        <w:trPr>
          <w:trHeight w:val="230"/>
        </w:trPr>
        <w:tc>
          <w:tcPr>
            <w:tcW w:w="50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Growth capital improvements</w:t>
            </w:r>
          </w:p>
        </w:tc>
        <w:tc>
          <w:tcPr>
            <w:tcW w:w="14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48,166</w:t>
            </w:r>
          </w:p>
        </w:tc>
        <w:tc>
          <w:tcPr>
            <w:tcW w:w="2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48,166</w:t>
            </w:r>
          </w:p>
        </w:tc>
        <w:tc>
          <w:tcPr>
            <w:tcW w:w="100" w:type="dxa"/>
            <w:vAlign w:val="bottom"/>
            <w:shd w:val="clear" w:color="auto" w:fill="CFF0FC"/>
          </w:tcPr>
          <w:p>
            <w:pPr>
              <w:spacing w:after="0"/>
              <w:rPr>
                <w:sz w:val="19"/>
                <w:szCs w:val="19"/>
                <w:color w:val="auto"/>
              </w:rPr>
            </w:pPr>
          </w:p>
        </w:tc>
      </w:tr>
      <w:tr>
        <w:trPr>
          <w:trHeight w:val="229"/>
        </w:trPr>
        <w:tc>
          <w:tcPr>
            <w:tcW w:w="5040" w:type="dxa"/>
            <w:vAlign w:val="bottom"/>
          </w:tcPr>
          <w:p>
            <w:pPr>
              <w:ind w:left="260"/>
              <w:spacing w:after="0"/>
              <w:rPr>
                <w:sz w:val="20"/>
                <w:szCs w:val="20"/>
                <w:color w:val="auto"/>
              </w:rPr>
            </w:pPr>
            <w:r>
              <w:rPr>
                <w:rFonts w:ascii="Arial" w:cs="Arial" w:eastAsia="Arial" w:hAnsi="Arial"/>
                <w:sz w:val="18"/>
                <w:szCs w:val="18"/>
                <w:color w:val="auto"/>
              </w:rPr>
              <w:t>Fiber Infrastructure</w:t>
            </w:r>
          </w:p>
        </w:tc>
        <w:tc>
          <w:tcPr>
            <w:tcW w:w="1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39,207</w:t>
            </w: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2,366</w:t>
            </w:r>
          </w:p>
        </w:tc>
        <w:tc>
          <w:tcPr>
            <w:tcW w:w="2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154</w:t>
            </w: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255</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41,982</w:t>
            </w:r>
          </w:p>
        </w:tc>
        <w:tc>
          <w:tcPr>
            <w:tcW w:w="100" w:type="dxa"/>
            <w:vAlign w:val="bottom"/>
          </w:tcPr>
          <w:p>
            <w:pPr>
              <w:spacing w:after="0"/>
              <w:rPr>
                <w:sz w:val="19"/>
                <w:szCs w:val="19"/>
                <w:color w:val="auto"/>
              </w:rPr>
            </w:pPr>
          </w:p>
        </w:tc>
      </w:tr>
      <w:tr>
        <w:trPr>
          <w:trHeight w:val="229"/>
        </w:trPr>
        <w:tc>
          <w:tcPr>
            <w:tcW w:w="50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Corporate</w:t>
            </w:r>
          </w:p>
        </w:tc>
        <w:tc>
          <w:tcPr>
            <w:tcW w:w="140" w:type="dxa"/>
            <w:vAlign w:val="bottom"/>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spacing w:after="0"/>
              <w:rPr>
                <w:sz w:val="19"/>
                <w:szCs w:val="19"/>
                <w:color w:val="auto"/>
              </w:rPr>
            </w:pPr>
          </w:p>
        </w:tc>
        <w:tc>
          <w:tcPr>
            <w:tcW w:w="7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spacing w:after="0"/>
              <w:rPr>
                <w:sz w:val="19"/>
                <w:szCs w:val="19"/>
                <w:color w:val="auto"/>
              </w:rPr>
            </w:pPr>
          </w:p>
        </w:tc>
        <w:tc>
          <w:tcPr>
            <w:tcW w:w="5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36</w:t>
            </w:r>
          </w:p>
        </w:tc>
        <w:tc>
          <w:tcPr>
            <w:tcW w:w="2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6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36</w:t>
            </w:r>
          </w:p>
        </w:tc>
        <w:tc>
          <w:tcPr>
            <w:tcW w:w="100" w:type="dxa"/>
            <w:vAlign w:val="bottom"/>
            <w:shd w:val="clear" w:color="auto" w:fill="CFF0FC"/>
          </w:tcPr>
          <w:p>
            <w:pPr>
              <w:spacing w:after="0"/>
              <w:rPr>
                <w:sz w:val="19"/>
                <w:szCs w:val="19"/>
                <w:color w:val="auto"/>
              </w:rPr>
            </w:pPr>
          </w:p>
        </w:tc>
      </w:tr>
      <w:tr>
        <w:trPr>
          <w:trHeight w:val="223"/>
        </w:trPr>
        <w:tc>
          <w:tcPr>
            <w:tcW w:w="5040" w:type="dxa"/>
            <w:vAlign w:val="bottom"/>
          </w:tcPr>
          <w:p>
            <w:pPr>
              <w:ind w:left="380"/>
              <w:spacing w:after="0"/>
              <w:rPr>
                <w:sz w:val="20"/>
                <w:szCs w:val="20"/>
                <w:color w:val="auto"/>
              </w:rPr>
            </w:pPr>
            <w:r>
              <w:rPr>
                <w:rFonts w:ascii="Arial" w:cs="Arial" w:eastAsia="Arial" w:hAnsi="Arial"/>
                <w:sz w:val="18"/>
                <w:szCs w:val="18"/>
                <w:color w:val="auto"/>
              </w:rPr>
              <w:t>Total capital expenditures</w:t>
            </w:r>
          </w:p>
        </w:tc>
        <w:tc>
          <w:tcPr>
            <w:tcW w:w="140" w:type="dxa"/>
            <w:vAlign w:val="bottom"/>
          </w:tcPr>
          <w:p>
            <w:pPr>
              <w:spacing w:after="0"/>
              <w:rPr>
                <w:sz w:val="19"/>
                <w:szCs w:val="19"/>
                <w:color w:val="auto"/>
              </w:rPr>
            </w:pPr>
          </w:p>
        </w:tc>
        <w:tc>
          <w:tcPr>
            <w:tcW w:w="360" w:type="dxa"/>
            <w:vAlign w:val="bottom"/>
            <w:tcBorders>
              <w:bottom w:val="single" w:sz="8" w:color="auto"/>
            </w:tcBorders>
          </w:tcPr>
          <w:p>
            <w:pPr>
              <w:jc w:val="right"/>
              <w:ind w:right="198"/>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91,917</w:t>
            </w:r>
          </w:p>
        </w:tc>
        <w:tc>
          <w:tcPr>
            <w:tcW w:w="24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2,366</w:t>
            </w:r>
          </w:p>
        </w:tc>
        <w:tc>
          <w:tcPr>
            <w:tcW w:w="240" w:type="dxa"/>
            <w:vAlign w:val="bottom"/>
          </w:tcPr>
          <w:p>
            <w:pPr>
              <w:spacing w:after="0"/>
              <w:rPr>
                <w:sz w:val="19"/>
                <w:szCs w:val="19"/>
                <w:color w:val="auto"/>
              </w:rPr>
            </w:pPr>
          </w:p>
        </w:tc>
        <w:tc>
          <w:tcPr>
            <w:tcW w:w="360" w:type="dxa"/>
            <w:vAlign w:val="bottom"/>
            <w:tcBorders>
              <w:bottom w:val="single" w:sz="8" w:color="auto"/>
            </w:tcBorders>
          </w:tcPr>
          <w:p>
            <w:pPr>
              <w:jc w:val="right"/>
              <w:ind w:right="198"/>
              <w:spacing w:after="0"/>
              <w:rPr>
                <w:sz w:val="20"/>
                <w:szCs w:val="20"/>
                <w:color w:val="auto"/>
              </w:rPr>
            </w:pPr>
            <w:r>
              <w:rPr>
                <w:rFonts w:ascii="Arial" w:cs="Arial" w:eastAsia="Arial" w:hAnsi="Arial"/>
                <w:sz w:val="15"/>
                <w:szCs w:val="15"/>
                <w:color w:val="auto"/>
                <w:w w:val="71"/>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154</w:t>
            </w:r>
          </w:p>
        </w:tc>
        <w:tc>
          <w:tcPr>
            <w:tcW w:w="220" w:type="dxa"/>
            <w:vAlign w:val="bottom"/>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291</w:t>
            </w:r>
          </w:p>
        </w:tc>
        <w:tc>
          <w:tcPr>
            <w:tcW w:w="22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94,728</w:t>
            </w:r>
          </w:p>
        </w:tc>
        <w:tc>
          <w:tcPr>
            <w:tcW w:w="100" w:type="dxa"/>
            <w:vAlign w:val="bottom"/>
          </w:tcPr>
          <w:p>
            <w:pPr>
              <w:spacing w:after="0"/>
              <w:rPr>
                <w:sz w:val="19"/>
                <w:szCs w:val="19"/>
                <w:color w:val="auto"/>
              </w:rPr>
            </w:pPr>
          </w:p>
        </w:tc>
      </w:tr>
      <w:tr>
        <w:trPr>
          <w:trHeight w:val="20"/>
        </w:trPr>
        <w:tc>
          <w:tcPr>
            <w:tcW w:w="50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color w:val="auto"/>
        </w:rPr>
        <w:t>We categorize our capital expenditures as either (i) success-based, (ii) maintenance, (iii) integration or (iv) corporate and non-network. We define success-based capital expenditures as those related to installing existing or anticipated contractual customer service orders. Maintenance capital expenditures are those necessary to keep existing network elements fully operational. Integration capital expenditures are those made specifically with respect to recent acquisitions that are essential to integrating acquired companies in our business. We anticipate continuing to invest in our network infrastructure across our Uniti Leasing and Uniti Fiber businesses and expect that cash on hand and cash flows provided by operating activities will be sufficient to support these investments. We have the right, but not the obligation (except for Growth Capital Improvements), to reimburse growth capital expenditures in certain of our lease arrangements where we are the lessor.</w:t>
      </w:r>
    </w:p>
    <w:p>
      <w:pPr>
        <w:spacing w:after="0" w:line="177" w:lineRule="exact"/>
        <w:rPr>
          <w:sz w:val="20"/>
          <w:szCs w:val="20"/>
          <w:color w:val="auto"/>
        </w:rPr>
      </w:pPr>
    </w:p>
    <w:p>
      <w:pPr>
        <w:ind w:right="240"/>
        <w:spacing w:after="0" w:line="259" w:lineRule="auto"/>
        <w:rPr>
          <w:sz w:val="20"/>
          <w:szCs w:val="20"/>
          <w:color w:val="auto"/>
        </w:rPr>
      </w:pPr>
      <w:r>
        <w:rPr>
          <w:rFonts w:ascii="Arial" w:cs="Arial" w:eastAsia="Arial" w:hAnsi="Arial"/>
          <w:sz w:val="18"/>
          <w:szCs w:val="18"/>
          <w:color w:val="auto"/>
        </w:rPr>
        <w:t>Uniti’s total annual reimbursement commitments to Windstream for the Growth Capital Improvements is discussed above in this Part I, Item 2 “Management’s Discussion and Analysis of Financial Condition and Results of Operations” in “Liquidity and Capital Resources—Windstream Master Lease and Windstream Leases.” Growth Capital Improvements are treated as success-based capital improvements based on the rents paid with respect to such amounts.</w:t>
      </w:r>
    </w:p>
    <w:p>
      <w:pPr>
        <w:spacing w:after="0" w:line="187"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If circumstances warrant, we may need to take measures to conserve cash, which may include a suspension, delay or reduction in success-based capital expenditures.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Dividends</w:t>
      </w:r>
    </w:p>
    <w:p>
      <w:pPr>
        <w:spacing w:after="0" w:line="229" w:lineRule="exact"/>
        <w:rPr>
          <w:sz w:val="20"/>
          <w:szCs w:val="20"/>
          <w:color w:val="auto"/>
        </w:rPr>
      </w:pPr>
    </w:p>
    <w:p>
      <w:pPr>
        <w:ind w:right="60"/>
        <w:spacing w:after="0" w:line="290" w:lineRule="auto"/>
        <w:rPr>
          <w:sz w:val="20"/>
          <w:szCs w:val="20"/>
          <w:color w:val="auto"/>
        </w:rPr>
      </w:pPr>
      <w:r>
        <w:rPr>
          <w:rFonts w:ascii="Arial" w:cs="Arial" w:eastAsia="Arial" w:hAnsi="Arial"/>
          <w:sz w:val="16"/>
          <w:szCs w:val="16"/>
          <w:color w:val="auto"/>
        </w:rPr>
        <w:t>We have elected to be taxed as a REIT for U.S. federal income tax purposes. U.S. federal income tax law generally requires that a REIT distribute annually at least 90% of its REIT taxable income, without regard to the deduction for dividends paid and excluding net capital gains, and that it pay tax at regular corporate rates to the extent that it annually distributes less than 100% of its taxable income. Subject to the restrictions imposed by our 7.875% senior secured notes due 2025 (the “2025 Secured Notes”), in order to maintain our REIT status, we intend to make dividend payments of all or substantially all of our taxable income to holders of our common stock out of assets legally available for this purpose, if and to the extent authorized by our board of directors. Before we make any dividend payments, whether for U.S. federal income tax purposes or otherwise, we must first meet both our operating requirements and debt service obligations. If our cash available for distribution is less than our taxable income, we could be required to sell assets or borrow funds to make cash dividends or we may make a portion of the required dividend in the form of a taxable distribution of stock or debt securities.</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below sets out details regarding our cash dividends on our common stock:</w:t>
      </w:r>
    </w:p>
    <w:p>
      <w:pPr>
        <w:spacing w:after="0" w:line="26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200" w:type="dxa"/>
            <w:vAlign w:val="bottom"/>
            <w:gridSpan w:val="2"/>
          </w:tcPr>
          <w:p>
            <w:pPr>
              <w:spacing w:after="0"/>
              <w:rPr>
                <w:sz w:val="20"/>
                <w:szCs w:val="20"/>
                <w:color w:val="auto"/>
              </w:rPr>
            </w:pPr>
            <w:r>
              <w:rPr>
                <w:rFonts w:ascii="Arial" w:cs="Arial" w:eastAsia="Arial" w:hAnsi="Arial"/>
                <w:sz w:val="18"/>
                <w:szCs w:val="18"/>
                <w:color w:val="auto"/>
              </w:rPr>
              <w:t>Period</w:t>
            </w:r>
          </w:p>
        </w:tc>
        <w:tc>
          <w:tcPr>
            <w:tcW w:w="2260" w:type="dxa"/>
            <w:vAlign w:val="bottom"/>
          </w:tcPr>
          <w:p>
            <w:pPr>
              <w:jc w:val="center"/>
              <w:spacing w:after="0"/>
              <w:rPr>
                <w:sz w:val="20"/>
                <w:szCs w:val="20"/>
                <w:color w:val="auto"/>
              </w:rPr>
            </w:pPr>
            <w:r>
              <w:rPr>
                <w:rFonts w:ascii="Arial" w:cs="Arial" w:eastAsia="Arial" w:hAnsi="Arial"/>
                <w:sz w:val="18"/>
                <w:szCs w:val="18"/>
                <w:color w:val="auto"/>
                <w:w w:val="87"/>
              </w:rPr>
              <w:t>Payment Date</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60" w:type="dxa"/>
            <w:vAlign w:val="bottom"/>
            <w:gridSpan w:val="2"/>
          </w:tcPr>
          <w:p>
            <w:pPr>
              <w:ind w:left="40"/>
              <w:spacing w:after="0"/>
              <w:rPr>
                <w:sz w:val="20"/>
                <w:szCs w:val="20"/>
                <w:color w:val="auto"/>
              </w:rPr>
            </w:pPr>
            <w:r>
              <w:rPr>
                <w:rFonts w:ascii="Arial" w:cs="Arial" w:eastAsia="Arial" w:hAnsi="Arial"/>
                <w:sz w:val="18"/>
                <w:szCs w:val="18"/>
                <w:color w:val="auto"/>
              </w:rPr>
              <w:t>Cash Dividend Per Share</w:t>
            </w:r>
          </w:p>
        </w:tc>
        <w:tc>
          <w:tcPr>
            <w:tcW w:w="2280" w:type="dxa"/>
            <w:vAlign w:val="bottom"/>
          </w:tcPr>
          <w:p>
            <w:pPr>
              <w:jc w:val="center"/>
              <w:spacing w:after="0"/>
              <w:rPr>
                <w:sz w:val="20"/>
                <w:szCs w:val="20"/>
                <w:color w:val="auto"/>
              </w:rPr>
            </w:pPr>
            <w:r>
              <w:rPr>
                <w:rFonts w:ascii="Arial" w:cs="Arial" w:eastAsia="Arial" w:hAnsi="Arial"/>
                <w:sz w:val="18"/>
                <w:szCs w:val="18"/>
                <w:color w:val="auto"/>
                <w:w w:val="89"/>
              </w:rPr>
              <w:t>Record Date</w:t>
            </w:r>
          </w:p>
        </w:tc>
      </w:tr>
      <w:tr>
        <w:trPr>
          <w:trHeight w:val="223"/>
        </w:trPr>
        <w:tc>
          <w:tcPr>
            <w:tcW w:w="40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October 1, 2021 - December 31, 2021</w:t>
            </w:r>
          </w:p>
        </w:tc>
        <w:tc>
          <w:tcPr>
            <w:tcW w:w="120" w:type="dxa"/>
            <w:vAlign w:val="bottom"/>
            <w:tcBorders>
              <w:top w:val="single" w:sz="8" w:color="CFF0FC"/>
            </w:tcBorders>
            <w:shd w:val="clear" w:color="auto" w:fill="CFF0FC"/>
          </w:tcPr>
          <w:p>
            <w:pPr>
              <w:spacing w:after="0"/>
              <w:rPr>
                <w:sz w:val="19"/>
                <w:szCs w:val="19"/>
                <w:color w:val="auto"/>
              </w:rPr>
            </w:pPr>
          </w:p>
        </w:tc>
        <w:tc>
          <w:tcPr>
            <w:tcW w:w="2260" w:type="dxa"/>
            <w:vAlign w:val="bottom"/>
            <w:tcBorders>
              <w:top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89"/>
              </w:rPr>
              <w:t>January 3, 2022</w:t>
            </w:r>
          </w:p>
        </w:tc>
        <w:tc>
          <w:tcPr>
            <w:tcW w:w="1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20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0.15</w:t>
            </w:r>
          </w:p>
        </w:tc>
        <w:tc>
          <w:tcPr>
            <w:tcW w:w="240" w:type="dxa"/>
            <w:vAlign w:val="bottom"/>
            <w:tcBorders>
              <w:top w:val="single" w:sz="8" w:color="CFF0FC"/>
            </w:tcBorders>
            <w:shd w:val="clear" w:color="auto" w:fill="CFF0FC"/>
          </w:tcPr>
          <w:p>
            <w:pPr>
              <w:spacing w:after="0"/>
              <w:rPr>
                <w:sz w:val="19"/>
                <w:szCs w:val="19"/>
                <w:color w:val="auto"/>
              </w:rPr>
            </w:pPr>
          </w:p>
        </w:tc>
        <w:tc>
          <w:tcPr>
            <w:tcW w:w="2280" w:type="dxa"/>
            <w:vAlign w:val="bottom"/>
            <w:tcBorders>
              <w:top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89"/>
              </w:rPr>
              <w:t>December 17, 2021</w:t>
            </w:r>
          </w:p>
        </w:tc>
      </w:tr>
      <w:tr>
        <w:trPr>
          <w:trHeight w:val="230"/>
        </w:trPr>
        <w:tc>
          <w:tcPr>
            <w:tcW w:w="4200" w:type="dxa"/>
            <w:vAlign w:val="bottom"/>
            <w:gridSpan w:val="2"/>
          </w:tcPr>
          <w:p>
            <w:pPr>
              <w:spacing w:after="0"/>
              <w:rPr>
                <w:sz w:val="20"/>
                <w:szCs w:val="20"/>
                <w:color w:val="auto"/>
              </w:rPr>
            </w:pPr>
            <w:r>
              <w:rPr>
                <w:rFonts w:ascii="Arial" w:cs="Arial" w:eastAsia="Arial" w:hAnsi="Arial"/>
                <w:sz w:val="18"/>
                <w:szCs w:val="18"/>
                <w:color w:val="auto"/>
              </w:rPr>
              <w:t>January 1, 2022 - March 31, 2022</w:t>
            </w:r>
          </w:p>
        </w:tc>
        <w:tc>
          <w:tcPr>
            <w:tcW w:w="2260" w:type="dxa"/>
            <w:vAlign w:val="bottom"/>
          </w:tcPr>
          <w:p>
            <w:pPr>
              <w:jc w:val="center"/>
              <w:spacing w:after="0"/>
              <w:rPr>
                <w:sz w:val="20"/>
                <w:szCs w:val="20"/>
                <w:color w:val="auto"/>
              </w:rPr>
            </w:pPr>
            <w:r>
              <w:rPr>
                <w:rFonts w:ascii="Arial" w:cs="Arial" w:eastAsia="Arial" w:hAnsi="Arial"/>
                <w:sz w:val="18"/>
                <w:szCs w:val="18"/>
                <w:color w:val="auto"/>
                <w:w w:val="93"/>
              </w:rPr>
              <w:t>April 15, 2022</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020" w:type="dxa"/>
            <w:vAlign w:val="bottom"/>
          </w:tcPr>
          <w:p>
            <w:pPr>
              <w:jc w:val="right"/>
              <w:spacing w:after="0"/>
              <w:rPr>
                <w:sz w:val="20"/>
                <w:szCs w:val="20"/>
                <w:color w:val="auto"/>
              </w:rPr>
            </w:pPr>
            <w:r>
              <w:rPr>
                <w:rFonts w:ascii="Arial" w:cs="Arial" w:eastAsia="Arial" w:hAnsi="Arial"/>
                <w:sz w:val="18"/>
                <w:szCs w:val="18"/>
                <w:color w:val="auto"/>
              </w:rPr>
              <w:t>0.15</w:t>
            </w:r>
          </w:p>
        </w:tc>
        <w:tc>
          <w:tcPr>
            <w:tcW w:w="240" w:type="dxa"/>
            <w:vAlign w:val="bottom"/>
          </w:tcPr>
          <w:p>
            <w:pPr>
              <w:spacing w:after="0"/>
              <w:rPr>
                <w:sz w:val="20"/>
                <w:szCs w:val="20"/>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94"/>
              </w:rPr>
              <w:t>April 1, 2022</w:t>
            </w:r>
          </w:p>
        </w:tc>
      </w:tr>
      <w:tr>
        <w:trPr>
          <w:trHeight w:val="674"/>
        </w:trPr>
        <w:tc>
          <w:tcPr>
            <w:tcW w:w="4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60" w:type="dxa"/>
            <w:vAlign w:val="bottom"/>
          </w:tcPr>
          <w:p>
            <w:pPr>
              <w:jc w:val="right"/>
              <w:ind w:right="650"/>
              <w:spacing w:after="0"/>
              <w:rPr>
                <w:sz w:val="20"/>
                <w:szCs w:val="20"/>
                <w:color w:val="auto"/>
              </w:rPr>
            </w:pPr>
            <w:r>
              <w:rPr>
                <w:rFonts w:ascii="Arial" w:cs="Arial" w:eastAsia="Arial" w:hAnsi="Arial"/>
                <w:sz w:val="18"/>
                <w:szCs w:val="18"/>
                <w:color w:val="auto"/>
              </w:rPr>
              <w:t>42</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115"/>
        </w:trPr>
        <w:tc>
          <w:tcPr>
            <w:tcW w:w="408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226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202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228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42" w:name="page43"/>
    <w:bookmarkEnd w:id="4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right="20"/>
        <w:spacing w:after="0" w:line="291" w:lineRule="auto"/>
        <w:rPr>
          <w:sz w:val="20"/>
          <w:szCs w:val="20"/>
          <w:color w:val="auto"/>
        </w:rPr>
      </w:pPr>
      <w:r>
        <w:rPr>
          <w:rFonts w:ascii="Arial" w:cs="Arial" w:eastAsia="Arial" w:hAnsi="Arial"/>
          <w:sz w:val="16"/>
          <w:szCs w:val="16"/>
          <w:color w:val="auto"/>
        </w:rPr>
        <w:t>Any dividends must be declared by our Board of Directors, which will take into account various factors including our current and anticipated operating results, our financial position, REIT requirements, conditions prevailing in the market, restrictions in our debt documents and additional factors they deem appropriate. Dividend payments are not guaranteed, and our Board of Directors may decide, in its absolute discretion, at any time and for any reason, not to pay dividends or to change the amount paid as dividends. In light of the ongoing COVID-19 pandemic, we may take further measures to conserve cash, which may include a suspension, delay or reduction in our dividend. In addition, until such time our consolidated net leverage ratio (as defined in the indenture governing the 2025 Secured Notes) is no greater than 5.75 to 1.0, our 2025 Secured Notes generally limit our ability to pay cash dividends in excess of 90% of our REIT taxable income, determined without regard to the dividends paid deduction and excluding any net capital gains.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29" w:lineRule="exact"/>
        <w:rPr>
          <w:sz w:val="20"/>
          <w:szCs w:val="20"/>
          <w:color w:val="auto"/>
        </w:rPr>
      </w:pPr>
    </w:p>
    <w:p>
      <w:pPr>
        <w:spacing w:after="0" w:line="275" w:lineRule="auto"/>
        <w:rPr>
          <w:sz w:val="20"/>
          <w:szCs w:val="20"/>
          <w:color w:val="auto"/>
        </w:rPr>
      </w:pPr>
      <w:r>
        <w:rPr>
          <w:rFonts w:ascii="Arial" w:cs="Arial" w:eastAsia="Arial" w:hAnsi="Arial"/>
          <w:sz w:val="17"/>
          <w:szCs w:val="17"/>
          <w:color w:val="auto"/>
        </w:rPr>
        <w:t>We make certain judgments and use certain estimates and assumptions when applying accounting principles in the preparation of our Condensed Consolidated Financial Statements. The nature of the estimates and assumptions are material due to the levels of subjectivity and judgment necessary to account for highly uncertain factors or the susceptibility of such factors to change. We have identified the accounting for income taxes, revenue recognition, the impairment of property, plant and equipment, goodwill impairment and business combinations as critical accounting estimates, as they are the most important to our financial statement presentation and require difficult, subjective and complex judgments.</w:t>
      </w:r>
    </w:p>
    <w:p>
      <w:pPr>
        <w:spacing w:after="0" w:line="176" w:lineRule="exact"/>
        <w:rPr>
          <w:sz w:val="20"/>
          <w:szCs w:val="20"/>
          <w:color w:val="auto"/>
        </w:rPr>
      </w:pPr>
    </w:p>
    <w:p>
      <w:pPr>
        <w:ind w:right="20"/>
        <w:spacing w:after="0" w:line="279" w:lineRule="auto"/>
        <w:rPr>
          <w:sz w:val="20"/>
          <w:szCs w:val="20"/>
          <w:color w:val="auto"/>
        </w:rPr>
      </w:pPr>
      <w:r>
        <w:rPr>
          <w:rFonts w:ascii="Arial" w:cs="Arial" w:eastAsia="Arial" w:hAnsi="Arial"/>
          <w:sz w:val="17"/>
          <w:szCs w:val="17"/>
          <w:color w:val="auto"/>
        </w:rPr>
        <w:t>We believe the current assumptions and other considerations used to estimate amounts reflected in our accompanying Condensed Consolidated Financial Statements are appropriate. However, if actual experience differs from the assumptions and other considerations used in estimating amounts reflected in our Condensed Consolidated Financial Statements, the resulting changes could have a material adverse effect on our consolidated results of operations and, in certain situations, could have a material adverse effect on our financial condition.</w:t>
      </w:r>
    </w:p>
    <w:p>
      <w:pPr>
        <w:spacing w:after="0" w:line="171" w:lineRule="exact"/>
        <w:rPr>
          <w:sz w:val="20"/>
          <w:szCs w:val="20"/>
          <w:color w:val="auto"/>
        </w:rPr>
      </w:pPr>
    </w:p>
    <w:p>
      <w:pPr>
        <w:ind w:right="200"/>
        <w:spacing w:after="0" w:line="263" w:lineRule="auto"/>
        <w:rPr>
          <w:sz w:val="20"/>
          <w:szCs w:val="20"/>
          <w:color w:val="auto"/>
        </w:rPr>
      </w:pPr>
      <w:r>
        <w:rPr>
          <w:rFonts w:ascii="Arial" w:cs="Arial" w:eastAsia="Arial" w:hAnsi="Arial"/>
          <w:sz w:val="18"/>
          <w:szCs w:val="18"/>
          <w:color w:val="auto"/>
        </w:rPr>
        <w:t>For further information on our critical accounting estimates, see “Management’s Discussion and Analysis of Financial Condition and Results of Operations” and the notes to our audited financial statements included in our Annual Report. As of March 31, 2022, there has been no material change to these estimates.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Guidance</w:t>
      </w:r>
    </w:p>
    <w:p>
      <w:pPr>
        <w:spacing w:after="0" w:line="229"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New accounting rules and disclosures can impact our reported results and comparability of our financial statements. These matters are described in our Annual Report.</w:t>
      </w:r>
    </w:p>
    <w:p>
      <w:pPr>
        <w:spacing w:after="0" w:line="3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There have been no material changes from the information reported under Item 7A of our Annual Report.</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Disclosure Controls and Procedures</w:t>
      </w:r>
    </w:p>
    <w:p>
      <w:pPr>
        <w:spacing w:after="0" w:line="225"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We have established disclosure controls and procedures, as such term is defined in Rule 13a-15(e) under the Securities Exchange Act of 1934 (the “Exchange Act”), that are designed to ensure that information required to be disclosed by us in the reports that we file or submit under the Exchange Act is recorded, processed, summarized and reported, within the time periods specified in the SEC’s rules and forms. Disclosure controls and procedures include, without limitation, controls and procedures designed to ensure that information required to be disclosed by us in the reports that we file or submit under the Exchange Act is accumulated and communicated to management, including our principal executive and principal financial officers as appropriate, to allow timely decisions regarding required disclosure.</w:t>
      </w:r>
    </w:p>
    <w:p>
      <w:pPr>
        <w:spacing w:after="0" w:line="192" w:lineRule="exact"/>
        <w:rPr>
          <w:sz w:val="20"/>
          <w:szCs w:val="20"/>
          <w:color w:val="auto"/>
        </w:rPr>
      </w:pPr>
    </w:p>
    <w:p>
      <w:pPr>
        <w:ind w:right="260"/>
        <w:spacing w:after="0" w:line="263" w:lineRule="auto"/>
        <w:rPr>
          <w:sz w:val="20"/>
          <w:szCs w:val="20"/>
          <w:color w:val="auto"/>
        </w:rPr>
      </w:pPr>
      <w:r>
        <w:rPr>
          <w:rFonts w:ascii="Arial" w:cs="Arial" w:eastAsia="Arial" w:hAnsi="Arial"/>
          <w:sz w:val="18"/>
          <w:szCs w:val="18"/>
          <w:color w:val="auto"/>
        </w:rPr>
        <w:t>Our management, with the participation of our principal executive officer and principal financial officer, evaluated the effectiveness of our disclosure controls and procedures as of March 31, 2022, and based on this evaluation, our principal executive officer and principal financial officer concluded that our disclosure controls and procedures were effective as of March 31, 2022.</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43" w:name="page44"/>
    <w:bookmarkEnd w:id="4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Changes in Internal Control over Financial Reporting</w:t>
      </w:r>
    </w:p>
    <w:p>
      <w:pPr>
        <w:spacing w:after="0" w:line="225" w:lineRule="exact"/>
        <w:rPr>
          <w:sz w:val="20"/>
          <w:szCs w:val="20"/>
          <w:color w:val="auto"/>
        </w:rPr>
      </w:pPr>
    </w:p>
    <w:p>
      <w:pPr>
        <w:spacing w:after="0" w:line="263" w:lineRule="auto"/>
        <w:rPr>
          <w:sz w:val="20"/>
          <w:szCs w:val="20"/>
          <w:color w:val="auto"/>
        </w:rPr>
      </w:pPr>
      <w:r>
        <w:rPr>
          <w:rFonts w:ascii="Arial" w:cs="Arial" w:eastAsia="Arial" w:hAnsi="Arial"/>
          <w:sz w:val="18"/>
          <w:szCs w:val="18"/>
          <w:color w:val="auto"/>
        </w:rPr>
        <w:t>There were no changes in our internal control over financial reporting, as such term is defined in Rule 13a-15(f) under the Exchange Act, that occurred during the quarter ended March 31, 2022 that has materially affected, or is reasonably likely to materially affect, our internal control over financial reporting.</w:t>
      </w:r>
    </w:p>
    <w:p>
      <w:pPr>
        <w:spacing w:after="0" w:line="200" w:lineRule="exact"/>
        <w:rPr>
          <w:sz w:val="20"/>
          <w:szCs w:val="20"/>
          <w:color w:val="auto"/>
        </w:rPr>
      </w:pPr>
    </w:p>
    <w:p>
      <w:pPr>
        <w:spacing w:after="0" w:line="227" w:lineRule="exact"/>
        <w:rPr>
          <w:sz w:val="20"/>
          <w:szCs w:val="20"/>
          <w:color w:val="auto"/>
        </w:rPr>
      </w:pPr>
    </w:p>
    <w:p>
      <w:pPr>
        <w:jc w:val="center"/>
        <w:ind w:right="-359"/>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880"/>
          </w:cols>
          <w:pgMar w:left="320" w:top="125" w:right="699" w:bottom="1440" w:gutter="0" w:footer="0" w:header="0"/>
        </w:sectPr>
      </w:pPr>
    </w:p>
    <w:bookmarkStart w:id="44" w:name="page45"/>
    <w:bookmarkEnd w:id="4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29" w:lineRule="exact"/>
        <w:rPr>
          <w:sz w:val="20"/>
          <w:szCs w:val="20"/>
          <w:color w:val="auto"/>
        </w:rPr>
      </w:pPr>
    </w:p>
    <w:p>
      <w:pPr>
        <w:ind w:right="540"/>
        <w:spacing w:after="0" w:line="277" w:lineRule="auto"/>
        <w:rPr>
          <w:sz w:val="20"/>
          <w:szCs w:val="20"/>
          <w:color w:val="auto"/>
        </w:rPr>
      </w:pPr>
      <w:r>
        <w:rPr>
          <w:rFonts w:ascii="Arial" w:cs="Arial" w:eastAsia="Arial" w:hAnsi="Arial"/>
          <w:sz w:val="18"/>
          <w:szCs w:val="18"/>
          <w:color w:val="auto"/>
        </w:rPr>
        <w:t>A description of legal proceedings can be found in Note 13 - Commitments and Contingencies to our Condensed Consolidated Financial Statements, included in this report at Part I, Item 1-Financial Statements, and is incorporated by reference into this Item 1.</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21" w:lineRule="exact"/>
        <w:rPr>
          <w:sz w:val="20"/>
          <w:szCs w:val="20"/>
          <w:color w:val="auto"/>
        </w:rPr>
      </w:pPr>
    </w:p>
    <w:p>
      <w:pPr>
        <w:spacing w:after="0"/>
        <w:rPr>
          <w:sz w:val="20"/>
          <w:szCs w:val="20"/>
          <w:color w:val="auto"/>
        </w:rPr>
      </w:pPr>
      <w:r>
        <w:rPr>
          <w:rFonts w:ascii="Arial" w:cs="Arial" w:eastAsia="Arial" w:hAnsi="Arial"/>
          <w:sz w:val="16"/>
          <w:szCs w:val="16"/>
          <w:color w:val="auto"/>
        </w:rPr>
        <w:t>There have been no material changes to the risk factors affecting our business that were discussed in Part I, “Item 1A. Risk Factors” in our Annual Report.</w:t>
      </w:r>
    </w:p>
    <w:p>
      <w:pPr>
        <w:spacing w:after="0" w:line="3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Issuer Purchases of Equity Securities</w:t>
      </w:r>
    </w:p>
    <w:p>
      <w:pPr>
        <w:spacing w:after="0" w:line="225" w:lineRule="exact"/>
        <w:rPr>
          <w:sz w:val="20"/>
          <w:szCs w:val="20"/>
          <w:color w:val="auto"/>
        </w:rPr>
      </w:pPr>
    </w:p>
    <w:p>
      <w:pPr>
        <w:jc w:val="both"/>
        <w:ind w:right="300"/>
        <w:spacing w:after="0" w:line="271" w:lineRule="auto"/>
        <w:rPr>
          <w:sz w:val="20"/>
          <w:szCs w:val="20"/>
          <w:color w:val="auto"/>
        </w:rPr>
      </w:pPr>
      <w:r>
        <w:rPr>
          <w:rFonts w:ascii="Arial" w:cs="Arial" w:eastAsia="Arial" w:hAnsi="Arial"/>
          <w:sz w:val="17"/>
          <w:szCs w:val="17"/>
          <w:color w:val="auto"/>
        </w:rPr>
        <w:t>The table below provides information regarding shares withheld from Uniti employees to satisfy minimum statutory tax withholding obligations arising from the vesting of restricted stock granted under the Uniti Group Inc. 2015 Equity Incentive Plan. The shares of common stock withheld to satisfy tax withholding obligations may be deemed purchases of such shares required to be disclosed pursuant to this Item 2.</w:t>
      </w:r>
    </w:p>
    <w:tbl>
      <w:tblPr>
        <w:tblLayout w:type="fixed"/>
        <w:tblInd w:w="0" w:type="dxa"/>
        <w:tblCellMar>
          <w:top w:w="0" w:type="dxa"/>
          <w:left w:w="0" w:type="dxa"/>
          <w:bottom w:w="0" w:type="dxa"/>
          <w:right w:w="0" w:type="dxa"/>
        </w:tblCellMar>
      </w:tblPr>
      <w:tr>
        <w:trPr>
          <w:trHeight w:val="139"/>
        </w:trPr>
        <w:tc>
          <w:tcPr>
            <w:tcW w:w="4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5"/>
              </w:rPr>
              <w:t>Total Number</w:t>
            </w:r>
          </w:p>
        </w:tc>
        <w:tc>
          <w:tcPr>
            <w:tcW w:w="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40" w:type="dxa"/>
            <w:vAlign w:val="bottom"/>
          </w:tcPr>
          <w:p>
            <w:pPr>
              <w:jc w:val="center"/>
              <w:spacing w:after="0" w:line="139" w:lineRule="exact"/>
              <w:rPr>
                <w:sz w:val="20"/>
                <w:szCs w:val="20"/>
                <w:color w:val="auto"/>
              </w:rPr>
            </w:pPr>
            <w:r>
              <w:rPr>
                <w:rFonts w:ascii="Arial" w:cs="Arial" w:eastAsia="Arial" w:hAnsi="Arial"/>
                <w:sz w:val="14"/>
                <w:szCs w:val="14"/>
                <w:b w:val="1"/>
                <w:bCs w:val="1"/>
                <w:color w:val="auto"/>
                <w:w w:val="93"/>
              </w:rPr>
              <w:t>Total Number of Shares</w:t>
            </w:r>
          </w:p>
        </w:tc>
        <w:tc>
          <w:tcPr>
            <w:tcW w:w="120" w:type="dxa"/>
            <w:vAlign w:val="bottom"/>
          </w:tcPr>
          <w:p>
            <w:pPr>
              <w:spacing w:after="0"/>
              <w:rPr>
                <w:sz w:val="12"/>
                <w:szCs w:val="12"/>
                <w:color w:val="auto"/>
              </w:rPr>
            </w:pPr>
          </w:p>
        </w:tc>
        <w:tc>
          <w:tcPr>
            <w:tcW w:w="1860" w:type="dxa"/>
            <w:vAlign w:val="bottom"/>
            <w:gridSpan w:val="2"/>
          </w:tcPr>
          <w:p>
            <w:pPr>
              <w:jc w:val="center"/>
              <w:ind w:right="140"/>
              <w:spacing w:after="0" w:line="139" w:lineRule="exact"/>
              <w:rPr>
                <w:sz w:val="20"/>
                <w:szCs w:val="20"/>
                <w:color w:val="auto"/>
              </w:rPr>
            </w:pPr>
            <w:r>
              <w:rPr>
                <w:rFonts w:ascii="Arial" w:cs="Arial" w:eastAsia="Arial" w:hAnsi="Arial"/>
                <w:sz w:val="14"/>
                <w:szCs w:val="14"/>
                <w:b w:val="1"/>
                <w:bCs w:val="1"/>
                <w:color w:val="auto"/>
                <w:w w:val="98"/>
              </w:rPr>
              <w:t>Maximum Number of</w:t>
            </w:r>
          </w:p>
        </w:tc>
        <w:tc>
          <w:tcPr>
            <w:tcW w:w="0" w:type="dxa"/>
            <w:vAlign w:val="bottom"/>
          </w:tcPr>
          <w:p>
            <w:pPr>
              <w:spacing w:after="0"/>
              <w:rPr>
                <w:sz w:val="1"/>
                <w:szCs w:val="1"/>
                <w:color w:val="auto"/>
              </w:rPr>
            </w:pPr>
          </w:p>
        </w:tc>
      </w:tr>
      <w:tr>
        <w:trPr>
          <w:trHeight w:val="148"/>
        </w:trPr>
        <w:tc>
          <w:tcPr>
            <w:tcW w:w="4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56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w w:val="99"/>
              </w:rPr>
              <w:t>Average Price Paid per</w:t>
            </w:r>
          </w:p>
        </w:tc>
        <w:tc>
          <w:tcPr>
            <w:tcW w:w="1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Purchased as Part of</w:t>
            </w:r>
          </w:p>
        </w:tc>
        <w:tc>
          <w:tcPr>
            <w:tcW w:w="120" w:type="dxa"/>
            <w:vAlign w:val="bottom"/>
          </w:tcPr>
          <w:p>
            <w:pPr>
              <w:spacing w:after="0"/>
              <w:rPr>
                <w:sz w:val="12"/>
                <w:szCs w:val="12"/>
                <w:color w:val="auto"/>
              </w:rPr>
            </w:pPr>
          </w:p>
        </w:tc>
        <w:tc>
          <w:tcPr>
            <w:tcW w:w="18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2"/>
              </w:rPr>
              <w:t>Shares that May Yet Be</w:t>
            </w:r>
          </w:p>
        </w:tc>
        <w:tc>
          <w:tcPr>
            <w:tcW w:w="0" w:type="dxa"/>
            <w:vAlign w:val="bottom"/>
          </w:tcPr>
          <w:p>
            <w:pPr>
              <w:spacing w:after="0"/>
              <w:rPr>
                <w:sz w:val="1"/>
                <w:szCs w:val="1"/>
                <w:color w:val="auto"/>
              </w:rPr>
            </w:pPr>
          </w:p>
        </w:tc>
      </w:tr>
      <w:tr>
        <w:trPr>
          <w:trHeight w:val="148"/>
        </w:trPr>
        <w:tc>
          <w:tcPr>
            <w:tcW w:w="4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of Shares</w:t>
            </w:r>
          </w:p>
        </w:tc>
        <w:tc>
          <w:tcPr>
            <w:tcW w:w="100" w:type="dxa"/>
            <w:vAlign w:val="bottom"/>
          </w:tcPr>
          <w:p>
            <w:pPr>
              <w:spacing w:after="0"/>
              <w:rPr>
                <w:sz w:val="12"/>
                <w:szCs w:val="12"/>
                <w:color w:val="auto"/>
              </w:rPr>
            </w:pPr>
          </w:p>
        </w:tc>
        <w:tc>
          <w:tcPr>
            <w:tcW w:w="1560" w:type="dxa"/>
            <w:vAlign w:val="bottom"/>
            <w:gridSpan w:val="3"/>
            <w:vMerge w:val="continue"/>
          </w:tcPr>
          <w:p>
            <w:pPr>
              <w:spacing w:after="0"/>
              <w:rPr>
                <w:sz w:val="12"/>
                <w:szCs w:val="12"/>
                <w:color w:val="auto"/>
              </w:rPr>
            </w:pPr>
          </w:p>
        </w:tc>
        <w:tc>
          <w:tcPr>
            <w:tcW w:w="1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Publicly Announced Plans</w:t>
            </w:r>
          </w:p>
        </w:tc>
        <w:tc>
          <w:tcPr>
            <w:tcW w:w="120" w:type="dxa"/>
            <w:vAlign w:val="bottom"/>
          </w:tcPr>
          <w:p>
            <w:pPr>
              <w:spacing w:after="0"/>
              <w:rPr>
                <w:sz w:val="12"/>
                <w:szCs w:val="12"/>
                <w:color w:val="auto"/>
              </w:rPr>
            </w:pPr>
          </w:p>
        </w:tc>
        <w:tc>
          <w:tcPr>
            <w:tcW w:w="18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2"/>
              </w:rPr>
              <w:t>Purchased Under the Plans</w:t>
            </w:r>
          </w:p>
        </w:tc>
        <w:tc>
          <w:tcPr>
            <w:tcW w:w="0" w:type="dxa"/>
            <w:vAlign w:val="bottom"/>
          </w:tcPr>
          <w:p>
            <w:pPr>
              <w:spacing w:after="0"/>
              <w:rPr>
                <w:sz w:val="1"/>
                <w:szCs w:val="1"/>
                <w:color w:val="auto"/>
              </w:rPr>
            </w:pPr>
          </w:p>
        </w:tc>
      </w:tr>
      <w:tr>
        <w:trPr>
          <w:trHeight w:val="171"/>
        </w:trPr>
        <w:tc>
          <w:tcPr>
            <w:tcW w:w="5020" w:type="dxa"/>
            <w:vAlign w:val="bottom"/>
            <w:gridSpan w:val="2"/>
          </w:tcPr>
          <w:p>
            <w:pPr>
              <w:spacing w:after="0"/>
              <w:rPr>
                <w:sz w:val="20"/>
                <w:szCs w:val="20"/>
                <w:color w:val="auto"/>
              </w:rPr>
            </w:pPr>
            <w:r>
              <w:rPr>
                <w:rFonts w:ascii="Arial" w:cs="Arial" w:eastAsia="Arial" w:hAnsi="Arial"/>
                <w:sz w:val="14"/>
                <w:szCs w:val="14"/>
                <w:color w:val="auto"/>
              </w:rPr>
              <w:t>Period</w:t>
            </w:r>
          </w:p>
        </w:tc>
        <w:tc>
          <w:tcPr>
            <w:tcW w:w="940" w:type="dxa"/>
            <w:vAlign w:val="bottom"/>
          </w:tcPr>
          <w:p>
            <w:pPr>
              <w:jc w:val="center"/>
              <w:spacing w:after="0"/>
              <w:rPr>
                <w:sz w:val="20"/>
                <w:szCs w:val="20"/>
                <w:color w:val="auto"/>
              </w:rPr>
            </w:pPr>
            <w:r>
              <w:rPr>
                <w:rFonts w:ascii="Arial" w:cs="Arial" w:eastAsia="Arial" w:hAnsi="Arial"/>
                <w:sz w:val="14"/>
                <w:szCs w:val="14"/>
                <w:b w:val="1"/>
                <w:bCs w:val="1"/>
                <w:color w:val="auto"/>
                <w:w w:val="89"/>
              </w:rPr>
              <w:t>Purchased</w:t>
            </w: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80" w:type="dxa"/>
            <w:vAlign w:val="bottom"/>
            <w:gridSpan w:val="2"/>
          </w:tcPr>
          <w:p>
            <w:pPr>
              <w:ind w:left="200"/>
              <w:spacing w:after="0"/>
              <w:rPr>
                <w:sz w:val="20"/>
                <w:szCs w:val="20"/>
                <w:color w:val="auto"/>
              </w:rPr>
            </w:pPr>
            <w:r>
              <w:rPr>
                <w:rFonts w:ascii="Arial" w:cs="Arial" w:eastAsia="Arial" w:hAnsi="Arial"/>
                <w:sz w:val="14"/>
                <w:szCs w:val="14"/>
                <w:b w:val="1"/>
                <w:bCs w:val="1"/>
                <w:color w:val="auto"/>
              </w:rPr>
              <w:t>Share</w:t>
            </w:r>
            <w:r>
              <w:rPr>
                <w:rFonts w:ascii="Arial" w:cs="Arial" w:eastAsia="Arial" w:hAnsi="Arial"/>
                <w:sz w:val="12"/>
                <w:szCs w:val="12"/>
                <w:b w:val="1"/>
                <w:bCs w:val="1"/>
                <w:color w:val="auto"/>
              </w:rPr>
              <w:t>(1)</w:t>
            </w:r>
          </w:p>
        </w:tc>
        <w:tc>
          <w:tcPr>
            <w:tcW w:w="1640" w:type="dxa"/>
            <w:vAlign w:val="bottom"/>
          </w:tcPr>
          <w:p>
            <w:pPr>
              <w:jc w:val="center"/>
              <w:spacing w:after="0"/>
              <w:rPr>
                <w:sz w:val="20"/>
                <w:szCs w:val="20"/>
                <w:color w:val="auto"/>
              </w:rPr>
            </w:pPr>
            <w:r>
              <w:rPr>
                <w:rFonts w:ascii="Arial" w:cs="Arial" w:eastAsia="Arial" w:hAnsi="Arial"/>
                <w:sz w:val="14"/>
                <w:szCs w:val="14"/>
                <w:b w:val="1"/>
                <w:bCs w:val="1"/>
                <w:color w:val="auto"/>
                <w:w w:val="91"/>
              </w:rPr>
              <w:t>or Programs</w:t>
            </w:r>
          </w:p>
        </w:tc>
        <w:tc>
          <w:tcPr>
            <w:tcW w:w="120" w:type="dxa"/>
            <w:vAlign w:val="bottom"/>
          </w:tcPr>
          <w:p>
            <w:pPr>
              <w:spacing w:after="0"/>
              <w:rPr>
                <w:sz w:val="14"/>
                <w:szCs w:val="14"/>
                <w:color w:val="auto"/>
              </w:rPr>
            </w:pPr>
          </w:p>
        </w:tc>
        <w:tc>
          <w:tcPr>
            <w:tcW w:w="186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1"/>
              </w:rPr>
              <w:t>or Programs</w:t>
            </w:r>
          </w:p>
        </w:tc>
        <w:tc>
          <w:tcPr>
            <w:tcW w:w="0" w:type="dxa"/>
            <w:vAlign w:val="bottom"/>
          </w:tcPr>
          <w:p>
            <w:pPr>
              <w:spacing w:after="0"/>
              <w:rPr>
                <w:sz w:val="1"/>
                <w:szCs w:val="1"/>
                <w:color w:val="auto"/>
              </w:rPr>
            </w:pPr>
          </w:p>
        </w:tc>
      </w:tr>
      <w:tr>
        <w:trPr>
          <w:trHeight w:val="223"/>
        </w:trPr>
        <w:tc>
          <w:tcPr>
            <w:tcW w:w="486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January 1, 2022 to January 31, 2022</w:t>
            </w:r>
          </w:p>
        </w:tc>
        <w:tc>
          <w:tcPr>
            <w:tcW w:w="160" w:type="dxa"/>
            <w:vAlign w:val="bottom"/>
            <w:tcBorders>
              <w:top w:val="single" w:sz="8" w:color="CFF0FC"/>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4,023</w:t>
            </w:r>
          </w:p>
        </w:tc>
        <w:tc>
          <w:tcPr>
            <w:tcW w:w="100" w:type="dxa"/>
            <w:vAlign w:val="bottom"/>
            <w:tcBorders>
              <w:top w:val="single" w:sz="8" w:color="CFF0FC"/>
            </w:tcBorders>
            <w:shd w:val="clear" w:color="auto" w:fill="CFF0FC"/>
          </w:tcPr>
          <w:p>
            <w:pPr>
              <w:spacing w:after="0"/>
              <w:rPr>
                <w:sz w:val="19"/>
                <w:szCs w:val="19"/>
                <w:color w:val="auto"/>
              </w:rPr>
            </w:pPr>
          </w:p>
        </w:tc>
        <w:tc>
          <w:tcPr>
            <w:tcW w:w="2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11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13.04</w:t>
            </w:r>
          </w:p>
        </w:tc>
        <w:tc>
          <w:tcPr>
            <w:tcW w:w="100" w:type="dxa"/>
            <w:vAlign w:val="bottom"/>
            <w:tcBorders>
              <w:top w:val="single" w:sz="8" w:color="CFF0FC"/>
            </w:tcBorders>
            <w:shd w:val="clear" w:color="auto" w:fill="CFF0FC"/>
          </w:tcPr>
          <w:p>
            <w:pPr>
              <w:spacing w:after="0"/>
              <w:rPr>
                <w:sz w:val="19"/>
                <w:szCs w:val="19"/>
                <w:color w:val="auto"/>
              </w:rPr>
            </w:pPr>
          </w:p>
        </w:tc>
        <w:tc>
          <w:tcPr>
            <w:tcW w:w="1640" w:type="dxa"/>
            <w:vAlign w:val="bottom"/>
            <w:tcBorders>
              <w:top w:val="single" w:sz="8" w:color="auto"/>
            </w:tcBorders>
            <w:shd w:val="clear" w:color="auto" w:fill="CFF0FC"/>
          </w:tcPr>
          <w:p>
            <w:pPr>
              <w:ind w:left="1460"/>
              <w:spacing w:after="0"/>
              <w:rPr>
                <w:sz w:val="20"/>
                <w:szCs w:val="20"/>
                <w:color w:val="auto"/>
              </w:rPr>
            </w:pPr>
            <w:r>
              <w:rPr>
                <w:rFonts w:ascii="Arial" w:cs="Arial" w:eastAsia="Arial" w:hAnsi="Arial"/>
                <w:sz w:val="18"/>
                <w:szCs w:val="18"/>
                <w:color w:val="auto"/>
                <w:w w:val="88"/>
              </w:rPr>
              <w:t>—</w:t>
            </w:r>
          </w:p>
        </w:tc>
        <w:tc>
          <w:tcPr>
            <w:tcW w:w="120" w:type="dxa"/>
            <w:vAlign w:val="bottom"/>
            <w:tcBorders>
              <w:top w:val="single" w:sz="8" w:color="CFF0FC"/>
            </w:tcBorders>
            <w:shd w:val="clear" w:color="auto" w:fill="CFF0FC"/>
          </w:tcPr>
          <w:p>
            <w:pPr>
              <w:spacing w:after="0"/>
              <w:rPr>
                <w:sz w:val="19"/>
                <w:szCs w:val="19"/>
                <w:color w:val="auto"/>
              </w:rPr>
            </w:pPr>
          </w:p>
        </w:tc>
        <w:tc>
          <w:tcPr>
            <w:tcW w:w="1740" w:type="dxa"/>
            <w:vAlign w:val="bottom"/>
            <w:tcBorders>
              <w:top w:val="single" w:sz="8" w:color="auto"/>
            </w:tcBorders>
            <w:shd w:val="clear" w:color="auto" w:fill="CFF0FC"/>
          </w:tcPr>
          <w:p>
            <w:pPr>
              <w:ind w:left="1540"/>
              <w:spacing w:after="0"/>
              <w:rPr>
                <w:sz w:val="20"/>
                <w:szCs w:val="20"/>
                <w:color w:val="auto"/>
              </w:rPr>
            </w:pPr>
            <w:r>
              <w:rPr>
                <w:rFonts w:ascii="Arial" w:cs="Arial" w:eastAsia="Arial" w:hAnsi="Arial"/>
                <w:sz w:val="18"/>
                <w:szCs w:val="18"/>
                <w:color w:val="auto"/>
                <w:w w:val="99"/>
              </w:rPr>
              <w:t>—</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020" w:type="dxa"/>
            <w:vAlign w:val="bottom"/>
            <w:gridSpan w:val="2"/>
          </w:tcPr>
          <w:p>
            <w:pPr>
              <w:spacing w:after="0"/>
              <w:rPr>
                <w:sz w:val="20"/>
                <w:szCs w:val="20"/>
                <w:color w:val="auto"/>
              </w:rPr>
            </w:pPr>
            <w:r>
              <w:rPr>
                <w:rFonts w:ascii="Arial" w:cs="Arial" w:eastAsia="Arial" w:hAnsi="Arial"/>
                <w:sz w:val="18"/>
                <w:szCs w:val="18"/>
                <w:color w:val="auto"/>
              </w:rPr>
              <w:t>February 1, 2022 to February 28, 2022</w:t>
            </w:r>
          </w:p>
        </w:tc>
        <w:tc>
          <w:tcPr>
            <w:tcW w:w="940" w:type="dxa"/>
            <w:vAlign w:val="bottom"/>
          </w:tcPr>
          <w:p>
            <w:pPr>
              <w:jc w:val="right"/>
              <w:spacing w:after="0"/>
              <w:rPr>
                <w:sz w:val="20"/>
                <w:szCs w:val="20"/>
                <w:color w:val="auto"/>
              </w:rPr>
            </w:pPr>
            <w:r>
              <w:rPr>
                <w:rFonts w:ascii="Arial" w:cs="Arial" w:eastAsia="Arial" w:hAnsi="Arial"/>
                <w:sz w:val="18"/>
                <w:szCs w:val="18"/>
                <w:color w:val="auto"/>
              </w:rPr>
              <w:t>55,056</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11.20</w:t>
            </w:r>
          </w:p>
        </w:tc>
        <w:tc>
          <w:tcPr>
            <w:tcW w:w="100" w:type="dxa"/>
            <w:vAlign w:val="bottom"/>
          </w:tcPr>
          <w:p>
            <w:pPr>
              <w:spacing w:after="0"/>
              <w:rPr>
                <w:sz w:val="19"/>
                <w:szCs w:val="19"/>
                <w:color w:val="auto"/>
              </w:rPr>
            </w:pPr>
          </w:p>
        </w:tc>
        <w:tc>
          <w:tcPr>
            <w:tcW w:w="1640" w:type="dxa"/>
            <w:vAlign w:val="bottom"/>
          </w:tcPr>
          <w:p>
            <w:pPr>
              <w:ind w:left="146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19"/>
                <w:szCs w:val="19"/>
                <w:color w:val="auto"/>
              </w:rPr>
            </w:pPr>
          </w:p>
        </w:tc>
        <w:tc>
          <w:tcPr>
            <w:tcW w:w="1860" w:type="dxa"/>
            <w:vAlign w:val="bottom"/>
            <w:gridSpan w:val="2"/>
          </w:tcPr>
          <w:p>
            <w:pPr>
              <w:ind w:left="15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502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March 1, 2022 to March 31, 2022</w:t>
            </w: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63,572</w:t>
            </w:r>
          </w:p>
        </w:tc>
        <w:tc>
          <w:tcPr>
            <w:tcW w:w="1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13.61</w:t>
            </w:r>
          </w:p>
        </w:tc>
        <w:tc>
          <w:tcPr>
            <w:tcW w:w="100" w:type="dxa"/>
            <w:vAlign w:val="bottom"/>
            <w:shd w:val="clear" w:color="auto" w:fill="CFF0FC"/>
          </w:tcPr>
          <w:p>
            <w:pPr>
              <w:spacing w:after="0"/>
              <w:rPr>
                <w:sz w:val="19"/>
                <w:szCs w:val="19"/>
                <w:color w:val="auto"/>
              </w:rPr>
            </w:pPr>
          </w:p>
        </w:tc>
        <w:tc>
          <w:tcPr>
            <w:tcW w:w="1640" w:type="dxa"/>
            <w:vAlign w:val="bottom"/>
            <w:tcBorders>
              <w:bottom w:val="single" w:sz="8" w:color="auto"/>
            </w:tcBorders>
            <w:shd w:val="clear" w:color="auto" w:fill="CFF0FC"/>
          </w:tcPr>
          <w:p>
            <w:pPr>
              <w:ind w:left="1460"/>
              <w:spacing w:after="0"/>
              <w:rPr>
                <w:sz w:val="20"/>
                <w:szCs w:val="20"/>
                <w:color w:val="auto"/>
              </w:rPr>
            </w:pPr>
            <w:r>
              <w:rPr>
                <w:rFonts w:ascii="Arial" w:cs="Arial" w:eastAsia="Arial" w:hAnsi="Arial"/>
                <w:sz w:val="18"/>
                <w:szCs w:val="18"/>
                <w:color w:val="auto"/>
                <w:w w:val="88"/>
              </w:rPr>
              <w:t>—</w:t>
            </w:r>
          </w:p>
        </w:tc>
        <w:tc>
          <w:tcPr>
            <w:tcW w:w="120" w:type="dxa"/>
            <w:vAlign w:val="bottom"/>
            <w:shd w:val="clear" w:color="auto" w:fill="CFF0FC"/>
          </w:tcPr>
          <w:p>
            <w:pPr>
              <w:spacing w:after="0"/>
              <w:rPr>
                <w:sz w:val="19"/>
                <w:szCs w:val="19"/>
                <w:color w:val="auto"/>
              </w:rPr>
            </w:pPr>
          </w:p>
        </w:tc>
        <w:tc>
          <w:tcPr>
            <w:tcW w:w="1860" w:type="dxa"/>
            <w:vAlign w:val="bottom"/>
            <w:gridSpan w:val="2"/>
            <w:shd w:val="clear" w:color="auto" w:fill="CFF0FC"/>
          </w:tcPr>
          <w:p>
            <w:pPr>
              <w:ind w:left="15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5020" w:type="dxa"/>
            <w:vAlign w:val="bottom"/>
            <w:gridSpan w:val="2"/>
          </w:tcPr>
          <w:p>
            <w:pPr>
              <w:spacing w:after="0"/>
              <w:rPr>
                <w:sz w:val="20"/>
                <w:szCs w:val="20"/>
                <w:color w:val="auto"/>
              </w:rPr>
            </w:pPr>
            <w:r>
              <w:rPr>
                <w:rFonts w:ascii="Arial" w:cs="Arial" w:eastAsia="Arial" w:hAnsi="Arial"/>
                <w:sz w:val="18"/>
                <w:szCs w:val="18"/>
                <w:color w:val="auto"/>
              </w:rPr>
              <w:t>Total</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122,651</w:t>
            </w:r>
          </w:p>
        </w:tc>
        <w:tc>
          <w:tcPr>
            <w:tcW w:w="38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12.51</w:t>
            </w:r>
          </w:p>
        </w:tc>
        <w:tc>
          <w:tcPr>
            <w:tcW w:w="100" w:type="dxa"/>
            <w:vAlign w:val="bottom"/>
          </w:tcPr>
          <w:p>
            <w:pPr>
              <w:spacing w:after="0"/>
              <w:rPr>
                <w:sz w:val="19"/>
                <w:szCs w:val="19"/>
                <w:color w:val="auto"/>
              </w:rPr>
            </w:pPr>
          </w:p>
        </w:tc>
        <w:tc>
          <w:tcPr>
            <w:tcW w:w="1640" w:type="dxa"/>
            <w:vAlign w:val="bottom"/>
            <w:tcBorders>
              <w:bottom w:val="single" w:sz="8" w:color="auto"/>
            </w:tcBorders>
          </w:tcPr>
          <w:p>
            <w:pPr>
              <w:ind w:left="146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19"/>
                <w:szCs w:val="19"/>
                <w:color w:val="auto"/>
              </w:rPr>
            </w:pPr>
          </w:p>
        </w:tc>
        <w:tc>
          <w:tcPr>
            <w:tcW w:w="1860" w:type="dxa"/>
            <w:vAlign w:val="bottom"/>
            <w:gridSpan w:val="2"/>
          </w:tcPr>
          <w:p>
            <w:pPr>
              <w:ind w:left="15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48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ind w:right="400" w:firstLine="8"/>
        <w:spacing w:after="0" w:line="297" w:lineRule="auto"/>
        <w:tabs>
          <w:tab w:leader="none" w:pos="166" w:val="left"/>
        </w:tabs>
        <w:numPr>
          <w:ilvl w:val="0"/>
          <w:numId w:val="7"/>
        </w:numPr>
        <w:rPr>
          <w:rFonts w:ascii="Arial" w:cs="Arial" w:eastAsia="Arial" w:hAnsi="Arial"/>
          <w:sz w:val="19"/>
          <w:szCs w:val="19"/>
          <w:color w:val="auto"/>
          <w:vertAlign w:val="superscript"/>
        </w:rPr>
      </w:pPr>
      <w:r>
        <w:rPr>
          <w:rFonts w:ascii="Arial" w:cs="Arial" w:eastAsia="Arial" w:hAnsi="Arial"/>
          <w:sz w:val="16"/>
          <w:szCs w:val="16"/>
          <w:color w:val="auto"/>
        </w:rPr>
        <w:t>The average price paid per share is the weighted average of the fair market prices at which we calculated the number of shares withheld to cover tax withholdings for the employees.</w:t>
      </w: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240" w:type="dxa"/>
            <w:vAlign w:val="bottom"/>
            <w:gridSpan w:val="2"/>
          </w:tcPr>
          <w:p>
            <w:pPr>
              <w:spacing w:after="0"/>
              <w:rPr>
                <w:sz w:val="20"/>
                <w:szCs w:val="20"/>
                <w:color w:val="auto"/>
              </w:rPr>
            </w:pPr>
            <w:r>
              <w:rPr>
                <w:rFonts w:ascii="Arial" w:cs="Arial" w:eastAsia="Arial" w:hAnsi="Arial"/>
                <w:sz w:val="14"/>
                <w:szCs w:val="14"/>
                <w:b w:val="1"/>
                <w:bCs w:val="1"/>
                <w:color w:val="auto"/>
              </w:rPr>
              <w:t>Exhibit</w:t>
            </w:r>
          </w:p>
        </w:tc>
        <w:tc>
          <w:tcPr>
            <w:tcW w:w="10000" w:type="dxa"/>
            <w:vAlign w:val="bottom"/>
            <w:gridSpan w:val="5"/>
            <w:vMerge w:val="restart"/>
          </w:tcPr>
          <w:p>
            <w:pPr>
              <w:ind w:left="464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71"/>
        </w:trPr>
        <w:tc>
          <w:tcPr>
            <w:tcW w:w="1240" w:type="dxa"/>
            <w:vAlign w:val="bottom"/>
            <w:gridSpan w:val="2"/>
          </w:tcPr>
          <w:p>
            <w:pPr>
              <w:spacing w:after="0"/>
              <w:rPr>
                <w:sz w:val="20"/>
                <w:szCs w:val="20"/>
                <w:color w:val="auto"/>
              </w:rPr>
            </w:pPr>
            <w:r>
              <w:rPr>
                <w:rFonts w:ascii="Arial" w:cs="Arial" w:eastAsia="Arial" w:hAnsi="Arial"/>
                <w:sz w:val="14"/>
                <w:szCs w:val="14"/>
                <w:b w:val="1"/>
                <w:bCs w:val="1"/>
                <w:color w:val="auto"/>
              </w:rPr>
              <w:t>Number</w:t>
            </w:r>
          </w:p>
        </w:tc>
        <w:tc>
          <w:tcPr>
            <w:tcW w:w="10000" w:type="dxa"/>
            <w:vAlign w:val="bottom"/>
            <w:gridSpan w:val="5"/>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90"/>
        </w:trPr>
        <w:tc>
          <w:tcPr>
            <w:tcW w:w="10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10.1*</w:t>
            </w:r>
          </w:p>
        </w:tc>
        <w:tc>
          <w:tcPr>
            <w:tcW w:w="220" w:type="dxa"/>
            <w:vAlign w:val="bottom"/>
          </w:tcPr>
          <w:p>
            <w:pPr>
              <w:spacing w:after="0"/>
              <w:rPr>
                <w:sz w:val="24"/>
                <w:szCs w:val="24"/>
                <w:color w:val="auto"/>
              </w:rPr>
            </w:pPr>
          </w:p>
        </w:tc>
        <w:tc>
          <w:tcPr>
            <w:tcW w:w="10000" w:type="dxa"/>
            <w:vAlign w:val="bottom"/>
            <w:tcBorders>
              <w:top w:val="single" w:sz="8" w:color="auto"/>
            </w:tcBorders>
            <w:gridSpan w:val="5"/>
          </w:tcPr>
          <w:p>
            <w:pPr>
              <w:ind w:left="20"/>
              <w:spacing w:after="0"/>
              <w:rPr>
                <w:rFonts w:ascii="Arial" w:cs="Arial" w:eastAsia="Arial" w:hAnsi="Arial"/>
                <w:sz w:val="18"/>
                <w:szCs w:val="18"/>
                <w:color w:val="0000EE"/>
              </w:rPr>
            </w:pPr>
            <w:hyperlink w:anchor="page47">
              <w:r>
                <w:rPr>
                  <w:rFonts w:ascii="Arial" w:cs="Arial" w:eastAsia="Arial" w:hAnsi="Arial"/>
                  <w:sz w:val="18"/>
                  <w:szCs w:val="18"/>
                  <w:color w:val="0000EE"/>
                </w:rPr>
                <w:t>Severance Agreement, dated as of February 24, 2022, by and between Uniti Group Inc. and Michael Friloux</w:t>
              </w:r>
            </w:hyperlink>
          </w:p>
        </w:tc>
        <w:tc>
          <w:tcPr>
            <w:tcW w:w="0" w:type="dxa"/>
            <w:vAlign w:val="bottom"/>
          </w:tcPr>
          <w:p>
            <w:pPr>
              <w:spacing w:after="0"/>
              <w:rPr>
                <w:sz w:val="1"/>
                <w:szCs w:val="1"/>
                <w:color w:val="auto"/>
              </w:rPr>
            </w:pPr>
          </w:p>
        </w:tc>
      </w:tr>
      <w:tr>
        <w:trPr>
          <w:trHeight w:val="20"/>
        </w:trPr>
        <w:tc>
          <w:tcPr>
            <w:tcW w:w="10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0" w:type="dxa"/>
            <w:vAlign w:val="bottom"/>
            <w:shd w:val="clear" w:color="auto" w:fill="0000EE"/>
          </w:tcPr>
          <w:p>
            <w:pPr>
              <w:spacing w:after="0" w:line="20" w:lineRule="exact"/>
              <w:rPr>
                <w:sz w:val="1"/>
                <w:szCs w:val="1"/>
                <w:color w:val="auto"/>
              </w:rPr>
            </w:pPr>
          </w:p>
        </w:tc>
        <w:tc>
          <w:tcPr>
            <w:tcW w:w="2800" w:type="dxa"/>
            <w:vAlign w:val="bottom"/>
            <w:shd w:val="clear" w:color="auto" w:fill="0000EE"/>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020" w:type="dxa"/>
            <w:vAlign w:val="bottom"/>
          </w:tcPr>
          <w:p>
            <w:pPr>
              <w:spacing w:after="0"/>
              <w:rPr>
                <w:sz w:val="20"/>
                <w:szCs w:val="20"/>
                <w:color w:val="auto"/>
              </w:rPr>
            </w:pPr>
            <w:r>
              <w:rPr>
                <w:rFonts w:ascii="Arial" w:cs="Arial" w:eastAsia="Arial" w:hAnsi="Arial"/>
                <w:sz w:val="18"/>
                <w:szCs w:val="18"/>
                <w:color w:val="auto"/>
              </w:rPr>
              <w:t>31.1*</w:t>
            </w:r>
          </w:p>
        </w:tc>
        <w:tc>
          <w:tcPr>
            <w:tcW w:w="220" w:type="dxa"/>
            <w:vAlign w:val="bottom"/>
          </w:tcPr>
          <w:p>
            <w:pPr>
              <w:spacing w:after="0"/>
              <w:rPr>
                <w:sz w:val="24"/>
                <w:szCs w:val="24"/>
                <w:color w:val="auto"/>
              </w:rPr>
            </w:pPr>
          </w:p>
        </w:tc>
        <w:tc>
          <w:tcPr>
            <w:tcW w:w="10000" w:type="dxa"/>
            <w:vAlign w:val="bottom"/>
            <w:gridSpan w:val="5"/>
          </w:tcPr>
          <w:p>
            <w:pPr>
              <w:ind w:left="20"/>
              <w:spacing w:after="0"/>
              <w:rPr>
                <w:rFonts w:ascii="Arial" w:cs="Arial" w:eastAsia="Arial" w:hAnsi="Arial"/>
                <w:sz w:val="18"/>
                <w:szCs w:val="18"/>
                <w:color w:val="0000EE"/>
                <w:w w:val="94"/>
              </w:rPr>
            </w:pPr>
            <w:hyperlink w:anchor="page65">
              <w:r>
                <w:rPr>
                  <w:rFonts w:ascii="Arial" w:cs="Arial" w:eastAsia="Arial" w:hAnsi="Arial"/>
                  <w:sz w:val="18"/>
                  <w:szCs w:val="18"/>
                  <w:color w:val="0000EE"/>
                  <w:w w:val="94"/>
                </w:rPr>
                <w:t>Certification of Principal Executive Officer Pursuant to Rules 13a-14(a) and 15d-14(a) under the Securities Exchange Act of 1934, as</w:t>
              </w:r>
            </w:hyperlink>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000" w:type="dxa"/>
            <w:vAlign w:val="bottom"/>
            <w:tcBorders>
              <w:top w:val="single" w:sz="8" w:color="0000EE"/>
              <w:bottom w:val="single" w:sz="8" w:color="0000EE"/>
            </w:tcBorders>
          </w:tcPr>
          <w:p>
            <w:pPr>
              <w:ind w:left="20"/>
              <w:spacing w:after="0" w:line="196" w:lineRule="exact"/>
              <w:rPr>
                <w:rFonts w:ascii="Arial" w:cs="Arial" w:eastAsia="Arial" w:hAnsi="Arial"/>
                <w:sz w:val="18"/>
                <w:szCs w:val="18"/>
                <w:color w:val="0000EE"/>
                <w:w w:val="90"/>
              </w:rPr>
            </w:pPr>
            <w:hyperlink w:anchor="page65">
              <w:r>
                <w:rPr>
                  <w:rFonts w:ascii="Arial" w:cs="Arial" w:eastAsia="Arial" w:hAnsi="Arial"/>
                  <w:sz w:val="18"/>
                  <w:szCs w:val="18"/>
                  <w:color w:val="0000EE"/>
                  <w:w w:val="90"/>
                </w:rPr>
                <w:t>Adopted Pursuant to Section 302 of the Sarbanes-Oxley Act of 2002.</w:t>
              </w:r>
            </w:hyperlink>
          </w:p>
        </w:tc>
        <w:tc>
          <w:tcPr>
            <w:tcW w:w="4620" w:type="dxa"/>
            <w:vAlign w:val="bottom"/>
            <w:tcBorders>
              <w:top w:val="single" w:sz="8" w:color="0000EE"/>
            </w:tcBorders>
            <w:gridSpan w:val="3"/>
          </w:tcPr>
          <w:p>
            <w:pPr>
              <w:spacing w:after="0"/>
              <w:rPr>
                <w:sz w:val="17"/>
                <w:szCs w:val="17"/>
                <w:color w:val="auto"/>
              </w:rPr>
            </w:pPr>
          </w:p>
        </w:tc>
        <w:tc>
          <w:tcPr>
            <w:tcW w:w="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12"/>
        </w:trPr>
        <w:tc>
          <w:tcPr>
            <w:tcW w:w="1020" w:type="dxa"/>
            <w:vAlign w:val="bottom"/>
          </w:tcPr>
          <w:p>
            <w:pPr>
              <w:spacing w:after="0"/>
              <w:rPr>
                <w:sz w:val="20"/>
                <w:szCs w:val="20"/>
                <w:color w:val="auto"/>
              </w:rPr>
            </w:pPr>
            <w:r>
              <w:rPr>
                <w:rFonts w:ascii="Arial" w:cs="Arial" w:eastAsia="Arial" w:hAnsi="Arial"/>
                <w:sz w:val="18"/>
                <w:szCs w:val="18"/>
                <w:color w:val="auto"/>
              </w:rPr>
              <w:t>31.2*</w:t>
            </w:r>
          </w:p>
        </w:tc>
        <w:tc>
          <w:tcPr>
            <w:tcW w:w="220" w:type="dxa"/>
            <w:vAlign w:val="bottom"/>
          </w:tcPr>
          <w:p>
            <w:pPr>
              <w:spacing w:after="0"/>
              <w:rPr>
                <w:sz w:val="24"/>
                <w:szCs w:val="24"/>
                <w:color w:val="auto"/>
              </w:rPr>
            </w:pPr>
          </w:p>
        </w:tc>
        <w:tc>
          <w:tcPr>
            <w:tcW w:w="9580" w:type="dxa"/>
            <w:vAlign w:val="bottom"/>
            <w:tcBorders>
              <w:bottom w:val="single" w:sz="8" w:color="0000EE"/>
            </w:tcBorders>
            <w:gridSpan w:val="3"/>
          </w:tcPr>
          <w:p>
            <w:pPr>
              <w:ind w:left="20"/>
              <w:spacing w:after="0"/>
              <w:rPr>
                <w:rFonts w:ascii="Arial" w:cs="Arial" w:eastAsia="Arial" w:hAnsi="Arial"/>
                <w:sz w:val="18"/>
                <w:szCs w:val="18"/>
                <w:color w:val="0000EE"/>
                <w:w w:val="90"/>
              </w:rPr>
            </w:pPr>
            <w:hyperlink w:anchor="page66">
              <w:r>
                <w:rPr>
                  <w:rFonts w:ascii="Arial" w:cs="Arial" w:eastAsia="Arial" w:hAnsi="Arial"/>
                  <w:sz w:val="18"/>
                  <w:szCs w:val="18"/>
                  <w:color w:val="0000EE"/>
                  <w:w w:val="90"/>
                </w:rPr>
                <w:t>Certification of Principal Financial Officer Pursuant to Rules 13a-14(a) and 15d-14(a) under the Securities Exchange Act of 1934, as</w:t>
              </w:r>
            </w:hyperlink>
          </w:p>
        </w:tc>
        <w:tc>
          <w:tcPr>
            <w:tcW w:w="4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00" w:type="dxa"/>
            <w:vAlign w:val="bottom"/>
            <w:gridSpan w:val="5"/>
          </w:tcPr>
          <w:p>
            <w:pPr>
              <w:ind w:left="20"/>
              <w:spacing w:after="0" w:line="196" w:lineRule="exact"/>
              <w:rPr>
                <w:rFonts w:ascii="Arial" w:cs="Arial" w:eastAsia="Arial" w:hAnsi="Arial"/>
                <w:sz w:val="18"/>
                <w:szCs w:val="18"/>
                <w:color w:val="0000EE"/>
              </w:rPr>
            </w:pPr>
            <w:hyperlink w:anchor="page66">
              <w:r>
                <w:rPr>
                  <w:rFonts w:ascii="Arial" w:cs="Arial" w:eastAsia="Arial" w:hAnsi="Arial"/>
                  <w:sz w:val="18"/>
                  <w:szCs w:val="18"/>
                  <w:color w:val="0000EE"/>
                </w:rPr>
                <w:t>Adopted Pursuant to Section 302 of the Sarbanes-Oxley Act of 2002.</w:t>
              </w:r>
            </w:hyperlink>
          </w:p>
        </w:tc>
        <w:tc>
          <w:tcPr>
            <w:tcW w:w="0" w:type="dxa"/>
            <w:vAlign w:val="bottom"/>
          </w:tcPr>
          <w:p>
            <w:pPr>
              <w:spacing w:after="0"/>
              <w:rPr>
                <w:sz w:val="1"/>
                <w:szCs w:val="1"/>
                <w:color w:val="auto"/>
              </w:rPr>
            </w:pPr>
          </w:p>
        </w:tc>
      </w:tr>
      <w:tr>
        <w:trPr>
          <w:trHeight w:val="817"/>
        </w:trPr>
        <w:tc>
          <w:tcPr>
            <w:tcW w:w="10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0" w:type="dxa"/>
            <w:vAlign w:val="bottom"/>
            <w:tcBorders>
              <w:top w:val="single" w:sz="8" w:color="0000EE"/>
            </w:tcBorders>
          </w:tcPr>
          <w:p>
            <w:pPr>
              <w:ind w:left="4300"/>
              <w:spacing w:after="0"/>
              <w:rPr>
                <w:sz w:val="20"/>
                <w:szCs w:val="20"/>
                <w:color w:val="auto"/>
              </w:rPr>
            </w:pPr>
            <w:r>
              <w:rPr>
                <w:rFonts w:ascii="Arial" w:cs="Arial" w:eastAsia="Arial" w:hAnsi="Arial"/>
                <w:sz w:val="18"/>
                <w:szCs w:val="18"/>
                <w:color w:val="auto"/>
              </w:rPr>
              <w:t>45</w:t>
            </w:r>
          </w:p>
        </w:tc>
        <w:tc>
          <w:tcPr>
            <w:tcW w:w="28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102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5000" w:type="dxa"/>
            <w:vAlign w:val="bottom"/>
            <w:tcBorders>
              <w:bottom w:val="single" w:sz="8" w:color="9A9A9A"/>
            </w:tcBorders>
          </w:tcPr>
          <w:p>
            <w:pPr>
              <w:spacing w:after="0"/>
              <w:rPr>
                <w:sz w:val="10"/>
                <w:szCs w:val="10"/>
                <w:color w:val="auto"/>
              </w:rPr>
            </w:pPr>
          </w:p>
        </w:tc>
        <w:tc>
          <w:tcPr>
            <w:tcW w:w="2800" w:type="dxa"/>
            <w:vAlign w:val="bottom"/>
            <w:tcBorders>
              <w:bottom w:val="single" w:sz="8" w:color="9A9A9A"/>
            </w:tcBorders>
          </w:tcPr>
          <w:p>
            <w:pPr>
              <w:spacing w:after="0"/>
              <w:rPr>
                <w:sz w:val="10"/>
                <w:szCs w:val="10"/>
                <w:color w:val="auto"/>
              </w:rPr>
            </w:pPr>
          </w:p>
        </w:tc>
        <w:tc>
          <w:tcPr>
            <w:tcW w:w="178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38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45" w:name="page46"/>
    <w:bookmarkEnd w:id="4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240" w:type="dxa"/>
            <w:vAlign w:val="bottom"/>
          </w:tcPr>
          <w:p>
            <w:pPr>
              <w:spacing w:after="0"/>
              <w:rPr>
                <w:sz w:val="20"/>
                <w:szCs w:val="20"/>
                <w:color w:val="auto"/>
              </w:rPr>
            </w:pPr>
            <w:r>
              <w:rPr>
                <w:rFonts w:ascii="Arial" w:cs="Arial" w:eastAsia="Arial" w:hAnsi="Arial"/>
                <w:sz w:val="18"/>
                <w:szCs w:val="18"/>
                <w:color w:val="auto"/>
              </w:rPr>
              <w:t>32.1*</w:t>
            </w:r>
          </w:p>
        </w:tc>
        <w:tc>
          <w:tcPr>
            <w:tcW w:w="9620" w:type="dxa"/>
            <w:vAlign w:val="bottom"/>
            <w:tcBorders>
              <w:bottom w:val="single" w:sz="8" w:color="0000EE"/>
            </w:tcBorders>
            <w:gridSpan w:val="3"/>
          </w:tcPr>
          <w:p>
            <w:pPr>
              <w:ind w:left="20"/>
              <w:spacing w:after="0"/>
              <w:rPr>
                <w:rFonts w:ascii="Arial" w:cs="Arial" w:eastAsia="Arial" w:hAnsi="Arial"/>
                <w:sz w:val="18"/>
                <w:szCs w:val="18"/>
                <w:color w:val="0000EE"/>
                <w:w w:val="90"/>
              </w:rPr>
            </w:pPr>
            <w:hyperlink w:anchor="page67">
              <w:r>
                <w:rPr>
                  <w:rFonts w:ascii="Arial" w:cs="Arial" w:eastAsia="Arial" w:hAnsi="Arial"/>
                  <w:sz w:val="18"/>
                  <w:szCs w:val="18"/>
                  <w:color w:val="0000EE"/>
                  <w:w w:val="90"/>
                </w:rPr>
                <w:t>Certification of Principal Executive Officer Pursuant to 18 U.S.C. Section 1350, as Adopted Pursuant to Section 906 of the Sarbanes-</w:t>
              </w:r>
            </w:hyperlink>
          </w:p>
        </w:tc>
        <w:tc>
          <w:tcPr>
            <w:tcW w:w="240" w:type="dxa"/>
            <w:vAlign w:val="bottom"/>
          </w:tcPr>
          <w:p>
            <w:pPr>
              <w:spacing w:after="0"/>
              <w:rPr>
                <w:sz w:val="17"/>
                <w:szCs w:val="17"/>
                <w:color w:val="auto"/>
              </w:rPr>
            </w:pPr>
          </w:p>
        </w:tc>
      </w:tr>
      <w:tr>
        <w:trPr>
          <w:trHeight w:val="196"/>
        </w:trPr>
        <w:tc>
          <w:tcPr>
            <w:tcW w:w="1240" w:type="dxa"/>
            <w:vAlign w:val="bottom"/>
          </w:tcPr>
          <w:p>
            <w:pPr>
              <w:spacing w:after="0"/>
              <w:rPr>
                <w:sz w:val="17"/>
                <w:szCs w:val="17"/>
                <w:color w:val="auto"/>
              </w:rPr>
            </w:pPr>
          </w:p>
        </w:tc>
        <w:tc>
          <w:tcPr>
            <w:tcW w:w="1400" w:type="dxa"/>
            <w:vAlign w:val="bottom"/>
            <w:tcBorders>
              <w:bottom w:val="single" w:sz="8" w:color="0000EE"/>
            </w:tcBorders>
          </w:tcPr>
          <w:p>
            <w:pPr>
              <w:ind w:left="20"/>
              <w:spacing w:after="0" w:line="196" w:lineRule="exact"/>
              <w:rPr>
                <w:rFonts w:ascii="Arial" w:cs="Arial" w:eastAsia="Arial" w:hAnsi="Arial"/>
                <w:sz w:val="18"/>
                <w:szCs w:val="18"/>
                <w:color w:val="0000EE"/>
                <w:w w:val="92"/>
              </w:rPr>
            </w:pPr>
            <w:hyperlink w:anchor="page67">
              <w:r>
                <w:rPr>
                  <w:rFonts w:ascii="Arial" w:cs="Arial" w:eastAsia="Arial" w:hAnsi="Arial"/>
                  <w:sz w:val="18"/>
                  <w:szCs w:val="18"/>
                  <w:color w:val="0000EE"/>
                  <w:w w:val="92"/>
                </w:rPr>
                <w:t>Oxley Act of 2002.</w:t>
              </w:r>
            </w:hyperlink>
          </w:p>
        </w:tc>
        <w:tc>
          <w:tcPr>
            <w:tcW w:w="8460" w:type="dxa"/>
            <w:vAlign w:val="bottom"/>
            <w:gridSpan w:val="3"/>
          </w:tcPr>
          <w:p>
            <w:pPr>
              <w:spacing w:after="0"/>
              <w:rPr>
                <w:sz w:val="17"/>
                <w:szCs w:val="17"/>
                <w:color w:val="auto"/>
              </w:rPr>
            </w:pPr>
          </w:p>
        </w:tc>
      </w:tr>
      <w:tr>
        <w:trPr>
          <w:trHeight w:val="412"/>
        </w:trPr>
        <w:tc>
          <w:tcPr>
            <w:tcW w:w="1240" w:type="dxa"/>
            <w:vAlign w:val="bottom"/>
          </w:tcPr>
          <w:p>
            <w:pPr>
              <w:spacing w:after="0"/>
              <w:rPr>
                <w:sz w:val="20"/>
                <w:szCs w:val="20"/>
                <w:color w:val="auto"/>
              </w:rPr>
            </w:pPr>
            <w:r>
              <w:rPr>
                <w:rFonts w:ascii="Arial" w:cs="Arial" w:eastAsia="Arial" w:hAnsi="Arial"/>
                <w:sz w:val="18"/>
                <w:szCs w:val="18"/>
                <w:color w:val="auto"/>
              </w:rPr>
              <w:t>32.2*</w:t>
            </w:r>
          </w:p>
        </w:tc>
        <w:tc>
          <w:tcPr>
            <w:tcW w:w="9860" w:type="dxa"/>
            <w:vAlign w:val="bottom"/>
            <w:gridSpan w:val="4"/>
          </w:tcPr>
          <w:p>
            <w:pPr>
              <w:ind w:left="20"/>
              <w:spacing w:after="0"/>
              <w:rPr>
                <w:rFonts w:ascii="Arial" w:cs="Arial" w:eastAsia="Arial" w:hAnsi="Arial"/>
                <w:sz w:val="18"/>
                <w:szCs w:val="18"/>
                <w:color w:val="0000EE"/>
                <w:w w:val="93"/>
              </w:rPr>
            </w:pPr>
            <w:hyperlink w:anchor="page68">
              <w:r>
                <w:rPr>
                  <w:rFonts w:ascii="Arial" w:cs="Arial" w:eastAsia="Arial" w:hAnsi="Arial"/>
                  <w:sz w:val="18"/>
                  <w:szCs w:val="18"/>
                  <w:color w:val="0000EE"/>
                  <w:w w:val="93"/>
                </w:rPr>
                <w:t>Certification of Principal Financial Officer Pursuant to 18 U.S.C. Section 1350, as Adopted Pursuant to Section 906 of the Sarbanes-</w:t>
              </w:r>
            </w:hyperlink>
          </w:p>
        </w:tc>
      </w:tr>
      <w:tr>
        <w:trPr>
          <w:trHeight w:val="196"/>
        </w:trPr>
        <w:tc>
          <w:tcPr>
            <w:tcW w:w="1240" w:type="dxa"/>
            <w:vAlign w:val="bottom"/>
          </w:tcPr>
          <w:p>
            <w:pPr>
              <w:spacing w:after="0"/>
              <w:rPr>
                <w:sz w:val="17"/>
                <w:szCs w:val="17"/>
                <w:color w:val="auto"/>
              </w:rPr>
            </w:pPr>
          </w:p>
        </w:tc>
        <w:tc>
          <w:tcPr>
            <w:tcW w:w="1400" w:type="dxa"/>
            <w:vAlign w:val="bottom"/>
            <w:tcBorders>
              <w:top w:val="single" w:sz="8" w:color="0000EE"/>
              <w:bottom w:val="single" w:sz="8" w:color="0000EE"/>
            </w:tcBorders>
          </w:tcPr>
          <w:p>
            <w:pPr>
              <w:ind w:left="20"/>
              <w:spacing w:after="0" w:line="196" w:lineRule="exact"/>
              <w:rPr>
                <w:rFonts w:ascii="Arial" w:cs="Arial" w:eastAsia="Arial" w:hAnsi="Arial"/>
                <w:sz w:val="18"/>
                <w:szCs w:val="18"/>
                <w:color w:val="0000EE"/>
                <w:w w:val="92"/>
              </w:rPr>
            </w:pPr>
            <w:hyperlink w:anchor="page68">
              <w:r>
                <w:rPr>
                  <w:rFonts w:ascii="Arial" w:cs="Arial" w:eastAsia="Arial" w:hAnsi="Arial"/>
                  <w:sz w:val="18"/>
                  <w:szCs w:val="18"/>
                  <w:color w:val="0000EE"/>
                  <w:w w:val="92"/>
                </w:rPr>
                <w:t>Oxley Act of 2002.</w:t>
              </w:r>
            </w:hyperlink>
          </w:p>
        </w:tc>
        <w:tc>
          <w:tcPr>
            <w:tcW w:w="8160" w:type="dxa"/>
            <w:vAlign w:val="bottom"/>
            <w:tcBorders>
              <w:top w:val="single" w:sz="8" w:color="0000EE"/>
            </w:tcBorders>
          </w:tcPr>
          <w:p>
            <w:pPr>
              <w:spacing w:after="0"/>
              <w:rPr>
                <w:sz w:val="17"/>
                <w:szCs w:val="17"/>
                <w:color w:val="auto"/>
              </w:rPr>
            </w:pPr>
          </w:p>
        </w:tc>
        <w:tc>
          <w:tcPr>
            <w:tcW w:w="300" w:type="dxa"/>
            <w:vAlign w:val="bottom"/>
            <w:gridSpan w:val="2"/>
          </w:tcPr>
          <w:p>
            <w:pPr>
              <w:spacing w:after="0"/>
              <w:rPr>
                <w:sz w:val="17"/>
                <w:szCs w:val="17"/>
                <w:color w:val="auto"/>
              </w:rPr>
            </w:pPr>
          </w:p>
        </w:tc>
      </w:tr>
      <w:tr>
        <w:trPr>
          <w:trHeight w:val="344"/>
        </w:trPr>
        <w:tc>
          <w:tcPr>
            <w:tcW w:w="1240" w:type="dxa"/>
            <w:vAlign w:val="bottom"/>
          </w:tcPr>
          <w:p>
            <w:pPr>
              <w:spacing w:after="0"/>
              <w:rPr>
                <w:sz w:val="20"/>
                <w:szCs w:val="20"/>
                <w:color w:val="auto"/>
              </w:rPr>
            </w:pPr>
            <w:r>
              <w:rPr>
                <w:rFonts w:ascii="Arial" w:cs="Arial" w:eastAsia="Arial" w:hAnsi="Arial"/>
                <w:sz w:val="18"/>
                <w:szCs w:val="18"/>
                <w:color w:val="auto"/>
              </w:rPr>
              <w:t>101.INS</w:t>
            </w:r>
          </w:p>
        </w:tc>
        <w:tc>
          <w:tcPr>
            <w:tcW w:w="9860" w:type="dxa"/>
            <w:vAlign w:val="bottom"/>
            <w:gridSpan w:val="4"/>
          </w:tcPr>
          <w:p>
            <w:pPr>
              <w:ind w:left="20"/>
              <w:spacing w:after="0"/>
              <w:rPr>
                <w:sz w:val="20"/>
                <w:szCs w:val="20"/>
                <w:color w:val="auto"/>
              </w:rPr>
            </w:pPr>
            <w:r>
              <w:rPr>
                <w:rFonts w:ascii="Arial" w:cs="Arial" w:eastAsia="Arial" w:hAnsi="Arial"/>
                <w:sz w:val="18"/>
                <w:szCs w:val="18"/>
                <w:color w:val="auto"/>
                <w:w w:val="90"/>
              </w:rPr>
              <w:t>Inline XBRL Instance Document – the instance document does not appear in the Interactive Data File because XBRL tags are embedded</w:t>
            </w:r>
          </w:p>
        </w:tc>
      </w:tr>
      <w:tr>
        <w:trPr>
          <w:trHeight w:val="230"/>
        </w:trPr>
        <w:tc>
          <w:tcPr>
            <w:tcW w:w="1240" w:type="dxa"/>
            <w:vAlign w:val="bottom"/>
          </w:tcPr>
          <w:p>
            <w:pPr>
              <w:spacing w:after="0"/>
              <w:rPr>
                <w:sz w:val="20"/>
                <w:szCs w:val="20"/>
                <w:color w:val="auto"/>
              </w:rPr>
            </w:pPr>
          </w:p>
        </w:tc>
        <w:tc>
          <w:tcPr>
            <w:tcW w:w="9860" w:type="dxa"/>
            <w:vAlign w:val="bottom"/>
            <w:gridSpan w:val="4"/>
          </w:tcPr>
          <w:p>
            <w:pPr>
              <w:ind w:left="20"/>
              <w:spacing w:after="0"/>
              <w:rPr>
                <w:sz w:val="20"/>
                <w:szCs w:val="20"/>
                <w:color w:val="auto"/>
              </w:rPr>
            </w:pPr>
            <w:r>
              <w:rPr>
                <w:rFonts w:ascii="Arial" w:cs="Arial" w:eastAsia="Arial" w:hAnsi="Arial"/>
                <w:sz w:val="18"/>
                <w:szCs w:val="18"/>
                <w:color w:val="auto"/>
              </w:rPr>
              <w:t>within the Inline XBRL document.</w:t>
            </w:r>
          </w:p>
        </w:tc>
      </w:tr>
      <w:tr>
        <w:trPr>
          <w:trHeight w:val="338"/>
        </w:trPr>
        <w:tc>
          <w:tcPr>
            <w:tcW w:w="1240" w:type="dxa"/>
            <w:vAlign w:val="bottom"/>
          </w:tcPr>
          <w:p>
            <w:pPr>
              <w:spacing w:after="0"/>
              <w:rPr>
                <w:sz w:val="20"/>
                <w:szCs w:val="20"/>
                <w:color w:val="auto"/>
              </w:rPr>
            </w:pPr>
            <w:r>
              <w:rPr>
                <w:rFonts w:ascii="Arial" w:cs="Arial" w:eastAsia="Arial" w:hAnsi="Arial"/>
                <w:sz w:val="18"/>
                <w:szCs w:val="18"/>
                <w:color w:val="auto"/>
              </w:rPr>
              <w:t>101.SCH</w:t>
            </w:r>
          </w:p>
        </w:tc>
        <w:tc>
          <w:tcPr>
            <w:tcW w:w="9860" w:type="dxa"/>
            <w:vAlign w:val="bottom"/>
            <w:gridSpan w:val="4"/>
          </w:tcPr>
          <w:p>
            <w:pPr>
              <w:ind w:left="20"/>
              <w:spacing w:after="0"/>
              <w:rPr>
                <w:sz w:val="20"/>
                <w:szCs w:val="20"/>
                <w:color w:val="auto"/>
              </w:rPr>
            </w:pPr>
            <w:r>
              <w:rPr>
                <w:rFonts w:ascii="Arial" w:cs="Arial" w:eastAsia="Arial" w:hAnsi="Arial"/>
                <w:sz w:val="18"/>
                <w:szCs w:val="18"/>
                <w:color w:val="auto"/>
              </w:rPr>
              <w:t>Inline XBRL Taxonomy Extension Schema Document</w:t>
            </w:r>
          </w:p>
        </w:tc>
      </w:tr>
      <w:tr>
        <w:trPr>
          <w:trHeight w:val="338"/>
        </w:trPr>
        <w:tc>
          <w:tcPr>
            <w:tcW w:w="1240" w:type="dxa"/>
            <w:vAlign w:val="bottom"/>
          </w:tcPr>
          <w:p>
            <w:pPr>
              <w:spacing w:after="0"/>
              <w:rPr>
                <w:sz w:val="20"/>
                <w:szCs w:val="20"/>
                <w:color w:val="auto"/>
              </w:rPr>
            </w:pPr>
            <w:r>
              <w:rPr>
                <w:rFonts w:ascii="Arial" w:cs="Arial" w:eastAsia="Arial" w:hAnsi="Arial"/>
                <w:sz w:val="18"/>
                <w:szCs w:val="18"/>
                <w:color w:val="auto"/>
              </w:rPr>
              <w:t>101.CAL</w:t>
            </w:r>
          </w:p>
        </w:tc>
        <w:tc>
          <w:tcPr>
            <w:tcW w:w="9860" w:type="dxa"/>
            <w:vAlign w:val="bottom"/>
            <w:gridSpan w:val="4"/>
          </w:tcPr>
          <w:p>
            <w:pPr>
              <w:ind w:left="20"/>
              <w:spacing w:after="0"/>
              <w:rPr>
                <w:sz w:val="20"/>
                <w:szCs w:val="20"/>
                <w:color w:val="auto"/>
              </w:rPr>
            </w:pPr>
            <w:r>
              <w:rPr>
                <w:rFonts w:ascii="Arial" w:cs="Arial" w:eastAsia="Arial" w:hAnsi="Arial"/>
                <w:sz w:val="18"/>
                <w:szCs w:val="18"/>
                <w:color w:val="auto"/>
              </w:rPr>
              <w:t>Inline XBRL Taxonomy Extension Calculation Linkbase Document</w:t>
            </w:r>
          </w:p>
        </w:tc>
      </w:tr>
      <w:tr>
        <w:trPr>
          <w:trHeight w:val="338"/>
        </w:trPr>
        <w:tc>
          <w:tcPr>
            <w:tcW w:w="1240" w:type="dxa"/>
            <w:vAlign w:val="bottom"/>
          </w:tcPr>
          <w:p>
            <w:pPr>
              <w:spacing w:after="0"/>
              <w:rPr>
                <w:sz w:val="20"/>
                <w:szCs w:val="20"/>
                <w:color w:val="auto"/>
              </w:rPr>
            </w:pPr>
            <w:r>
              <w:rPr>
                <w:rFonts w:ascii="Arial" w:cs="Arial" w:eastAsia="Arial" w:hAnsi="Arial"/>
                <w:sz w:val="18"/>
                <w:szCs w:val="18"/>
                <w:color w:val="auto"/>
              </w:rPr>
              <w:t>101.DEF</w:t>
            </w:r>
          </w:p>
        </w:tc>
        <w:tc>
          <w:tcPr>
            <w:tcW w:w="9860" w:type="dxa"/>
            <w:vAlign w:val="bottom"/>
            <w:gridSpan w:val="4"/>
          </w:tcPr>
          <w:p>
            <w:pPr>
              <w:ind w:left="20"/>
              <w:spacing w:after="0"/>
              <w:rPr>
                <w:sz w:val="20"/>
                <w:szCs w:val="20"/>
                <w:color w:val="auto"/>
              </w:rPr>
            </w:pPr>
            <w:r>
              <w:rPr>
                <w:rFonts w:ascii="Arial" w:cs="Arial" w:eastAsia="Arial" w:hAnsi="Arial"/>
                <w:sz w:val="18"/>
                <w:szCs w:val="18"/>
                <w:color w:val="auto"/>
              </w:rPr>
              <w:t>Inline XBRL Taxonomy Extension Definition Linkbase Document</w:t>
            </w:r>
          </w:p>
        </w:tc>
      </w:tr>
      <w:tr>
        <w:trPr>
          <w:trHeight w:val="338"/>
        </w:trPr>
        <w:tc>
          <w:tcPr>
            <w:tcW w:w="1240" w:type="dxa"/>
            <w:vAlign w:val="bottom"/>
          </w:tcPr>
          <w:p>
            <w:pPr>
              <w:spacing w:after="0"/>
              <w:rPr>
                <w:sz w:val="20"/>
                <w:szCs w:val="20"/>
                <w:color w:val="auto"/>
              </w:rPr>
            </w:pPr>
            <w:r>
              <w:rPr>
                <w:rFonts w:ascii="Arial" w:cs="Arial" w:eastAsia="Arial" w:hAnsi="Arial"/>
                <w:sz w:val="18"/>
                <w:szCs w:val="18"/>
                <w:color w:val="auto"/>
              </w:rPr>
              <w:t>101.LAB</w:t>
            </w:r>
          </w:p>
        </w:tc>
        <w:tc>
          <w:tcPr>
            <w:tcW w:w="9860" w:type="dxa"/>
            <w:vAlign w:val="bottom"/>
            <w:gridSpan w:val="4"/>
          </w:tcPr>
          <w:p>
            <w:pPr>
              <w:ind w:left="20"/>
              <w:spacing w:after="0"/>
              <w:rPr>
                <w:sz w:val="20"/>
                <w:szCs w:val="20"/>
                <w:color w:val="auto"/>
              </w:rPr>
            </w:pPr>
            <w:r>
              <w:rPr>
                <w:rFonts w:ascii="Arial" w:cs="Arial" w:eastAsia="Arial" w:hAnsi="Arial"/>
                <w:sz w:val="18"/>
                <w:szCs w:val="18"/>
                <w:color w:val="auto"/>
              </w:rPr>
              <w:t>Inline XBRL Taxonomy Extension Label Linkbase Document</w:t>
            </w:r>
          </w:p>
        </w:tc>
      </w:tr>
      <w:tr>
        <w:trPr>
          <w:trHeight w:val="338"/>
        </w:trPr>
        <w:tc>
          <w:tcPr>
            <w:tcW w:w="1240" w:type="dxa"/>
            <w:vAlign w:val="bottom"/>
          </w:tcPr>
          <w:p>
            <w:pPr>
              <w:spacing w:after="0"/>
              <w:rPr>
                <w:sz w:val="20"/>
                <w:szCs w:val="20"/>
                <w:color w:val="auto"/>
              </w:rPr>
            </w:pPr>
            <w:r>
              <w:rPr>
                <w:rFonts w:ascii="Arial" w:cs="Arial" w:eastAsia="Arial" w:hAnsi="Arial"/>
                <w:sz w:val="18"/>
                <w:szCs w:val="18"/>
                <w:color w:val="auto"/>
              </w:rPr>
              <w:t>101.PRE</w:t>
            </w:r>
          </w:p>
        </w:tc>
        <w:tc>
          <w:tcPr>
            <w:tcW w:w="9860" w:type="dxa"/>
            <w:vAlign w:val="bottom"/>
            <w:gridSpan w:val="4"/>
          </w:tcPr>
          <w:p>
            <w:pPr>
              <w:ind w:left="20"/>
              <w:spacing w:after="0"/>
              <w:rPr>
                <w:sz w:val="20"/>
                <w:szCs w:val="20"/>
                <w:color w:val="auto"/>
              </w:rPr>
            </w:pPr>
            <w:r>
              <w:rPr>
                <w:rFonts w:ascii="Arial" w:cs="Arial" w:eastAsia="Arial" w:hAnsi="Arial"/>
                <w:sz w:val="18"/>
                <w:szCs w:val="18"/>
                <w:color w:val="auto"/>
              </w:rPr>
              <w:t>Inline XBRL Taxonomy Extension Presentation Linkbase Document</w:t>
            </w:r>
          </w:p>
        </w:tc>
      </w:tr>
    </w:tbl>
    <w:p>
      <w:pPr>
        <w:spacing w:after="0" w:line="100" w:lineRule="exact"/>
        <w:rPr>
          <w:sz w:val="20"/>
          <w:szCs w:val="20"/>
          <w:color w:val="auto"/>
        </w:rPr>
      </w:pPr>
    </w:p>
    <w:p>
      <w:pPr>
        <w:ind w:left="1260" w:hanging="1252"/>
        <w:spacing w:after="0"/>
        <w:tabs>
          <w:tab w:leader="none" w:pos="1260" w:val="left"/>
        </w:tabs>
        <w:numPr>
          <w:ilvl w:val="0"/>
          <w:numId w:val="8"/>
        </w:numPr>
        <w:rPr>
          <w:rFonts w:ascii="Arial" w:cs="Arial" w:eastAsia="Arial" w:hAnsi="Arial"/>
          <w:sz w:val="18"/>
          <w:szCs w:val="18"/>
          <w:color w:val="auto"/>
        </w:rPr>
      </w:pPr>
      <w:r>
        <w:rPr>
          <w:rFonts w:ascii="Arial" w:cs="Arial" w:eastAsia="Arial" w:hAnsi="Arial"/>
          <w:sz w:val="22"/>
          <w:szCs w:val="22"/>
          <w:color w:val="auto"/>
        </w:rPr>
        <w:t>Cover Page Interactive Data File (embedded within the Inline XBRL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92710</wp:posOffset>
            </wp:positionV>
            <wp:extent cx="951230"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951230" cy="8255"/>
                    </a:xfrm>
                    <a:prstGeom prst="rect">
                      <a:avLst/>
                    </a:prstGeom>
                    <a:noFill/>
                  </pic:spPr>
                </pic:pic>
              </a:graphicData>
            </a:graphic>
          </wp:anchor>
        </w:drawing>
      </w:r>
    </w:p>
    <w:p>
      <w:pPr>
        <w:spacing w:after="0" w:line="166" w:lineRule="exact"/>
        <w:rPr>
          <w:sz w:val="20"/>
          <w:szCs w:val="20"/>
          <w:color w:val="auto"/>
        </w:rPr>
      </w:pPr>
    </w:p>
    <w:p>
      <w:pPr>
        <w:ind w:left="500" w:hanging="492"/>
        <w:spacing w:after="0"/>
        <w:tabs>
          <w:tab w:leader="none" w:pos="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2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21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65" w:lineRule="exact"/>
        <w:rPr>
          <w:sz w:val="20"/>
          <w:szCs w:val="20"/>
          <w:color w:val="auto"/>
        </w:rPr>
      </w:pPr>
    </w:p>
    <w:tbl>
      <w:tblPr>
        <w:tblLayout w:type="fixed"/>
        <w:tblInd w:w="10" w:type="dxa"/>
        <w:tblCellMar>
          <w:top w:w="0" w:type="dxa"/>
          <w:left w:w="0" w:type="dxa"/>
          <w:bottom w:w="0" w:type="dxa"/>
          <w:right w:w="0" w:type="dxa"/>
        </w:tblCellMar>
      </w:tblPr>
      <w:tr>
        <w:trPr>
          <w:trHeight w:val="243"/>
        </w:trPr>
        <w:tc>
          <w:tcPr>
            <w:tcW w:w="980" w:type="dxa"/>
            <w:vAlign w:val="bottom"/>
            <w:tcBorders>
              <w:top w:val="single" w:sz="8" w:color="auto"/>
              <w:left w:val="single" w:sz="8" w:color="auto"/>
              <w:bottom w:val="single" w:sz="8" w:color="auto"/>
              <w:right w:val="single" w:sz="8" w:color="auto"/>
            </w:tcBorders>
          </w:tcPr>
          <w:p>
            <w:pPr>
              <w:spacing w:after="0"/>
              <w:rPr>
                <w:sz w:val="21"/>
                <w:szCs w:val="21"/>
                <w:color w:val="auto"/>
              </w:rPr>
            </w:pPr>
          </w:p>
        </w:tc>
        <w:tc>
          <w:tcPr>
            <w:tcW w:w="4280" w:type="dxa"/>
            <w:vAlign w:val="bottom"/>
            <w:tcBorders>
              <w:top w:val="single" w:sz="8" w:color="auto"/>
              <w:bottom w:val="single" w:sz="8" w:color="auto"/>
              <w:right w:val="single" w:sz="8" w:color="auto"/>
            </w:tcBorders>
          </w:tcPr>
          <w:p>
            <w:pPr>
              <w:spacing w:after="0"/>
              <w:rPr>
                <w:sz w:val="21"/>
                <w:szCs w:val="21"/>
                <w:color w:val="auto"/>
              </w:rPr>
            </w:pPr>
          </w:p>
        </w:tc>
        <w:tc>
          <w:tcPr>
            <w:tcW w:w="80" w:type="dxa"/>
            <w:vAlign w:val="bottom"/>
            <w:tcBorders>
              <w:top w:val="single" w:sz="8" w:color="auto"/>
              <w:bottom w:val="single" w:sz="8" w:color="auto"/>
              <w:right w:val="single" w:sz="8" w:color="auto"/>
            </w:tcBorders>
          </w:tcPr>
          <w:p>
            <w:pPr>
              <w:spacing w:after="0"/>
              <w:rPr>
                <w:sz w:val="21"/>
                <w:szCs w:val="21"/>
                <w:color w:val="auto"/>
              </w:rPr>
            </w:pPr>
          </w:p>
        </w:tc>
        <w:tc>
          <w:tcPr>
            <w:tcW w:w="5860" w:type="dxa"/>
            <w:vAlign w:val="bottom"/>
            <w:tcBorders>
              <w:top w:val="single" w:sz="8" w:color="auto"/>
              <w:bottom w:val="single" w:sz="8" w:color="auto"/>
              <w:right w:val="single" w:sz="8" w:color="auto"/>
            </w:tcBorders>
            <w:gridSpan w:val="2"/>
          </w:tcPr>
          <w:p>
            <w:pPr>
              <w:spacing w:after="0"/>
              <w:rPr>
                <w:sz w:val="20"/>
                <w:szCs w:val="20"/>
                <w:color w:val="auto"/>
              </w:rPr>
            </w:pPr>
            <w:r>
              <w:rPr>
                <w:rFonts w:ascii="Arial" w:cs="Arial" w:eastAsia="Arial" w:hAnsi="Arial"/>
                <w:sz w:val="18"/>
                <w:szCs w:val="18"/>
                <w:b w:val="1"/>
                <w:bCs w:val="1"/>
                <w:color w:val="auto"/>
              </w:rPr>
              <w:t>UNITI GROUP INC.</w:t>
            </w:r>
          </w:p>
        </w:tc>
      </w:tr>
      <w:tr>
        <w:trPr>
          <w:trHeight w:val="223"/>
        </w:trPr>
        <w:tc>
          <w:tcPr>
            <w:tcW w:w="980" w:type="dxa"/>
            <w:vAlign w:val="bottom"/>
            <w:tcBorders>
              <w:left w:val="single" w:sz="8" w:color="auto"/>
              <w:bottom w:val="single" w:sz="8" w:color="auto"/>
              <w:right w:val="single" w:sz="8" w:color="auto"/>
            </w:tcBorders>
          </w:tcPr>
          <w:p>
            <w:pPr>
              <w:spacing w:after="0"/>
              <w:rPr>
                <w:sz w:val="19"/>
                <w:szCs w:val="19"/>
                <w:color w:val="auto"/>
              </w:rPr>
            </w:pPr>
          </w:p>
        </w:tc>
        <w:tc>
          <w:tcPr>
            <w:tcW w:w="428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right w:val="single" w:sz="8" w:color="auto"/>
            </w:tcBorders>
          </w:tcPr>
          <w:p>
            <w:pPr>
              <w:spacing w:after="0"/>
              <w:rPr>
                <w:sz w:val="19"/>
                <w:szCs w:val="19"/>
                <w:color w:val="auto"/>
              </w:rPr>
            </w:pPr>
          </w:p>
        </w:tc>
        <w:tc>
          <w:tcPr>
            <w:tcW w:w="2440" w:type="dxa"/>
            <w:vAlign w:val="bottom"/>
            <w:tcBorders>
              <w:bottom w:val="single" w:sz="8" w:color="auto"/>
              <w:right w:val="single" w:sz="8" w:color="auto"/>
            </w:tcBorders>
          </w:tcPr>
          <w:p>
            <w:pPr>
              <w:spacing w:after="0"/>
              <w:rPr>
                <w:sz w:val="19"/>
                <w:szCs w:val="19"/>
                <w:color w:val="auto"/>
              </w:rPr>
            </w:pPr>
          </w:p>
        </w:tc>
        <w:tc>
          <w:tcPr>
            <w:tcW w:w="3420" w:type="dxa"/>
            <w:vAlign w:val="bottom"/>
            <w:tcBorders>
              <w:bottom w:val="single" w:sz="8" w:color="auto"/>
              <w:right w:val="single" w:sz="8" w:color="auto"/>
            </w:tcBorders>
          </w:tcPr>
          <w:p>
            <w:pPr>
              <w:spacing w:after="0"/>
              <w:rPr>
                <w:sz w:val="19"/>
                <w:szCs w:val="19"/>
                <w:color w:val="auto"/>
              </w:rPr>
            </w:pPr>
          </w:p>
        </w:tc>
      </w:tr>
      <w:tr>
        <w:trPr>
          <w:trHeight w:val="223"/>
        </w:trPr>
        <w:tc>
          <w:tcPr>
            <w:tcW w:w="98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Date:</w:t>
            </w:r>
          </w:p>
        </w:tc>
        <w:tc>
          <w:tcPr>
            <w:tcW w:w="428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May 5, 2022</w:t>
            </w:r>
          </w:p>
        </w:tc>
        <w:tc>
          <w:tcPr>
            <w:tcW w:w="80" w:type="dxa"/>
            <w:vAlign w:val="bottom"/>
            <w:tcBorders>
              <w:bottom w:val="single" w:sz="8" w:color="auto"/>
              <w:right w:val="single" w:sz="8" w:color="auto"/>
            </w:tcBorders>
          </w:tcPr>
          <w:p>
            <w:pPr>
              <w:spacing w:after="0"/>
              <w:rPr>
                <w:sz w:val="19"/>
                <w:szCs w:val="19"/>
                <w:color w:val="auto"/>
              </w:rPr>
            </w:pPr>
          </w:p>
        </w:tc>
        <w:tc>
          <w:tcPr>
            <w:tcW w:w="58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18"/>
                <w:szCs w:val="18"/>
                <w:color w:val="auto"/>
              </w:rPr>
              <w:t>/s/ Paul E. Bullington</w:t>
            </w:r>
          </w:p>
        </w:tc>
      </w:tr>
      <w:tr>
        <w:trPr>
          <w:trHeight w:val="205"/>
        </w:trPr>
        <w:tc>
          <w:tcPr>
            <w:tcW w:w="980" w:type="dxa"/>
            <w:vAlign w:val="bottom"/>
            <w:tcBorders>
              <w:left w:val="single" w:sz="8" w:color="auto"/>
              <w:right w:val="single" w:sz="8" w:color="auto"/>
            </w:tcBorders>
          </w:tcPr>
          <w:p>
            <w:pPr>
              <w:spacing w:after="0"/>
              <w:rPr>
                <w:sz w:val="17"/>
                <w:szCs w:val="17"/>
                <w:color w:val="auto"/>
              </w:rPr>
            </w:pPr>
          </w:p>
        </w:tc>
        <w:tc>
          <w:tcPr>
            <w:tcW w:w="4280" w:type="dxa"/>
            <w:vAlign w:val="bottom"/>
            <w:tcBorders>
              <w:right w:val="single" w:sz="8" w:color="auto"/>
            </w:tcBorders>
          </w:tcPr>
          <w:p>
            <w:pPr>
              <w:spacing w:after="0"/>
              <w:rPr>
                <w:sz w:val="17"/>
                <w:szCs w:val="17"/>
                <w:color w:val="auto"/>
              </w:rPr>
            </w:pPr>
          </w:p>
        </w:tc>
        <w:tc>
          <w:tcPr>
            <w:tcW w:w="80" w:type="dxa"/>
            <w:vAlign w:val="bottom"/>
            <w:tcBorders>
              <w:right w:val="single" w:sz="8" w:color="auto"/>
            </w:tcBorders>
          </w:tcPr>
          <w:p>
            <w:pPr>
              <w:spacing w:after="0"/>
              <w:rPr>
                <w:sz w:val="17"/>
                <w:szCs w:val="17"/>
                <w:color w:val="auto"/>
              </w:rPr>
            </w:pPr>
          </w:p>
        </w:tc>
        <w:tc>
          <w:tcPr>
            <w:tcW w:w="5860" w:type="dxa"/>
            <w:vAlign w:val="bottom"/>
            <w:tcBorders>
              <w:right w:val="single" w:sz="8" w:color="auto"/>
            </w:tcBorders>
            <w:gridSpan w:val="2"/>
          </w:tcPr>
          <w:p>
            <w:pPr>
              <w:spacing w:after="0" w:line="205" w:lineRule="exact"/>
              <w:rPr>
                <w:sz w:val="20"/>
                <w:szCs w:val="20"/>
                <w:color w:val="auto"/>
              </w:rPr>
            </w:pPr>
            <w:r>
              <w:rPr>
                <w:rFonts w:ascii="Arial" w:cs="Arial" w:eastAsia="Arial" w:hAnsi="Arial"/>
                <w:sz w:val="18"/>
                <w:szCs w:val="18"/>
                <w:b w:val="1"/>
                <w:bCs w:val="1"/>
                <w:color w:val="auto"/>
              </w:rPr>
              <w:t>Paul E. Bullington</w:t>
            </w:r>
          </w:p>
        </w:tc>
      </w:tr>
      <w:tr>
        <w:trPr>
          <w:trHeight w:val="216"/>
        </w:trPr>
        <w:tc>
          <w:tcPr>
            <w:tcW w:w="980" w:type="dxa"/>
            <w:vAlign w:val="bottom"/>
            <w:tcBorders>
              <w:left w:val="single" w:sz="8" w:color="auto"/>
              <w:right w:val="single" w:sz="8" w:color="auto"/>
            </w:tcBorders>
          </w:tcPr>
          <w:p>
            <w:pPr>
              <w:spacing w:after="0"/>
              <w:rPr>
                <w:sz w:val="18"/>
                <w:szCs w:val="18"/>
                <w:color w:val="auto"/>
              </w:rPr>
            </w:pPr>
          </w:p>
        </w:tc>
        <w:tc>
          <w:tcPr>
            <w:tcW w:w="4280" w:type="dxa"/>
            <w:vAlign w:val="bottom"/>
            <w:tcBorders>
              <w:right w:val="single" w:sz="8" w:color="auto"/>
            </w:tcBorders>
          </w:tcPr>
          <w:p>
            <w:pPr>
              <w:spacing w:after="0"/>
              <w:rPr>
                <w:sz w:val="18"/>
                <w:szCs w:val="18"/>
                <w:color w:val="auto"/>
              </w:rPr>
            </w:pPr>
          </w:p>
        </w:tc>
        <w:tc>
          <w:tcPr>
            <w:tcW w:w="80" w:type="dxa"/>
            <w:vAlign w:val="bottom"/>
            <w:tcBorders>
              <w:right w:val="single" w:sz="8" w:color="auto"/>
            </w:tcBorders>
          </w:tcPr>
          <w:p>
            <w:pPr>
              <w:spacing w:after="0"/>
              <w:rPr>
                <w:sz w:val="18"/>
                <w:szCs w:val="18"/>
                <w:color w:val="auto"/>
              </w:rPr>
            </w:pPr>
          </w:p>
        </w:tc>
        <w:tc>
          <w:tcPr>
            <w:tcW w:w="586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auto"/>
              </w:rPr>
              <w:t>Senior Vice President – Chief Financial Officer and Treasurer</w:t>
            </w:r>
          </w:p>
        </w:tc>
      </w:tr>
      <w:tr>
        <w:trPr>
          <w:trHeight w:val="234"/>
        </w:trPr>
        <w:tc>
          <w:tcPr>
            <w:tcW w:w="980" w:type="dxa"/>
            <w:vAlign w:val="bottom"/>
            <w:tcBorders>
              <w:left w:val="single" w:sz="8" w:color="auto"/>
              <w:right w:val="single" w:sz="8" w:color="auto"/>
            </w:tcBorders>
          </w:tcPr>
          <w:p>
            <w:pPr>
              <w:spacing w:after="0"/>
              <w:rPr>
                <w:sz w:val="20"/>
                <w:szCs w:val="20"/>
                <w:color w:val="auto"/>
              </w:rPr>
            </w:pPr>
          </w:p>
        </w:tc>
        <w:tc>
          <w:tcPr>
            <w:tcW w:w="4280" w:type="dxa"/>
            <w:vAlign w:val="bottom"/>
            <w:tcBorders>
              <w:right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586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auto"/>
              </w:rPr>
              <w:t>(Principal Financial Officer)</w:t>
            </w:r>
          </w:p>
        </w:tc>
      </w:tr>
      <w:tr>
        <w:trPr>
          <w:trHeight w:val="216"/>
        </w:trPr>
        <w:tc>
          <w:tcPr>
            <w:tcW w:w="980" w:type="dxa"/>
            <w:vAlign w:val="bottom"/>
            <w:tcBorders>
              <w:left w:val="single" w:sz="8" w:color="auto"/>
              <w:bottom w:val="single" w:sz="8" w:color="auto"/>
              <w:right w:val="single" w:sz="8" w:color="auto"/>
            </w:tcBorders>
          </w:tcPr>
          <w:p>
            <w:pPr>
              <w:spacing w:after="0"/>
              <w:rPr>
                <w:sz w:val="18"/>
                <w:szCs w:val="18"/>
                <w:color w:val="auto"/>
              </w:rPr>
            </w:pPr>
          </w:p>
        </w:tc>
        <w:tc>
          <w:tcPr>
            <w:tcW w:w="4280" w:type="dxa"/>
            <w:vAlign w:val="bottom"/>
            <w:tcBorders>
              <w:bottom w:val="single" w:sz="8" w:color="auto"/>
              <w:right w:val="single" w:sz="8" w:color="auto"/>
            </w:tcBorders>
          </w:tcPr>
          <w:p>
            <w:pPr>
              <w:spacing w:after="0"/>
              <w:rPr>
                <w:sz w:val="18"/>
                <w:szCs w:val="18"/>
                <w:color w:val="auto"/>
              </w:rPr>
            </w:pPr>
          </w:p>
        </w:tc>
        <w:tc>
          <w:tcPr>
            <w:tcW w:w="80" w:type="dxa"/>
            <w:vAlign w:val="bottom"/>
            <w:tcBorders>
              <w:bottom w:val="single" w:sz="8" w:color="auto"/>
              <w:right w:val="single" w:sz="8" w:color="auto"/>
            </w:tcBorders>
          </w:tcPr>
          <w:p>
            <w:pPr>
              <w:spacing w:after="0"/>
              <w:rPr>
                <w:sz w:val="18"/>
                <w:szCs w:val="18"/>
                <w:color w:val="auto"/>
              </w:rPr>
            </w:pPr>
          </w:p>
        </w:tc>
        <w:tc>
          <w:tcPr>
            <w:tcW w:w="2440" w:type="dxa"/>
            <w:vAlign w:val="bottom"/>
            <w:tcBorders>
              <w:bottom w:val="single" w:sz="8" w:color="auto"/>
            </w:tcBorders>
          </w:tcPr>
          <w:p>
            <w:pPr>
              <w:spacing w:after="0"/>
              <w:rPr>
                <w:sz w:val="18"/>
                <w:szCs w:val="18"/>
                <w:color w:val="auto"/>
              </w:rPr>
            </w:pPr>
          </w:p>
        </w:tc>
        <w:tc>
          <w:tcPr>
            <w:tcW w:w="3420" w:type="dxa"/>
            <w:vAlign w:val="bottom"/>
            <w:tcBorders>
              <w:bottom w:val="single" w:sz="8" w:color="auto"/>
              <w:right w:val="single" w:sz="8" w:color="auto"/>
            </w:tcBorders>
          </w:tcPr>
          <w:p>
            <w:pPr>
              <w:spacing w:after="0"/>
              <w:rPr>
                <w:sz w:val="18"/>
                <w:szCs w:val="18"/>
                <w:color w:val="auto"/>
              </w:rPr>
            </w:pPr>
          </w:p>
        </w:tc>
      </w:tr>
      <w:tr>
        <w:trPr>
          <w:trHeight w:val="223"/>
        </w:trPr>
        <w:tc>
          <w:tcPr>
            <w:tcW w:w="980" w:type="dxa"/>
            <w:vAlign w:val="bottom"/>
            <w:tcBorders>
              <w:left w:val="single" w:sz="8" w:color="auto"/>
              <w:bottom w:val="single" w:sz="8" w:color="auto"/>
              <w:right w:val="single" w:sz="8" w:color="auto"/>
            </w:tcBorders>
          </w:tcPr>
          <w:p>
            <w:pPr>
              <w:spacing w:after="0"/>
              <w:rPr>
                <w:sz w:val="19"/>
                <w:szCs w:val="19"/>
                <w:color w:val="auto"/>
              </w:rPr>
            </w:pPr>
          </w:p>
        </w:tc>
        <w:tc>
          <w:tcPr>
            <w:tcW w:w="428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right w:val="single" w:sz="8" w:color="auto"/>
            </w:tcBorders>
          </w:tcPr>
          <w:p>
            <w:pPr>
              <w:spacing w:after="0"/>
              <w:rPr>
                <w:sz w:val="19"/>
                <w:szCs w:val="19"/>
                <w:color w:val="auto"/>
              </w:rPr>
            </w:pPr>
          </w:p>
        </w:tc>
        <w:tc>
          <w:tcPr>
            <w:tcW w:w="2440" w:type="dxa"/>
            <w:vAlign w:val="bottom"/>
            <w:tcBorders>
              <w:bottom w:val="single" w:sz="8" w:color="auto"/>
            </w:tcBorders>
          </w:tcPr>
          <w:p>
            <w:pPr>
              <w:spacing w:after="0"/>
              <w:rPr>
                <w:sz w:val="19"/>
                <w:szCs w:val="19"/>
                <w:color w:val="auto"/>
              </w:rPr>
            </w:pPr>
          </w:p>
        </w:tc>
        <w:tc>
          <w:tcPr>
            <w:tcW w:w="3420" w:type="dxa"/>
            <w:vAlign w:val="bottom"/>
            <w:tcBorders>
              <w:bottom w:val="single" w:sz="8" w:color="auto"/>
              <w:right w:val="single" w:sz="8" w:color="auto"/>
            </w:tcBorders>
          </w:tcPr>
          <w:p>
            <w:pPr>
              <w:spacing w:after="0"/>
              <w:rPr>
                <w:sz w:val="19"/>
                <w:szCs w:val="19"/>
                <w:color w:val="auto"/>
              </w:rPr>
            </w:pPr>
          </w:p>
        </w:tc>
      </w:tr>
      <w:tr>
        <w:trPr>
          <w:trHeight w:val="223"/>
        </w:trPr>
        <w:tc>
          <w:tcPr>
            <w:tcW w:w="98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Date:</w:t>
            </w:r>
          </w:p>
        </w:tc>
        <w:tc>
          <w:tcPr>
            <w:tcW w:w="428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May 5, 2022</w:t>
            </w:r>
          </w:p>
        </w:tc>
        <w:tc>
          <w:tcPr>
            <w:tcW w:w="80" w:type="dxa"/>
            <w:vAlign w:val="bottom"/>
            <w:tcBorders>
              <w:bottom w:val="single" w:sz="8" w:color="auto"/>
              <w:right w:val="single" w:sz="8" w:color="auto"/>
            </w:tcBorders>
          </w:tcPr>
          <w:p>
            <w:pPr>
              <w:spacing w:after="0"/>
              <w:rPr>
                <w:sz w:val="19"/>
                <w:szCs w:val="19"/>
                <w:color w:val="auto"/>
              </w:rPr>
            </w:pPr>
          </w:p>
        </w:tc>
        <w:tc>
          <w:tcPr>
            <w:tcW w:w="58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18"/>
                <w:szCs w:val="18"/>
                <w:color w:val="auto"/>
              </w:rPr>
              <w:t>/s/ Travis T. Black</w:t>
            </w:r>
          </w:p>
        </w:tc>
      </w:tr>
      <w:tr>
        <w:trPr>
          <w:trHeight w:val="191"/>
        </w:trPr>
        <w:tc>
          <w:tcPr>
            <w:tcW w:w="980" w:type="dxa"/>
            <w:vAlign w:val="bottom"/>
            <w:tcBorders>
              <w:left w:val="single" w:sz="8" w:color="auto"/>
              <w:right w:val="single" w:sz="8" w:color="auto"/>
            </w:tcBorders>
          </w:tcPr>
          <w:p>
            <w:pPr>
              <w:spacing w:after="0"/>
              <w:rPr>
                <w:sz w:val="16"/>
                <w:szCs w:val="16"/>
                <w:color w:val="auto"/>
              </w:rPr>
            </w:pPr>
          </w:p>
        </w:tc>
        <w:tc>
          <w:tcPr>
            <w:tcW w:w="4280" w:type="dxa"/>
            <w:vAlign w:val="bottom"/>
            <w:tcBorders>
              <w:right w:val="single" w:sz="8" w:color="auto"/>
            </w:tcBorders>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5860" w:type="dxa"/>
            <w:vAlign w:val="bottom"/>
            <w:tcBorders>
              <w:right w:val="single" w:sz="8" w:color="auto"/>
            </w:tcBorders>
            <w:gridSpan w:val="2"/>
          </w:tcPr>
          <w:p>
            <w:pPr>
              <w:spacing w:after="0" w:line="191" w:lineRule="exact"/>
              <w:rPr>
                <w:sz w:val="20"/>
                <w:szCs w:val="20"/>
                <w:color w:val="auto"/>
              </w:rPr>
            </w:pPr>
            <w:r>
              <w:rPr>
                <w:rFonts w:ascii="Arial" w:cs="Arial" w:eastAsia="Arial" w:hAnsi="Arial"/>
                <w:sz w:val="18"/>
                <w:szCs w:val="18"/>
                <w:b w:val="1"/>
                <w:bCs w:val="1"/>
                <w:color w:val="auto"/>
              </w:rPr>
              <w:t>Travis T. Black</w:t>
            </w:r>
          </w:p>
        </w:tc>
      </w:tr>
      <w:tr>
        <w:trPr>
          <w:trHeight w:val="216"/>
        </w:trPr>
        <w:tc>
          <w:tcPr>
            <w:tcW w:w="980" w:type="dxa"/>
            <w:vAlign w:val="bottom"/>
            <w:tcBorders>
              <w:left w:val="single" w:sz="8" w:color="auto"/>
              <w:right w:val="single" w:sz="8" w:color="auto"/>
            </w:tcBorders>
          </w:tcPr>
          <w:p>
            <w:pPr>
              <w:spacing w:after="0"/>
              <w:rPr>
                <w:sz w:val="18"/>
                <w:szCs w:val="18"/>
                <w:color w:val="auto"/>
              </w:rPr>
            </w:pPr>
          </w:p>
        </w:tc>
        <w:tc>
          <w:tcPr>
            <w:tcW w:w="4280" w:type="dxa"/>
            <w:vAlign w:val="bottom"/>
            <w:tcBorders>
              <w:right w:val="single" w:sz="8" w:color="auto"/>
            </w:tcBorders>
          </w:tcPr>
          <w:p>
            <w:pPr>
              <w:spacing w:after="0"/>
              <w:rPr>
                <w:sz w:val="18"/>
                <w:szCs w:val="18"/>
                <w:color w:val="auto"/>
              </w:rPr>
            </w:pPr>
          </w:p>
        </w:tc>
        <w:tc>
          <w:tcPr>
            <w:tcW w:w="80" w:type="dxa"/>
            <w:vAlign w:val="bottom"/>
            <w:tcBorders>
              <w:right w:val="single" w:sz="8" w:color="auto"/>
            </w:tcBorders>
          </w:tcPr>
          <w:p>
            <w:pPr>
              <w:spacing w:after="0"/>
              <w:rPr>
                <w:sz w:val="18"/>
                <w:szCs w:val="18"/>
                <w:color w:val="auto"/>
              </w:rPr>
            </w:pPr>
          </w:p>
        </w:tc>
        <w:tc>
          <w:tcPr>
            <w:tcW w:w="586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auto"/>
              </w:rPr>
              <w:t>Vice President – Chief Accounting Officer</w:t>
            </w:r>
          </w:p>
        </w:tc>
      </w:tr>
      <w:tr>
        <w:trPr>
          <w:trHeight w:val="234"/>
        </w:trPr>
        <w:tc>
          <w:tcPr>
            <w:tcW w:w="980" w:type="dxa"/>
            <w:vAlign w:val="bottom"/>
            <w:tcBorders>
              <w:left w:val="single" w:sz="8" w:color="auto"/>
              <w:bottom w:val="single" w:sz="8" w:color="auto"/>
              <w:right w:val="single" w:sz="8" w:color="auto"/>
            </w:tcBorders>
          </w:tcPr>
          <w:p>
            <w:pPr>
              <w:spacing w:after="0"/>
              <w:rPr>
                <w:sz w:val="20"/>
                <w:szCs w:val="20"/>
                <w:color w:val="auto"/>
              </w:rPr>
            </w:pPr>
          </w:p>
        </w:tc>
        <w:tc>
          <w:tcPr>
            <w:tcW w:w="4280" w:type="dxa"/>
            <w:vAlign w:val="bottom"/>
            <w:tcBorders>
              <w:bottom w:val="single" w:sz="8" w:color="auto"/>
              <w:right w:val="single" w:sz="8" w:color="auto"/>
            </w:tcBorders>
          </w:tcPr>
          <w:p>
            <w:pPr>
              <w:spacing w:after="0"/>
              <w:rPr>
                <w:sz w:val="20"/>
                <w:szCs w:val="20"/>
                <w:color w:val="auto"/>
              </w:rPr>
            </w:pPr>
          </w:p>
        </w:tc>
        <w:tc>
          <w:tcPr>
            <w:tcW w:w="80" w:type="dxa"/>
            <w:vAlign w:val="bottom"/>
            <w:tcBorders>
              <w:bottom w:val="single" w:sz="8" w:color="auto"/>
              <w:right w:val="single" w:sz="8" w:color="auto"/>
            </w:tcBorders>
          </w:tcPr>
          <w:p>
            <w:pPr>
              <w:spacing w:after="0"/>
              <w:rPr>
                <w:sz w:val="20"/>
                <w:szCs w:val="20"/>
                <w:color w:val="auto"/>
              </w:rPr>
            </w:pPr>
          </w:p>
        </w:tc>
        <w:tc>
          <w:tcPr>
            <w:tcW w:w="58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18"/>
                <w:szCs w:val="18"/>
                <w:b w:val="1"/>
                <w:bCs w:val="1"/>
                <w:color w:val="auto"/>
              </w:rPr>
              <w:t>(Principal Accounting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200"/>
          </w:cols>
          <w:pgMar w:left="320" w:top="125" w:right="379" w:bottom="1440" w:gutter="0" w:footer="0" w:header="0"/>
        </w:sectPr>
      </w:pPr>
    </w:p>
    <w:bookmarkStart w:id="46" w:name="page47"/>
    <w:bookmarkEnd w:id="46"/>
    <w:p>
      <w:pPr>
        <w:jc w:val="right"/>
        <w:spacing w:after="0"/>
        <w:rPr>
          <w:sz w:val="20"/>
          <w:szCs w:val="20"/>
          <w:color w:val="auto"/>
        </w:rPr>
      </w:pPr>
      <w:r>
        <w:rPr>
          <w:rFonts w:ascii="Arial" w:cs="Arial" w:eastAsia="Arial" w:hAnsi="Arial"/>
          <w:sz w:val="18"/>
          <w:szCs w:val="18"/>
          <w:b w:val="1"/>
          <w:bCs w:val="1"/>
          <w:color w:val="auto"/>
        </w:rPr>
        <w:t>Exhibit 10.1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SEVERANCE AGREEMENT</w:t>
      </w:r>
    </w:p>
    <w:p>
      <w:pPr>
        <w:spacing w:after="0" w:line="211" w:lineRule="exact"/>
        <w:rPr>
          <w:sz w:val="20"/>
          <w:szCs w:val="20"/>
          <w:color w:val="auto"/>
        </w:rPr>
      </w:pPr>
    </w:p>
    <w:p>
      <w:pPr>
        <w:ind w:firstLine="864"/>
        <w:spacing w:after="0" w:line="277" w:lineRule="auto"/>
        <w:rPr>
          <w:sz w:val="20"/>
          <w:szCs w:val="20"/>
          <w:color w:val="auto"/>
        </w:rPr>
      </w:pPr>
      <w:r>
        <w:rPr>
          <w:rFonts w:ascii="Arial" w:cs="Arial" w:eastAsia="Arial" w:hAnsi="Arial"/>
          <w:sz w:val="18"/>
          <w:szCs w:val="18"/>
          <w:color w:val="auto"/>
        </w:rPr>
        <w:t>This Severance Agreement (the “</w:t>
      </w:r>
      <w:r>
        <w:rPr>
          <w:rFonts w:ascii="Arial" w:cs="Arial" w:eastAsia="Arial" w:hAnsi="Arial"/>
          <w:sz w:val="18"/>
          <w:szCs w:val="18"/>
          <w:u w:val="single" w:color="auto"/>
          <w:color w:val="auto"/>
        </w:rPr>
        <w:t>Agreement</w:t>
      </w:r>
      <w:r>
        <w:rPr>
          <w:rFonts w:ascii="Arial" w:cs="Arial" w:eastAsia="Arial" w:hAnsi="Arial"/>
          <w:sz w:val="18"/>
          <w:szCs w:val="18"/>
          <w:color w:val="auto"/>
        </w:rPr>
        <w:t>”), dated as of February 24, 2022 (the “</w:t>
      </w:r>
      <w:r>
        <w:rPr>
          <w:rFonts w:ascii="Arial" w:cs="Arial" w:eastAsia="Arial" w:hAnsi="Arial"/>
          <w:sz w:val="18"/>
          <w:szCs w:val="18"/>
          <w:u w:val="single" w:color="auto"/>
          <w:color w:val="auto"/>
        </w:rPr>
        <w:t>Effective Date</w:t>
      </w:r>
      <w:r>
        <w:rPr>
          <w:rFonts w:ascii="Arial" w:cs="Arial" w:eastAsia="Arial" w:hAnsi="Arial"/>
          <w:sz w:val="18"/>
          <w:szCs w:val="18"/>
          <w:color w:val="auto"/>
        </w:rPr>
        <w:t>”), is made by and between Uniti Group Inc., a Maryland corporation (the “</w:t>
      </w:r>
      <w:r>
        <w:rPr>
          <w:rFonts w:ascii="Arial" w:cs="Arial" w:eastAsia="Arial" w:hAnsi="Arial"/>
          <w:sz w:val="18"/>
          <w:szCs w:val="18"/>
          <w:u w:val="single" w:color="auto"/>
          <w:color w:val="auto"/>
        </w:rPr>
        <w:t>Corporation</w:t>
      </w:r>
      <w:r>
        <w:rPr>
          <w:rFonts w:ascii="Arial" w:cs="Arial" w:eastAsia="Arial" w:hAnsi="Arial"/>
          <w:sz w:val="18"/>
          <w:szCs w:val="18"/>
          <w:color w:val="auto"/>
        </w:rPr>
        <w:t>”), and Michael Friloux (“</w:t>
      </w:r>
      <w:r>
        <w:rPr>
          <w:rFonts w:ascii="Arial" w:cs="Arial" w:eastAsia="Arial" w:hAnsi="Arial"/>
          <w:sz w:val="18"/>
          <w:szCs w:val="18"/>
          <w:u w:val="single" w:color="auto"/>
          <w:color w:val="auto"/>
        </w:rPr>
        <w:t>Executive</w:t>
      </w:r>
      <w:r>
        <w:rPr>
          <w:rFonts w:ascii="Arial" w:cs="Arial" w:eastAsia="Arial" w:hAnsi="Arial"/>
          <w:sz w:val="18"/>
          <w:szCs w:val="18"/>
          <w:color w:val="auto"/>
        </w:rPr>
        <w:t>”).</w:t>
      </w:r>
    </w:p>
    <w:p>
      <w:pPr>
        <w:spacing w:after="0" w:line="170" w:lineRule="exact"/>
        <w:rPr>
          <w:sz w:val="20"/>
          <w:szCs w:val="20"/>
          <w:color w:val="auto"/>
        </w:rPr>
      </w:pPr>
    </w:p>
    <w:p>
      <w:pPr>
        <w:ind w:firstLine="864"/>
        <w:spacing w:after="0" w:line="277" w:lineRule="auto"/>
        <w:rPr>
          <w:sz w:val="20"/>
          <w:szCs w:val="20"/>
          <w:color w:val="auto"/>
        </w:rPr>
      </w:pPr>
      <w:r>
        <w:rPr>
          <w:rFonts w:ascii="Arial" w:cs="Arial" w:eastAsia="Arial" w:hAnsi="Arial"/>
          <w:sz w:val="18"/>
          <w:szCs w:val="18"/>
          <w:color w:val="auto"/>
        </w:rPr>
        <w:t>WHEREAS, the Board of Directors of the Corporation (the “</w:t>
      </w:r>
      <w:r>
        <w:rPr>
          <w:rFonts w:ascii="Arial" w:cs="Arial" w:eastAsia="Arial" w:hAnsi="Arial"/>
          <w:sz w:val="18"/>
          <w:szCs w:val="18"/>
          <w:u w:val="single" w:color="auto"/>
          <w:color w:val="auto"/>
        </w:rPr>
        <w:t>Board</w:t>
      </w:r>
      <w:r>
        <w:rPr>
          <w:rFonts w:ascii="Arial" w:cs="Arial" w:eastAsia="Arial" w:hAnsi="Arial"/>
          <w:sz w:val="18"/>
          <w:szCs w:val="18"/>
          <w:color w:val="auto"/>
        </w:rPr>
        <w:t>”) has determined that it is in the best interests of the Corporation to retain the services of Executive by the Corporation;</w:t>
      </w:r>
    </w:p>
    <w:p>
      <w:pPr>
        <w:spacing w:after="0" w:line="170" w:lineRule="exact"/>
        <w:rPr>
          <w:sz w:val="20"/>
          <w:szCs w:val="20"/>
          <w:color w:val="auto"/>
        </w:rPr>
      </w:pPr>
    </w:p>
    <w:p>
      <w:pPr>
        <w:ind w:left="880"/>
        <w:spacing w:after="0"/>
        <w:rPr>
          <w:sz w:val="20"/>
          <w:szCs w:val="20"/>
          <w:color w:val="auto"/>
        </w:rPr>
      </w:pPr>
      <w:r>
        <w:rPr>
          <w:rFonts w:ascii="Arial" w:cs="Arial" w:eastAsia="Arial" w:hAnsi="Arial"/>
          <w:sz w:val="18"/>
          <w:szCs w:val="18"/>
          <w:color w:val="auto"/>
        </w:rPr>
        <w:t>WHEREAS, Executive desires to be employed by the Corporation; and</w:t>
      </w:r>
    </w:p>
    <w:p>
      <w:pPr>
        <w:spacing w:after="0" w:line="225" w:lineRule="exact"/>
        <w:rPr>
          <w:sz w:val="20"/>
          <w:szCs w:val="20"/>
          <w:color w:val="auto"/>
        </w:rPr>
      </w:pPr>
    </w:p>
    <w:p>
      <w:pPr>
        <w:ind w:firstLine="864"/>
        <w:spacing w:after="0" w:line="277" w:lineRule="auto"/>
        <w:rPr>
          <w:sz w:val="20"/>
          <w:szCs w:val="20"/>
          <w:color w:val="auto"/>
        </w:rPr>
      </w:pPr>
      <w:r>
        <w:rPr>
          <w:rFonts w:ascii="Arial" w:cs="Arial" w:eastAsia="Arial" w:hAnsi="Arial"/>
          <w:sz w:val="18"/>
          <w:szCs w:val="18"/>
          <w:color w:val="auto"/>
        </w:rPr>
        <w:t>WHEREAS, the Corporation and Executive desire to enter into this Agreement to set forth their understanding as to their respective rights and obligations in the event of a termination of Executive’s employment.</w:t>
      </w:r>
    </w:p>
    <w:p>
      <w:pPr>
        <w:spacing w:after="0" w:line="170" w:lineRule="exact"/>
        <w:rPr>
          <w:sz w:val="20"/>
          <w:szCs w:val="20"/>
          <w:color w:val="auto"/>
        </w:rPr>
      </w:pPr>
    </w:p>
    <w:p>
      <w:pPr>
        <w:ind w:left="880"/>
        <w:spacing w:after="0"/>
        <w:rPr>
          <w:sz w:val="20"/>
          <w:szCs w:val="20"/>
          <w:color w:val="auto"/>
        </w:rPr>
      </w:pPr>
      <w:r>
        <w:rPr>
          <w:rFonts w:ascii="Arial" w:cs="Arial" w:eastAsia="Arial" w:hAnsi="Arial"/>
          <w:sz w:val="16"/>
          <w:szCs w:val="16"/>
          <w:color w:val="auto"/>
        </w:rPr>
        <w:t>NOW THEREFORE, in consideration of the premises and the mutual covenants herein contained, the Corporation and Executive hereby agree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as follows:</w:t>
      </w:r>
    </w:p>
    <w:p>
      <w:pPr>
        <w:spacing w:after="0" w:line="211" w:lineRule="exact"/>
        <w:rPr>
          <w:sz w:val="20"/>
          <w:szCs w:val="20"/>
          <w:color w:val="auto"/>
        </w:rPr>
      </w:pPr>
    </w:p>
    <w:p>
      <w:pPr>
        <w:ind w:left="80"/>
        <w:spacing w:after="0"/>
        <w:tabs>
          <w:tab w:leader="none" w:pos="1640" w:val="left"/>
        </w:tabs>
        <w:rPr>
          <w:sz w:val="20"/>
          <w:szCs w:val="20"/>
          <w:color w:val="auto"/>
        </w:rPr>
      </w:pPr>
      <w:r>
        <w:rPr>
          <w:rFonts w:ascii="Arial" w:cs="Arial" w:eastAsia="Arial" w:hAnsi="Arial"/>
          <w:sz w:val="18"/>
          <w:szCs w:val="18"/>
          <w:color w:val="auto"/>
        </w:rPr>
        <w:t>1.</w:t>
      </w:r>
      <w:r>
        <w:rPr>
          <w:sz w:val="20"/>
          <w:szCs w:val="20"/>
          <w:color w:val="auto"/>
        </w:rPr>
        <w:tab/>
      </w:r>
      <w:r>
        <w:rPr>
          <w:rFonts w:ascii="Arial" w:cs="Arial" w:eastAsia="Arial" w:hAnsi="Arial"/>
          <w:sz w:val="18"/>
          <w:szCs w:val="18"/>
          <w:u w:val="single" w:color="auto"/>
          <w:color w:val="auto"/>
        </w:rPr>
        <w:t>Defined Terms</w:t>
      </w:r>
      <w:r>
        <w:rPr>
          <w:rFonts w:ascii="Arial" w:cs="Arial" w:eastAsia="Arial" w:hAnsi="Arial"/>
          <w:sz w:val="18"/>
          <w:szCs w:val="18"/>
          <w:color w:val="auto"/>
        </w:rPr>
        <w:t>. For purposes of this Agreement, the following terms have the meanings indicated below:</w:t>
      </w:r>
    </w:p>
    <w:p>
      <w:pPr>
        <w:spacing w:after="0" w:line="225" w:lineRule="exact"/>
        <w:rPr>
          <w:sz w:val="20"/>
          <w:szCs w:val="20"/>
          <w:color w:val="auto"/>
        </w:rPr>
      </w:pPr>
    </w:p>
    <w:p>
      <w:pPr>
        <w:jc w:val="both"/>
        <w:ind w:left="860" w:firstLine="798"/>
        <w:spacing w:after="0" w:line="277" w:lineRule="auto"/>
        <w:rPr>
          <w:sz w:val="20"/>
          <w:szCs w:val="20"/>
          <w:color w:val="auto"/>
        </w:rPr>
      </w:pPr>
      <w:r>
        <w:rPr>
          <w:rFonts w:ascii="Arial" w:cs="Arial" w:eastAsia="Arial" w:hAnsi="Arial"/>
          <w:sz w:val="18"/>
          <w:szCs w:val="18"/>
          <w:color w:val="auto"/>
        </w:rPr>
        <w:t>(A)“</w:t>
      </w:r>
      <w:r>
        <w:rPr>
          <w:rFonts w:ascii="Arial" w:cs="Arial" w:eastAsia="Arial" w:hAnsi="Arial"/>
          <w:sz w:val="18"/>
          <w:szCs w:val="18"/>
          <w:u w:val="single" w:color="auto"/>
          <w:color w:val="auto"/>
        </w:rPr>
        <w:t>Affiliate</w:t>
      </w:r>
      <w:r>
        <w:rPr>
          <w:rFonts w:ascii="Arial" w:cs="Arial" w:eastAsia="Arial" w:hAnsi="Arial"/>
          <w:sz w:val="18"/>
          <w:szCs w:val="18"/>
          <w:color w:val="auto"/>
        </w:rPr>
        <w:t>” means any business entity that is a Subsidiary of the Corporation and any limited liability company, partnership, corporation, joint venture, or any other entity in which the Corporation or any such Subsidiary owns an equity interest.</w:t>
      </w:r>
    </w:p>
    <w:p>
      <w:pPr>
        <w:spacing w:after="0" w:line="170" w:lineRule="exact"/>
        <w:rPr>
          <w:sz w:val="20"/>
          <w:szCs w:val="20"/>
          <w:color w:val="auto"/>
        </w:rPr>
      </w:pPr>
    </w:p>
    <w:p>
      <w:pPr>
        <w:ind w:left="1660"/>
        <w:spacing w:after="0"/>
        <w:rPr>
          <w:sz w:val="20"/>
          <w:szCs w:val="20"/>
          <w:color w:val="auto"/>
        </w:rPr>
      </w:pPr>
      <w:r>
        <w:rPr>
          <w:rFonts w:ascii="Arial" w:cs="Arial" w:eastAsia="Arial" w:hAnsi="Arial"/>
          <w:sz w:val="18"/>
          <w:szCs w:val="18"/>
          <w:color w:val="auto"/>
        </w:rPr>
        <w:t>(B)“</w:t>
      </w:r>
      <w:r>
        <w:rPr>
          <w:rFonts w:ascii="Arial" w:cs="Arial" w:eastAsia="Arial" w:hAnsi="Arial"/>
          <w:sz w:val="18"/>
          <w:szCs w:val="18"/>
          <w:u w:val="single" w:color="auto"/>
          <w:color w:val="auto"/>
        </w:rPr>
        <w:t>Annual Incentive Plan</w:t>
      </w:r>
      <w:r>
        <w:rPr>
          <w:rFonts w:ascii="Arial" w:cs="Arial" w:eastAsia="Arial" w:hAnsi="Arial"/>
          <w:sz w:val="18"/>
          <w:szCs w:val="18"/>
          <w:color w:val="auto"/>
        </w:rPr>
        <w:t>” means any short-term cash incentive plan of Uniti Group Inc.</w:t>
      </w:r>
    </w:p>
    <w:p>
      <w:pPr>
        <w:spacing w:after="0" w:line="225" w:lineRule="exact"/>
        <w:rPr>
          <w:sz w:val="20"/>
          <w:szCs w:val="20"/>
          <w:color w:val="auto"/>
        </w:rPr>
      </w:pPr>
    </w:p>
    <w:p>
      <w:pPr>
        <w:jc w:val="both"/>
        <w:ind w:left="860" w:firstLine="798"/>
        <w:spacing w:after="0" w:line="254" w:lineRule="auto"/>
        <w:rPr>
          <w:sz w:val="20"/>
          <w:szCs w:val="20"/>
          <w:color w:val="auto"/>
        </w:rPr>
      </w:pPr>
      <w:r>
        <w:rPr>
          <w:rFonts w:ascii="Arial" w:cs="Arial" w:eastAsia="Arial" w:hAnsi="Arial"/>
          <w:sz w:val="18"/>
          <w:szCs w:val="18"/>
          <w:color w:val="auto"/>
        </w:rPr>
        <w:t>(C)“</w:t>
      </w:r>
      <w:r>
        <w:rPr>
          <w:rFonts w:ascii="Arial" w:cs="Arial" w:eastAsia="Arial" w:hAnsi="Arial"/>
          <w:sz w:val="18"/>
          <w:szCs w:val="18"/>
          <w:u w:val="single" w:color="auto"/>
          <w:color w:val="auto"/>
        </w:rPr>
        <w:t>Annual Incentive Target</w:t>
      </w:r>
      <w:r>
        <w:rPr>
          <w:rFonts w:ascii="Arial" w:cs="Arial" w:eastAsia="Arial" w:hAnsi="Arial"/>
          <w:sz w:val="18"/>
          <w:szCs w:val="18"/>
          <w:color w:val="auto"/>
        </w:rPr>
        <w:t>” means, with respect to any measuring period, the amount of cash compensation that would be payable to Executive under the Annual Incentive Plan for such measuring period, computed assuming that the level of performance with respect to a performance goal identified in accordance with the terms of the Annual Incentive Plan as the “target” level of performance has been achieved. Where no level of performance has been specifically identified as the “target” level, the “target” level shall be (i) the only level if one level is identified and (ii) the midpoint between the lowest level and the highest level if two or more levels are identified. Where the amount of compensation depends on the achievement of multiple performance goals, the achievement of each target level of performance with respect to each goal shall be assumed.</w:t>
      </w:r>
    </w:p>
    <w:p>
      <w:pPr>
        <w:spacing w:after="0" w:line="195" w:lineRule="exact"/>
        <w:rPr>
          <w:sz w:val="20"/>
          <w:szCs w:val="20"/>
          <w:color w:val="auto"/>
        </w:rPr>
      </w:pPr>
    </w:p>
    <w:p>
      <w:pPr>
        <w:jc w:val="both"/>
        <w:ind w:left="860" w:firstLine="798"/>
        <w:spacing w:after="0" w:line="269" w:lineRule="auto"/>
        <w:rPr>
          <w:sz w:val="20"/>
          <w:szCs w:val="20"/>
          <w:color w:val="auto"/>
        </w:rPr>
      </w:pPr>
      <w:r>
        <w:rPr>
          <w:rFonts w:ascii="Arial" w:cs="Arial" w:eastAsia="Arial" w:hAnsi="Arial"/>
          <w:sz w:val="17"/>
          <w:szCs w:val="17"/>
          <w:color w:val="auto"/>
        </w:rPr>
        <w:t>(D)“</w:t>
      </w:r>
      <w:r>
        <w:rPr>
          <w:rFonts w:ascii="Arial" w:cs="Arial" w:eastAsia="Arial" w:hAnsi="Arial"/>
          <w:sz w:val="17"/>
          <w:szCs w:val="17"/>
          <w:u w:val="single" w:color="auto"/>
          <w:color w:val="auto"/>
        </w:rPr>
        <w:t>Cause</w:t>
      </w:r>
      <w:r>
        <w:rPr>
          <w:rFonts w:ascii="Arial" w:cs="Arial" w:eastAsia="Arial" w:hAnsi="Arial"/>
          <w:sz w:val="17"/>
          <w:szCs w:val="17"/>
          <w:color w:val="auto"/>
        </w:rPr>
        <w:t>” means the occurrence of any of the following: (i) Executive’s failure to make a good faith effort to substantially perform his or her duties (other than any such failure due to Executive’s Disability) or Executive’s insubordination with respect to a specific lawful directive of his/her direct report (if Executive reports directly to an officer) or the Board (if Executive reports directly to the Board) to which Executive reports directly or indirectly; (ii) Executive’s dishonesty, gross negligence in the performance of his or her duties hereunder or engaging in willful misconduct, which in the case of any such gross negligence, has caused or is reasonably expected to result in direct or indirect material injury to the Corporation or any Affiliate; (iii) breach by Executive of any material provision of any written agreement, including, without limitation, this Agreement, with the Corporation or any Affiliate or material violation of any Corporation policy applicable to Executive; or (iv) Executive’s commission of a crime that constitutes a felony or other crime of moral turpitude or fraud. If, subsequent to Executive’s termination of employment hereunder for other than Cause, the Corporation in good faith determines that Executive’s employment could have been terminated for Cause hereunder, Executive’s employment shall, at the election of the Corporation, be deemed to have been terminated for Cause retroactively to the date the events giving rise to Cause occurred.</w:t>
      </w:r>
    </w:p>
    <w:p>
      <w:pPr>
        <w:spacing w:after="0" w:line="182" w:lineRule="exact"/>
        <w:rPr>
          <w:sz w:val="20"/>
          <w:szCs w:val="20"/>
          <w:color w:val="auto"/>
        </w:rPr>
      </w:pPr>
    </w:p>
    <w:p>
      <w:pPr>
        <w:ind w:left="1660"/>
        <w:spacing w:after="0"/>
        <w:rPr>
          <w:sz w:val="20"/>
          <w:szCs w:val="20"/>
          <w:color w:val="auto"/>
        </w:rPr>
      </w:pPr>
      <w:r>
        <w:rPr>
          <w:rFonts w:ascii="Arial" w:cs="Arial" w:eastAsia="Arial" w:hAnsi="Arial"/>
          <w:sz w:val="17"/>
          <w:szCs w:val="17"/>
          <w:color w:val="auto"/>
        </w:rPr>
        <w:t>(E)A “</w:t>
      </w:r>
      <w:r>
        <w:rPr>
          <w:rFonts w:ascii="Arial" w:cs="Arial" w:eastAsia="Arial" w:hAnsi="Arial"/>
          <w:sz w:val="17"/>
          <w:szCs w:val="17"/>
          <w:u w:val="single" w:color="auto"/>
          <w:color w:val="auto"/>
        </w:rPr>
        <w:t>Change in Control</w:t>
      </w:r>
      <w:r>
        <w:rPr>
          <w:rFonts w:ascii="Arial" w:cs="Arial" w:eastAsia="Arial" w:hAnsi="Arial"/>
          <w:sz w:val="17"/>
          <w:szCs w:val="17"/>
          <w:color w:val="auto"/>
        </w:rPr>
        <w:t>” means, at any time subsequent to the date of this Agreement, the occurrence of any of the following</w:t>
      </w:r>
    </w:p>
    <w:p>
      <w:pPr>
        <w:spacing w:after="0" w:line="35" w:lineRule="exact"/>
        <w:rPr>
          <w:sz w:val="20"/>
          <w:szCs w:val="20"/>
          <w:color w:val="auto"/>
        </w:rPr>
      </w:pPr>
    </w:p>
    <w:p>
      <w:pPr>
        <w:ind w:left="860"/>
        <w:spacing w:after="0"/>
        <w:rPr>
          <w:sz w:val="20"/>
          <w:szCs w:val="20"/>
          <w:color w:val="auto"/>
        </w:rPr>
      </w:pPr>
      <w:r>
        <w:rPr>
          <w:rFonts w:ascii="Arial" w:cs="Arial" w:eastAsia="Arial" w:hAnsi="Arial"/>
          <w:sz w:val="18"/>
          <w:szCs w:val="18"/>
          <w:color w:val="auto"/>
        </w:rPr>
        <w:t>events:</w:t>
      </w:r>
    </w:p>
    <w:p>
      <w:pPr>
        <w:spacing w:after="0" w:line="211" w:lineRule="exact"/>
        <w:rPr>
          <w:sz w:val="20"/>
          <w:szCs w:val="20"/>
          <w:color w:val="auto"/>
        </w:rPr>
      </w:pPr>
    </w:p>
    <w:p>
      <w:pPr>
        <w:jc w:val="both"/>
        <w:ind w:left="860" w:firstLine="798"/>
        <w:spacing w:after="0" w:line="263" w:lineRule="auto"/>
        <w:rPr>
          <w:sz w:val="20"/>
          <w:szCs w:val="20"/>
          <w:color w:val="auto"/>
        </w:rPr>
      </w:pPr>
      <w:r>
        <w:rPr>
          <w:rFonts w:ascii="Arial" w:cs="Arial" w:eastAsia="Arial" w:hAnsi="Arial"/>
          <w:sz w:val="18"/>
          <w:szCs w:val="18"/>
          <w:color w:val="auto"/>
        </w:rPr>
        <w:t>(i)any sale, lease, exchange or other transfer (in one transaction or a series of related transactions) of all or substantially all of the assets of the Corporation to any Person or group of related Persons for purposes of Section 13(d) of the Exchange Act (a “</w:t>
      </w:r>
      <w:r>
        <w:rPr>
          <w:rFonts w:ascii="Arial" w:cs="Arial" w:eastAsia="Arial" w:hAnsi="Arial"/>
          <w:sz w:val="18"/>
          <w:szCs w:val="18"/>
          <w:u w:val="single" w:color="auto"/>
          <w:color w:val="auto"/>
        </w:rPr>
        <w:t>Group</w:t>
      </w:r>
      <w:r>
        <w:rPr>
          <w:rFonts w:ascii="Arial" w:cs="Arial" w:eastAsia="Arial" w:hAnsi="Arial"/>
          <w:sz w:val="18"/>
          <w:szCs w:val="18"/>
          <w:color w:val="auto"/>
        </w:rPr>
        <w:t>”), together with any affiliates thereof;</w:t>
      </w:r>
    </w:p>
    <w:p>
      <w:pPr>
        <w:spacing w:after="0" w:line="343" w:lineRule="exact"/>
        <w:rPr>
          <w:sz w:val="20"/>
          <w:szCs w:val="20"/>
          <w:color w:val="auto"/>
        </w:rPr>
      </w:pPr>
    </w:p>
    <w:p>
      <w:pPr>
        <w:ind w:left="880"/>
        <w:spacing w:after="0"/>
        <w:rPr>
          <w:sz w:val="20"/>
          <w:szCs w:val="20"/>
          <w:color w:val="auto"/>
        </w:rPr>
      </w:pPr>
      <w:r>
        <w:rPr>
          <w:rFonts w:ascii="Arial" w:cs="Arial" w:eastAsia="Arial" w:hAnsi="Arial"/>
          <w:sz w:val="22"/>
          <w:szCs w:val="22"/>
          <w:color w:val="auto"/>
        </w:rPr>
        <w:t>1</w:t>
      </w:r>
    </w:p>
    <w:p>
      <w:pPr>
        <w:spacing w:after="0"/>
        <w:rPr>
          <w:sz w:val="20"/>
          <w:szCs w:val="20"/>
          <w:color w:val="auto"/>
        </w:rPr>
      </w:pPr>
      <w:r>
        <w:rPr>
          <w:rFonts w:ascii="Arial" w:cs="Arial" w:eastAsia="Arial" w:hAnsi="Arial"/>
          <w:sz w:val="14"/>
          <w:szCs w:val="14"/>
          <w:color w:val="auto"/>
        </w:rPr>
        <w:t>4871-5083-7000.3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60960</wp:posOffset>
            </wp:positionV>
            <wp:extent cx="7174865" cy="425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351" w:right="339" w:bottom="1440" w:gutter="0" w:footer="0" w:header="0"/>
        </w:sectPr>
      </w:pPr>
    </w:p>
    <w:bookmarkStart w:id="47" w:name="page48"/>
    <w:bookmarkEnd w:id="47"/>
    <w:p>
      <w:pPr>
        <w:jc w:val="both"/>
        <w:ind w:left="860" w:right="20" w:firstLine="798"/>
        <w:spacing w:after="0" w:line="277" w:lineRule="auto"/>
        <w:rPr>
          <w:sz w:val="20"/>
          <w:szCs w:val="20"/>
          <w:color w:val="auto"/>
        </w:rPr>
      </w:pPr>
      <w:r>
        <w:rPr>
          <w:rFonts w:ascii="Arial" w:cs="Arial" w:eastAsia="Arial" w:hAnsi="Arial"/>
          <w:sz w:val="18"/>
          <w:szCs w:val="18"/>
          <w:color w:val="auto"/>
        </w:rPr>
        <w:t>(ii)the commencement of the liquidation or dissolution of the Corporation that occurs following the approval by the holders of capital stock of the Corporation of any plan or proposal for such liquidation or dissolution of the Corporation;</w:t>
      </w:r>
    </w:p>
    <w:p>
      <w:pPr>
        <w:spacing w:after="0" w:line="170" w:lineRule="exact"/>
        <w:rPr>
          <w:sz w:val="20"/>
          <w:szCs w:val="20"/>
          <w:color w:val="auto"/>
        </w:rPr>
      </w:pPr>
    </w:p>
    <w:p>
      <w:pPr>
        <w:jc w:val="both"/>
        <w:ind w:left="860" w:firstLine="798"/>
        <w:spacing w:after="0" w:line="259" w:lineRule="auto"/>
        <w:rPr>
          <w:sz w:val="20"/>
          <w:szCs w:val="20"/>
          <w:color w:val="auto"/>
        </w:rPr>
      </w:pPr>
      <w:r>
        <w:rPr>
          <w:rFonts w:ascii="Arial" w:cs="Arial" w:eastAsia="Arial" w:hAnsi="Arial"/>
          <w:sz w:val="18"/>
          <w:szCs w:val="18"/>
          <w:color w:val="auto"/>
        </w:rPr>
        <w:t>(iii)any Person or Group becomes the beneficial owner (within the meaning of Section 13(d) of the Exchange Act), directly or indirectly, of shares representing more than 50% of the aggregate voting power of the issued and outstanding stock entitled to vote in the election of directors, managers or trustees of the Corporation and such Person or Group actually has the power to vote such shares in any such election;</w:t>
      </w:r>
    </w:p>
    <w:p>
      <w:pPr>
        <w:spacing w:after="0" w:line="187" w:lineRule="exact"/>
        <w:rPr>
          <w:sz w:val="20"/>
          <w:szCs w:val="20"/>
          <w:color w:val="auto"/>
        </w:rPr>
      </w:pPr>
    </w:p>
    <w:p>
      <w:pPr>
        <w:jc w:val="both"/>
        <w:ind w:left="860" w:firstLine="798"/>
        <w:spacing w:after="0" w:line="263" w:lineRule="auto"/>
        <w:rPr>
          <w:sz w:val="20"/>
          <w:szCs w:val="20"/>
          <w:color w:val="auto"/>
        </w:rPr>
      </w:pPr>
      <w:r>
        <w:rPr>
          <w:rFonts w:ascii="Arial" w:cs="Arial" w:eastAsia="Arial" w:hAnsi="Arial"/>
          <w:sz w:val="18"/>
          <w:szCs w:val="18"/>
          <w:color w:val="auto"/>
        </w:rPr>
        <w:t>(iv)the replacement of a majority of the Board over a two-year period from the directors who constituted the Board at the beginning of such period, and such replacement shall not have been approved by a vote of at least a majority of the Board then still in office who either were members of such Board at the beginning of such period; or</w:t>
      </w:r>
    </w:p>
    <w:p>
      <w:pPr>
        <w:spacing w:after="0" w:line="184" w:lineRule="exact"/>
        <w:rPr>
          <w:sz w:val="20"/>
          <w:szCs w:val="20"/>
          <w:color w:val="auto"/>
        </w:rPr>
      </w:pPr>
    </w:p>
    <w:p>
      <w:pPr>
        <w:jc w:val="both"/>
        <w:ind w:left="860" w:right="20" w:firstLine="798"/>
        <w:spacing w:after="0" w:line="263" w:lineRule="auto"/>
        <w:rPr>
          <w:sz w:val="20"/>
          <w:szCs w:val="20"/>
          <w:color w:val="auto"/>
        </w:rPr>
      </w:pPr>
      <w:r>
        <w:rPr>
          <w:rFonts w:ascii="Arial" w:cs="Arial" w:eastAsia="Arial" w:hAnsi="Arial"/>
          <w:sz w:val="18"/>
          <w:szCs w:val="18"/>
          <w:color w:val="auto"/>
        </w:rPr>
        <w:t>(v)a merger or consolidation of the Corporation with another entity in which holders of the Corporation’s common stock immediately prior to the consummation of the transaction hold, directly or indirectly, immediately following the consummation of the transaction, 50% or less of the common equity interest in the surviving corporation in such transaction.</w:t>
      </w:r>
    </w:p>
    <w:p>
      <w:pPr>
        <w:spacing w:after="0" w:line="184" w:lineRule="exact"/>
        <w:rPr>
          <w:sz w:val="20"/>
          <w:szCs w:val="20"/>
          <w:color w:val="auto"/>
        </w:rPr>
      </w:pPr>
    </w:p>
    <w:p>
      <w:pPr>
        <w:jc w:val="both"/>
        <w:ind w:firstLine="864"/>
        <w:spacing w:after="0" w:line="263" w:lineRule="auto"/>
        <w:rPr>
          <w:sz w:val="20"/>
          <w:szCs w:val="20"/>
          <w:color w:val="auto"/>
        </w:rPr>
      </w:pPr>
      <w:r>
        <w:rPr>
          <w:rFonts w:ascii="Arial" w:cs="Arial" w:eastAsia="Arial" w:hAnsi="Arial"/>
          <w:sz w:val="18"/>
          <w:szCs w:val="18"/>
          <w:color w:val="auto"/>
        </w:rPr>
        <w:t>Notwithstanding anything herein to the contrary, an event described above shall be considered a Change in Control hereunder only if it also constitutes a “change in control event” under Section 409A of the Code, to the extent necessary to avoid the adverse tax consequences thereunder with respect to any award subject to Section 409A of the Code.</w:t>
      </w:r>
    </w:p>
    <w:p>
      <w:pPr>
        <w:spacing w:after="0" w:line="184" w:lineRule="exact"/>
        <w:rPr>
          <w:sz w:val="20"/>
          <w:szCs w:val="20"/>
          <w:color w:val="auto"/>
        </w:rPr>
      </w:pPr>
    </w:p>
    <w:p>
      <w:pPr>
        <w:jc w:val="both"/>
        <w:ind w:left="860" w:firstLine="798"/>
        <w:spacing w:after="0" w:line="277" w:lineRule="auto"/>
        <w:rPr>
          <w:sz w:val="20"/>
          <w:szCs w:val="20"/>
          <w:color w:val="auto"/>
        </w:rPr>
      </w:pPr>
      <w:r>
        <w:rPr>
          <w:rFonts w:ascii="Arial" w:cs="Arial" w:eastAsia="Arial" w:hAnsi="Arial"/>
          <w:sz w:val="18"/>
          <w:szCs w:val="18"/>
          <w:color w:val="auto"/>
        </w:rPr>
        <w:t>(F)“</w:t>
      </w:r>
      <w:r>
        <w:rPr>
          <w:rFonts w:ascii="Arial" w:cs="Arial" w:eastAsia="Arial" w:hAnsi="Arial"/>
          <w:sz w:val="18"/>
          <w:szCs w:val="18"/>
          <w:u w:val="single" w:color="auto"/>
          <w:color w:val="auto"/>
        </w:rPr>
        <w:t>Code</w:t>
      </w:r>
      <w:r>
        <w:rPr>
          <w:rFonts w:ascii="Arial" w:cs="Arial" w:eastAsia="Arial" w:hAnsi="Arial"/>
          <w:sz w:val="18"/>
          <w:szCs w:val="18"/>
          <w:color w:val="auto"/>
        </w:rPr>
        <w:t>” means the Internal Revenue Code of 1986 and the rules and regulations promulgated thereunder, as such law, rules and regulations may be amended, supplemented or replaced from time to time.</w:t>
      </w:r>
    </w:p>
    <w:p>
      <w:pPr>
        <w:spacing w:after="0" w:line="170" w:lineRule="exact"/>
        <w:rPr>
          <w:sz w:val="20"/>
          <w:szCs w:val="20"/>
          <w:color w:val="auto"/>
        </w:rPr>
      </w:pPr>
    </w:p>
    <w:p>
      <w:pPr>
        <w:ind w:left="1660"/>
        <w:spacing w:after="0"/>
        <w:rPr>
          <w:sz w:val="20"/>
          <w:szCs w:val="20"/>
          <w:color w:val="auto"/>
        </w:rPr>
      </w:pPr>
      <w:r>
        <w:rPr>
          <w:rFonts w:ascii="Arial" w:cs="Arial" w:eastAsia="Arial" w:hAnsi="Arial"/>
          <w:sz w:val="18"/>
          <w:szCs w:val="18"/>
          <w:color w:val="auto"/>
        </w:rPr>
        <w:t>(G)“</w:t>
      </w:r>
      <w:r>
        <w:rPr>
          <w:rFonts w:ascii="Arial" w:cs="Arial" w:eastAsia="Arial" w:hAnsi="Arial"/>
          <w:sz w:val="18"/>
          <w:szCs w:val="18"/>
          <w:u w:val="single" w:color="auto"/>
          <w:color w:val="auto"/>
        </w:rPr>
        <w:t>Date of Termination</w:t>
      </w:r>
      <w:r>
        <w:rPr>
          <w:rFonts w:ascii="Arial" w:cs="Arial" w:eastAsia="Arial" w:hAnsi="Arial"/>
          <w:sz w:val="18"/>
          <w:szCs w:val="18"/>
          <w:color w:val="auto"/>
        </w:rPr>
        <w:t>” has the meaning stated in paragraph (B) of Section 8 hereof.</w:t>
      </w:r>
    </w:p>
    <w:p>
      <w:pPr>
        <w:spacing w:after="0" w:line="225" w:lineRule="exact"/>
        <w:rPr>
          <w:sz w:val="20"/>
          <w:szCs w:val="20"/>
          <w:color w:val="auto"/>
        </w:rPr>
      </w:pPr>
    </w:p>
    <w:p>
      <w:pPr>
        <w:jc w:val="both"/>
        <w:ind w:left="860" w:firstLine="798"/>
        <w:spacing w:after="0" w:line="273" w:lineRule="auto"/>
        <w:rPr>
          <w:sz w:val="20"/>
          <w:szCs w:val="20"/>
          <w:color w:val="auto"/>
        </w:rPr>
      </w:pPr>
      <w:r>
        <w:rPr>
          <w:rFonts w:ascii="Arial" w:cs="Arial" w:eastAsia="Arial" w:hAnsi="Arial"/>
          <w:sz w:val="17"/>
          <w:szCs w:val="17"/>
          <w:color w:val="auto"/>
        </w:rPr>
        <w:t>(H)“</w:t>
      </w:r>
      <w:r>
        <w:rPr>
          <w:rFonts w:ascii="Arial" w:cs="Arial" w:eastAsia="Arial" w:hAnsi="Arial"/>
          <w:sz w:val="17"/>
          <w:szCs w:val="17"/>
          <w:u w:val="single" w:color="auto"/>
          <w:color w:val="auto"/>
        </w:rPr>
        <w:t>Disability</w:t>
      </w:r>
      <w:r>
        <w:rPr>
          <w:rFonts w:ascii="Arial" w:cs="Arial" w:eastAsia="Arial" w:hAnsi="Arial"/>
          <w:sz w:val="17"/>
          <w:szCs w:val="17"/>
          <w:color w:val="auto"/>
        </w:rPr>
        <w:t>” means that Executive is unable to engage in any substantial gainful activity by reason of any medically determinable physical or mental impairment which can be expected to result in death or which has lasted or can be expected to last for a continuous period of not less than 12 months. The determination of whether an individual has a Disability shall be determined under procedures established by the Board. The Board may rely on any determination that Executive is disabled for purposes of benefits under any long-term disability plan maintained by the Corporation or any Affiliate in which Executive participates, provided that the definition of disability applied under such disability plan meets the requirements of a Disability in the first sentence hereof.</w:t>
      </w:r>
    </w:p>
    <w:p>
      <w:pPr>
        <w:spacing w:after="0" w:line="178" w:lineRule="exact"/>
        <w:rPr>
          <w:sz w:val="20"/>
          <w:szCs w:val="20"/>
          <w:color w:val="auto"/>
        </w:rPr>
      </w:pPr>
    </w:p>
    <w:p>
      <w:pPr>
        <w:jc w:val="both"/>
        <w:ind w:left="860" w:firstLine="798"/>
        <w:spacing w:after="0" w:line="277" w:lineRule="auto"/>
        <w:rPr>
          <w:sz w:val="20"/>
          <w:szCs w:val="20"/>
          <w:color w:val="auto"/>
        </w:rPr>
      </w:pPr>
      <w:r>
        <w:rPr>
          <w:rFonts w:ascii="Arial" w:cs="Arial" w:eastAsia="Arial" w:hAnsi="Arial"/>
          <w:sz w:val="18"/>
          <w:szCs w:val="18"/>
          <w:color w:val="auto"/>
        </w:rPr>
        <w:t>(I)“</w:t>
      </w:r>
      <w:r>
        <w:rPr>
          <w:rFonts w:ascii="Arial" w:cs="Arial" w:eastAsia="Arial" w:hAnsi="Arial"/>
          <w:sz w:val="18"/>
          <w:szCs w:val="18"/>
          <w:u w:val="single" w:color="auto"/>
          <w:color w:val="auto"/>
        </w:rPr>
        <w:t>Exchange Act</w:t>
      </w:r>
      <w:r>
        <w:rPr>
          <w:rFonts w:ascii="Arial" w:cs="Arial" w:eastAsia="Arial" w:hAnsi="Arial"/>
          <w:sz w:val="18"/>
          <w:szCs w:val="18"/>
          <w:color w:val="auto"/>
        </w:rPr>
        <w:t>” means the Securities Exchange Act of 1934 and the rules and regulations promulgated thereunder, as such law, rules and regulations may be amended, supplemented or replaced from time to time.</w:t>
      </w:r>
    </w:p>
    <w:p>
      <w:pPr>
        <w:spacing w:after="0" w:line="170" w:lineRule="exact"/>
        <w:rPr>
          <w:sz w:val="20"/>
          <w:szCs w:val="20"/>
          <w:color w:val="auto"/>
        </w:rPr>
      </w:pPr>
    </w:p>
    <w:p>
      <w:pPr>
        <w:jc w:val="both"/>
        <w:ind w:left="860" w:firstLine="798"/>
        <w:spacing w:after="0" w:line="291" w:lineRule="auto"/>
        <w:rPr>
          <w:sz w:val="20"/>
          <w:szCs w:val="20"/>
          <w:color w:val="auto"/>
        </w:rPr>
      </w:pPr>
      <w:r>
        <w:rPr>
          <w:rFonts w:ascii="Arial" w:cs="Arial" w:eastAsia="Arial" w:hAnsi="Arial"/>
          <w:sz w:val="16"/>
          <w:szCs w:val="16"/>
          <w:color w:val="auto"/>
        </w:rPr>
        <w:t>(J)“</w:t>
      </w:r>
      <w:r>
        <w:rPr>
          <w:rFonts w:ascii="Arial" w:cs="Arial" w:eastAsia="Arial" w:hAnsi="Arial"/>
          <w:sz w:val="16"/>
          <w:szCs w:val="16"/>
          <w:u w:val="single" w:color="auto"/>
          <w:color w:val="auto"/>
        </w:rPr>
        <w:t>Good Reason</w:t>
      </w:r>
      <w:r>
        <w:rPr>
          <w:rFonts w:ascii="Arial" w:cs="Arial" w:eastAsia="Arial" w:hAnsi="Arial"/>
          <w:sz w:val="16"/>
          <w:szCs w:val="16"/>
          <w:color w:val="auto"/>
        </w:rPr>
        <w:t>” means any one of the following: (i) a material diminution in Executive’s base compensation; (ii) a material diminution in authority, duties, or responsibilities of Executive; (iii) a material diminution in the budget over which executive retains authority;</w:t>
      </w:r>
    </w:p>
    <w:p>
      <w:pPr>
        <w:jc w:val="both"/>
        <w:ind w:left="860" w:hanging="2"/>
        <w:spacing w:after="0" w:line="270" w:lineRule="auto"/>
        <w:tabs>
          <w:tab w:leader="none" w:pos="1176" w:val="left"/>
        </w:tabs>
        <w:numPr>
          <w:ilvl w:val="0"/>
          <w:numId w:val="10"/>
        </w:numPr>
        <w:rPr>
          <w:rFonts w:ascii="Arial" w:cs="Arial" w:eastAsia="Arial" w:hAnsi="Arial"/>
          <w:sz w:val="17"/>
          <w:szCs w:val="17"/>
          <w:color w:val="auto"/>
        </w:rPr>
      </w:pPr>
      <w:r>
        <w:rPr>
          <w:rFonts w:ascii="Arial" w:cs="Arial" w:eastAsia="Arial" w:hAnsi="Arial"/>
          <w:sz w:val="17"/>
          <w:szCs w:val="17"/>
          <w:color w:val="auto"/>
        </w:rPr>
        <w:t>a material change in the geographic location (i.e., to a location more than 50 miles from Executive’s primary work location prior to such change) at which Executive is required to perform services; and (v) any other action or inaction that constitutes a material breach of Executive’s employment agreement, if any, with the Corporation or any Affiliate; provided, however, that for Executive to be able to resign for “Good Reason,” Executive must give the Corporation and the applicable Affiliate, if any, notice of the above conditions within 90 days after the condition first exists, the Corporation and/or Affiliate must not have remedied the condition within 30 days after receiving written notice, and Executive must resign within 60 days after Executive’s and/or Affiliate’s failure to remedy.</w:t>
      </w:r>
    </w:p>
    <w:p>
      <w:pPr>
        <w:spacing w:after="0" w:line="178" w:lineRule="exact"/>
        <w:rPr>
          <w:sz w:val="20"/>
          <w:szCs w:val="20"/>
          <w:color w:val="auto"/>
        </w:rPr>
      </w:pPr>
    </w:p>
    <w:p>
      <w:pPr>
        <w:ind w:left="860" w:firstLine="798"/>
        <w:spacing w:after="0" w:line="277" w:lineRule="auto"/>
        <w:rPr>
          <w:sz w:val="20"/>
          <w:szCs w:val="20"/>
          <w:color w:val="auto"/>
        </w:rPr>
      </w:pPr>
      <w:r>
        <w:rPr>
          <w:rFonts w:ascii="Arial" w:cs="Arial" w:eastAsia="Arial" w:hAnsi="Arial"/>
          <w:sz w:val="18"/>
          <w:szCs w:val="18"/>
          <w:color w:val="auto"/>
        </w:rPr>
        <w:t>(K)“</w:t>
      </w:r>
      <w:r>
        <w:rPr>
          <w:rFonts w:ascii="Arial" w:cs="Arial" w:eastAsia="Arial" w:hAnsi="Arial"/>
          <w:sz w:val="18"/>
          <w:szCs w:val="18"/>
          <w:u w:val="single" w:color="auto"/>
          <w:color w:val="auto"/>
        </w:rPr>
        <w:t>Non-Interference / Assistance Period</w:t>
      </w:r>
      <w:r>
        <w:rPr>
          <w:rFonts w:ascii="Arial" w:cs="Arial" w:eastAsia="Arial" w:hAnsi="Arial"/>
          <w:sz w:val="18"/>
          <w:szCs w:val="18"/>
          <w:color w:val="auto"/>
        </w:rPr>
        <w:t>” means the period commencing with the Date of Termination and ending on the first anniversary of the Date of Termination; provided that if a court of competent</w:t>
      </w:r>
    </w:p>
    <w:p>
      <w:pPr>
        <w:spacing w:after="0" w:line="114" w:lineRule="exact"/>
        <w:rPr>
          <w:sz w:val="20"/>
          <w:szCs w:val="20"/>
          <w:color w:val="auto"/>
        </w:rPr>
      </w:pPr>
    </w:p>
    <w:p>
      <w:pPr>
        <w:ind w:left="880"/>
        <w:spacing w:after="0"/>
        <w:rPr>
          <w:sz w:val="20"/>
          <w:szCs w:val="20"/>
          <w:color w:val="auto"/>
        </w:rPr>
      </w:pPr>
      <w:r>
        <w:rPr>
          <w:rFonts w:ascii="Arial" w:cs="Arial" w:eastAsia="Arial" w:hAnsi="Arial"/>
          <w:sz w:val="22"/>
          <w:szCs w:val="22"/>
          <w:color w:val="auto"/>
        </w:rPr>
        <w:t>2</w:t>
      </w:r>
    </w:p>
    <w:p>
      <w:pPr>
        <w:spacing w:after="0"/>
        <w:rPr>
          <w:sz w:val="20"/>
          <w:szCs w:val="20"/>
          <w:color w:val="auto"/>
        </w:rPr>
      </w:pPr>
      <w:r>
        <w:rPr>
          <w:rFonts w:ascii="Arial" w:cs="Arial" w:eastAsia="Arial" w:hAnsi="Arial"/>
          <w:sz w:val="14"/>
          <w:szCs w:val="14"/>
          <w:color w:val="auto"/>
        </w:rPr>
        <w:t>4871-5083-7000.3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60960</wp:posOffset>
            </wp:positionV>
            <wp:extent cx="7174865" cy="425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48" w:name="page49"/>
    <w:bookmarkEnd w:id="48"/>
    <w:p>
      <w:pPr>
        <w:jc w:val="both"/>
        <w:ind w:left="860" w:firstLine="798"/>
        <w:spacing w:after="0" w:line="277" w:lineRule="auto"/>
        <w:rPr>
          <w:sz w:val="20"/>
          <w:szCs w:val="20"/>
          <w:color w:val="auto"/>
        </w:rPr>
      </w:pPr>
      <w:r>
        <w:rPr>
          <w:rFonts w:ascii="Arial" w:cs="Arial" w:eastAsia="Arial" w:hAnsi="Arial"/>
          <w:sz w:val="18"/>
          <w:szCs w:val="18"/>
          <w:color w:val="auto"/>
        </w:rPr>
        <w:t>jurisdiction determines that such period is unenforceable, then such time period shall end on the date that is 6 months after the Date of Termination.</w:t>
      </w:r>
    </w:p>
    <w:p>
      <w:pPr>
        <w:spacing w:after="0" w:line="170" w:lineRule="exact"/>
        <w:rPr>
          <w:sz w:val="20"/>
          <w:szCs w:val="20"/>
          <w:color w:val="auto"/>
        </w:rPr>
      </w:pPr>
    </w:p>
    <w:p>
      <w:pPr>
        <w:ind w:left="1660"/>
        <w:spacing w:after="0"/>
        <w:rPr>
          <w:sz w:val="20"/>
          <w:szCs w:val="20"/>
          <w:color w:val="auto"/>
        </w:rPr>
      </w:pPr>
      <w:r>
        <w:rPr>
          <w:rFonts w:ascii="Arial" w:cs="Arial" w:eastAsia="Arial" w:hAnsi="Arial"/>
          <w:sz w:val="18"/>
          <w:szCs w:val="18"/>
          <w:color w:val="auto"/>
        </w:rPr>
        <w:t>(L)“</w:t>
      </w:r>
      <w:r>
        <w:rPr>
          <w:rFonts w:ascii="Arial" w:cs="Arial" w:eastAsia="Arial" w:hAnsi="Arial"/>
          <w:sz w:val="18"/>
          <w:szCs w:val="18"/>
          <w:u w:val="single" w:color="auto"/>
          <w:color w:val="auto"/>
        </w:rPr>
        <w:t>Notice of Termination</w:t>
      </w:r>
      <w:r>
        <w:rPr>
          <w:rFonts w:ascii="Arial" w:cs="Arial" w:eastAsia="Arial" w:hAnsi="Arial"/>
          <w:sz w:val="18"/>
          <w:szCs w:val="18"/>
          <w:color w:val="auto"/>
        </w:rPr>
        <w:t>” has the meaning stated in Paragraph (A) of Section 8 hereof.</w:t>
      </w:r>
    </w:p>
    <w:p>
      <w:pPr>
        <w:spacing w:after="0" w:line="225" w:lineRule="exact"/>
        <w:rPr>
          <w:sz w:val="20"/>
          <w:szCs w:val="20"/>
          <w:color w:val="auto"/>
        </w:rPr>
      </w:pPr>
    </w:p>
    <w:p>
      <w:pPr>
        <w:jc w:val="both"/>
        <w:ind w:left="860" w:firstLine="798"/>
        <w:spacing w:after="0" w:line="259" w:lineRule="auto"/>
        <w:rPr>
          <w:sz w:val="20"/>
          <w:szCs w:val="20"/>
          <w:color w:val="auto"/>
        </w:rPr>
      </w:pPr>
      <w:r>
        <w:rPr>
          <w:rFonts w:ascii="Arial" w:cs="Arial" w:eastAsia="Arial" w:hAnsi="Arial"/>
          <w:sz w:val="18"/>
          <w:szCs w:val="18"/>
          <w:color w:val="auto"/>
        </w:rPr>
        <w:t>(M)“</w:t>
      </w:r>
      <w:r>
        <w:rPr>
          <w:rFonts w:ascii="Arial" w:cs="Arial" w:eastAsia="Arial" w:hAnsi="Arial"/>
          <w:sz w:val="18"/>
          <w:szCs w:val="18"/>
          <w:u w:val="single" w:color="auto"/>
          <w:color w:val="auto"/>
        </w:rPr>
        <w:t>Payment Trigger</w:t>
      </w:r>
      <w:r>
        <w:rPr>
          <w:rFonts w:ascii="Arial" w:cs="Arial" w:eastAsia="Arial" w:hAnsi="Arial"/>
          <w:sz w:val="18"/>
          <w:szCs w:val="18"/>
          <w:color w:val="auto"/>
        </w:rPr>
        <w:t>” means the termination of Executive’s employment with the Corporation or an Affiliate in a manner that constitutes a “separation from service”, as defined in Section 409A, (i) for any reason other than (a) by Executive without Good Reason, (b) by the Corporation as a result of the Disability of Executive or with Cause or, (c) as a result of the death of Executive; and (ii) coincident with or within one year following a Change in Control.</w:t>
      </w:r>
    </w:p>
    <w:p>
      <w:pPr>
        <w:spacing w:after="0" w:line="187" w:lineRule="exact"/>
        <w:rPr>
          <w:sz w:val="20"/>
          <w:szCs w:val="20"/>
          <w:color w:val="auto"/>
        </w:rPr>
      </w:pPr>
    </w:p>
    <w:p>
      <w:pPr>
        <w:jc w:val="both"/>
        <w:ind w:left="860" w:firstLine="798"/>
        <w:spacing w:after="0" w:line="277" w:lineRule="auto"/>
        <w:rPr>
          <w:sz w:val="20"/>
          <w:szCs w:val="20"/>
          <w:color w:val="auto"/>
        </w:rPr>
      </w:pPr>
      <w:r>
        <w:rPr>
          <w:rFonts w:ascii="Arial" w:cs="Arial" w:eastAsia="Arial" w:hAnsi="Arial"/>
          <w:sz w:val="18"/>
          <w:szCs w:val="18"/>
          <w:color w:val="auto"/>
        </w:rPr>
        <w:t>(N)“</w:t>
      </w:r>
      <w:r>
        <w:rPr>
          <w:rFonts w:ascii="Arial" w:cs="Arial" w:eastAsia="Arial" w:hAnsi="Arial"/>
          <w:sz w:val="18"/>
          <w:szCs w:val="18"/>
          <w:u w:val="single" w:color="auto"/>
          <w:color w:val="auto"/>
        </w:rPr>
        <w:t>Person</w:t>
      </w:r>
      <w:r>
        <w:rPr>
          <w:rFonts w:ascii="Arial" w:cs="Arial" w:eastAsia="Arial" w:hAnsi="Arial"/>
          <w:sz w:val="18"/>
          <w:szCs w:val="18"/>
          <w:color w:val="auto"/>
        </w:rPr>
        <w:t>” means an individual, partnership, corporation, limited liability company, unincorporated organization, trust or joint venture, or a governmental agency or political subdivision thereof.</w:t>
      </w:r>
    </w:p>
    <w:p>
      <w:pPr>
        <w:spacing w:after="0" w:line="170" w:lineRule="exact"/>
        <w:rPr>
          <w:sz w:val="20"/>
          <w:szCs w:val="20"/>
          <w:color w:val="auto"/>
        </w:rPr>
      </w:pPr>
    </w:p>
    <w:p>
      <w:pPr>
        <w:jc w:val="both"/>
        <w:ind w:left="860" w:firstLine="798"/>
        <w:spacing w:after="0" w:line="277" w:lineRule="auto"/>
        <w:rPr>
          <w:sz w:val="20"/>
          <w:szCs w:val="20"/>
          <w:color w:val="auto"/>
        </w:rPr>
      </w:pPr>
      <w:r>
        <w:rPr>
          <w:rFonts w:ascii="Arial" w:cs="Arial" w:eastAsia="Arial" w:hAnsi="Arial"/>
          <w:sz w:val="18"/>
          <w:szCs w:val="18"/>
          <w:color w:val="auto"/>
        </w:rPr>
        <w:t>(O)“</w:t>
      </w:r>
      <w:r>
        <w:rPr>
          <w:rFonts w:ascii="Arial" w:cs="Arial" w:eastAsia="Arial" w:hAnsi="Arial"/>
          <w:sz w:val="18"/>
          <w:szCs w:val="18"/>
          <w:u w:val="single" w:color="auto"/>
          <w:color w:val="auto"/>
        </w:rPr>
        <w:t>Section 409A</w:t>
      </w:r>
      <w:r>
        <w:rPr>
          <w:rFonts w:ascii="Arial" w:cs="Arial" w:eastAsia="Arial" w:hAnsi="Arial"/>
          <w:sz w:val="18"/>
          <w:szCs w:val="18"/>
          <w:color w:val="auto"/>
        </w:rPr>
        <w:t>” means Section 409A of the Code and any proposed, temporary or final regulations, or any other guidance, promulgated with respect to such Section 409A by the U.S. Department of Treasury or the Internal Revenue Service.</w:t>
      </w:r>
    </w:p>
    <w:p>
      <w:pPr>
        <w:spacing w:after="0" w:line="170" w:lineRule="exact"/>
        <w:rPr>
          <w:sz w:val="20"/>
          <w:szCs w:val="20"/>
          <w:color w:val="auto"/>
        </w:rPr>
      </w:pPr>
    </w:p>
    <w:p>
      <w:pPr>
        <w:ind w:left="1660"/>
        <w:spacing w:after="0"/>
        <w:rPr>
          <w:sz w:val="20"/>
          <w:szCs w:val="20"/>
          <w:color w:val="auto"/>
        </w:rPr>
      </w:pPr>
      <w:r>
        <w:rPr>
          <w:rFonts w:ascii="Arial" w:cs="Arial" w:eastAsia="Arial" w:hAnsi="Arial"/>
          <w:sz w:val="16"/>
          <w:szCs w:val="16"/>
          <w:color w:val="auto"/>
        </w:rPr>
        <w:t>(P)“</w:t>
      </w:r>
      <w:r>
        <w:rPr>
          <w:rFonts w:ascii="Arial" w:cs="Arial" w:eastAsia="Arial" w:hAnsi="Arial"/>
          <w:sz w:val="16"/>
          <w:szCs w:val="16"/>
          <w:u w:val="single" w:color="auto"/>
          <w:color w:val="auto"/>
        </w:rPr>
        <w:t>Subsidiary</w:t>
      </w:r>
      <w:r>
        <w:rPr>
          <w:rFonts w:ascii="Arial" w:cs="Arial" w:eastAsia="Arial" w:hAnsi="Arial"/>
          <w:sz w:val="16"/>
          <w:szCs w:val="16"/>
          <w:color w:val="auto"/>
        </w:rPr>
        <w:t>” means a “subsidiary corporation,” as that term is defined in Section 424(f) of the Code, or any successor provision.</w:t>
      </w:r>
    </w:p>
    <w:p>
      <w:pPr>
        <w:spacing w:after="0" w:line="248" w:lineRule="exact"/>
        <w:rPr>
          <w:sz w:val="20"/>
          <w:szCs w:val="20"/>
          <w:color w:val="auto"/>
        </w:rPr>
      </w:pPr>
    </w:p>
    <w:p>
      <w:pPr>
        <w:ind w:left="80"/>
        <w:spacing w:after="0"/>
        <w:tabs>
          <w:tab w:leader="none" w:pos="1640" w:val="left"/>
        </w:tabs>
        <w:rPr>
          <w:sz w:val="20"/>
          <w:szCs w:val="20"/>
          <w:color w:val="auto"/>
        </w:rPr>
      </w:pPr>
      <w:r>
        <w:rPr>
          <w:rFonts w:ascii="Arial" w:cs="Arial" w:eastAsia="Arial" w:hAnsi="Arial"/>
          <w:sz w:val="16"/>
          <w:szCs w:val="16"/>
          <w:color w:val="auto"/>
        </w:rPr>
        <w:t>2.</w:t>
      </w:r>
      <w:r>
        <w:rPr>
          <w:sz w:val="20"/>
          <w:szCs w:val="20"/>
          <w:color w:val="auto"/>
        </w:rPr>
        <w:tab/>
      </w:r>
      <w:r>
        <w:rPr>
          <w:rFonts w:ascii="Arial" w:cs="Arial" w:eastAsia="Arial" w:hAnsi="Arial"/>
          <w:sz w:val="16"/>
          <w:szCs w:val="16"/>
          <w:u w:val="single" w:color="auto"/>
          <w:color w:val="auto"/>
        </w:rPr>
        <w:t>Term of Agreement</w:t>
      </w:r>
      <w:r>
        <w:rPr>
          <w:rFonts w:ascii="Arial" w:cs="Arial" w:eastAsia="Arial" w:hAnsi="Arial"/>
          <w:sz w:val="16"/>
          <w:szCs w:val="16"/>
          <w:color w:val="auto"/>
        </w:rPr>
        <w:t>. This Agreement shall become effective on the Effective Date and shall continue in effect until the earliest of</w:t>
      </w:r>
    </w:p>
    <w:p>
      <w:pPr>
        <w:spacing w:after="0" w:line="46" w:lineRule="exact"/>
        <w:rPr>
          <w:sz w:val="20"/>
          <w:szCs w:val="20"/>
          <w:color w:val="auto"/>
        </w:rPr>
      </w:pPr>
    </w:p>
    <w:p>
      <w:pPr>
        <w:jc w:val="both"/>
        <w:ind w:left="860" w:hanging="2"/>
        <w:spacing w:after="0" w:line="292" w:lineRule="auto"/>
        <w:tabs>
          <w:tab w:leader="none" w:pos="1160" w:val="left"/>
        </w:tabs>
        <w:numPr>
          <w:ilvl w:val="0"/>
          <w:numId w:val="11"/>
        </w:numPr>
        <w:rPr>
          <w:rFonts w:ascii="Arial" w:cs="Arial" w:eastAsia="Arial" w:hAnsi="Arial"/>
          <w:sz w:val="16"/>
          <w:szCs w:val="16"/>
          <w:color w:val="auto"/>
        </w:rPr>
      </w:pPr>
      <w:r>
        <w:rPr>
          <w:rFonts w:ascii="Arial" w:cs="Arial" w:eastAsia="Arial" w:hAnsi="Arial"/>
          <w:sz w:val="16"/>
          <w:szCs w:val="16"/>
          <w:color w:val="auto"/>
        </w:rPr>
        <w:t>a Date of Termination determined in accordance with Section 8 shall have occurred prior to a Change in Control, (B) if a Payment Trigger shall have occurred during the term of this Agreement, the performance by the Corporation of all its obligations under this Agreement, (C) March 1, 2024, if, as of such date, a Change in Control shall not have occurred and be continuing; or (D) if, as of March 1, 2024, a Change in Control shall have occurred and be continuing, either the expiration of such period thereafter within which a Payment Trigger may occur or the ensuing occurrence of a Payment Trigger and the performance by the Corporation of all of its obligations under this Agreement.</w:t>
      </w:r>
    </w:p>
    <w:p>
      <w:pPr>
        <w:spacing w:after="0" w:line="162" w:lineRule="exact"/>
        <w:rPr>
          <w:sz w:val="20"/>
          <w:szCs w:val="20"/>
          <w:color w:val="auto"/>
        </w:rPr>
      </w:pPr>
    </w:p>
    <w:p>
      <w:pPr>
        <w:ind w:left="80"/>
        <w:spacing w:after="0"/>
        <w:tabs>
          <w:tab w:leader="none" w:pos="1640" w:val="left"/>
        </w:tabs>
        <w:rPr>
          <w:sz w:val="20"/>
          <w:szCs w:val="20"/>
          <w:color w:val="auto"/>
        </w:rPr>
      </w:pPr>
      <w:r>
        <w:rPr>
          <w:rFonts w:ascii="Arial" w:cs="Arial" w:eastAsia="Arial" w:hAnsi="Arial"/>
          <w:sz w:val="18"/>
          <w:szCs w:val="18"/>
          <w:color w:val="auto"/>
        </w:rPr>
        <w:t>3.</w:t>
      </w:r>
      <w:r>
        <w:rPr>
          <w:sz w:val="20"/>
          <w:szCs w:val="20"/>
          <w:color w:val="auto"/>
        </w:rPr>
        <w:tab/>
      </w:r>
      <w:r>
        <w:rPr>
          <w:rFonts w:ascii="Arial" w:cs="Arial" w:eastAsia="Arial" w:hAnsi="Arial"/>
          <w:sz w:val="18"/>
          <w:szCs w:val="18"/>
          <w:u w:val="single" w:color="auto"/>
          <w:color w:val="auto"/>
        </w:rPr>
        <w:t>General Provisions</w:t>
      </w:r>
      <w:r>
        <w:rPr>
          <w:rFonts w:ascii="Arial" w:cs="Arial" w:eastAsia="Arial" w:hAnsi="Arial"/>
          <w:sz w:val="18"/>
          <w:szCs w:val="18"/>
          <w:color w:val="auto"/>
        </w:rPr>
        <w:t>.</w:t>
      </w:r>
    </w:p>
    <w:p>
      <w:pPr>
        <w:spacing w:after="0" w:line="225" w:lineRule="exact"/>
        <w:rPr>
          <w:sz w:val="20"/>
          <w:szCs w:val="20"/>
          <w:color w:val="auto"/>
        </w:rPr>
      </w:pPr>
    </w:p>
    <w:p>
      <w:pPr>
        <w:jc w:val="both"/>
        <w:ind w:left="860" w:firstLine="798"/>
        <w:spacing w:after="0" w:line="287" w:lineRule="auto"/>
        <w:rPr>
          <w:sz w:val="20"/>
          <w:szCs w:val="20"/>
          <w:color w:val="auto"/>
        </w:rPr>
      </w:pPr>
      <w:r>
        <w:rPr>
          <w:rFonts w:ascii="Arial" w:cs="Arial" w:eastAsia="Arial" w:hAnsi="Arial"/>
          <w:sz w:val="16"/>
          <w:szCs w:val="16"/>
          <w:color w:val="auto"/>
        </w:rPr>
        <w:t>(A)The Corporation hereby represents and warrants to Executive as follows: (i) the execution and delivery of this Agreement and the performance by the Corporation of the actions contemplated hereby have been duly authorized by all necessary corporate action on the part of the Corporation; (ii) this Agreement is a legal, valid and legally binding obligation of the Corporation, enforceable in accordance with its terms;</w:t>
      </w:r>
    </w:p>
    <w:p>
      <w:pPr>
        <w:spacing w:after="0" w:line="2" w:lineRule="exact"/>
        <w:rPr>
          <w:sz w:val="20"/>
          <w:szCs w:val="20"/>
          <w:color w:val="auto"/>
        </w:rPr>
      </w:pPr>
    </w:p>
    <w:p>
      <w:pPr>
        <w:jc w:val="both"/>
        <w:ind w:left="860" w:hanging="2"/>
        <w:spacing w:after="0" w:line="268" w:lineRule="auto"/>
        <w:tabs>
          <w:tab w:leader="none" w:pos="1184" w:val="left"/>
        </w:tabs>
        <w:numPr>
          <w:ilvl w:val="0"/>
          <w:numId w:val="12"/>
        </w:numPr>
        <w:rPr>
          <w:rFonts w:ascii="Arial" w:cs="Arial" w:eastAsia="Arial" w:hAnsi="Arial"/>
          <w:sz w:val="17"/>
          <w:szCs w:val="17"/>
          <w:color w:val="auto"/>
        </w:rPr>
      </w:pPr>
      <w:r>
        <w:rPr>
          <w:rFonts w:ascii="Arial" w:cs="Arial" w:eastAsia="Arial" w:hAnsi="Arial"/>
          <w:sz w:val="17"/>
          <w:szCs w:val="17"/>
          <w:color w:val="auto"/>
        </w:rPr>
        <w:t>neither the execution or delivery of this Agreement nor the consummation by the Corporation of the actions contemplated hereby (a) will violate any provision of the certificate of incorporation or bylaws (or other charter documents) of the Corporation; or (b) will violate or be in conflict with any applicable law or any judgment, decree, injunction or order of any court or governmental agency or authority. Executive hereby represents and warrants to the Corporation that (x) Executive’s execution, delivery and performance of this Agreement does not and shall not conflict with, breach, violate or cause a default under any contract, agreement, instrument, order, judgment or decree to which Executive is a party or by which he is bound, (y) Executive is not a party to or bound by any employment agreement, non-compete agreement or confidentiality agreement with any other person or entity, and (z) upon the execution and delivery of this Agreement by the Corporation, this Agreement shall be the valid and binding obligation of Executive, enforceable in accordance with its terms. Executive hereby acknowledges and represents that s/he fully understands the terms and conditions contained herein.</w:t>
      </w:r>
    </w:p>
    <w:p>
      <w:pPr>
        <w:spacing w:after="0" w:line="181" w:lineRule="exact"/>
        <w:rPr>
          <w:sz w:val="20"/>
          <w:szCs w:val="20"/>
          <w:color w:val="auto"/>
        </w:rPr>
      </w:pPr>
    </w:p>
    <w:p>
      <w:pPr>
        <w:jc w:val="both"/>
        <w:ind w:left="860" w:right="20" w:firstLine="798"/>
        <w:spacing w:after="0" w:line="277" w:lineRule="auto"/>
        <w:rPr>
          <w:sz w:val="20"/>
          <w:szCs w:val="20"/>
          <w:color w:val="auto"/>
        </w:rPr>
      </w:pPr>
      <w:r>
        <w:rPr>
          <w:rFonts w:ascii="Arial" w:cs="Arial" w:eastAsia="Arial" w:hAnsi="Arial"/>
          <w:sz w:val="18"/>
          <w:szCs w:val="18"/>
          <w:color w:val="auto"/>
        </w:rPr>
        <w:t>(B)In no event shall payments be made under this Agreement in respect of more than one termination of Executive’s employment with the Corporation and its Affiliates.</w:t>
      </w:r>
    </w:p>
    <w:p>
      <w:pPr>
        <w:spacing w:after="0" w:line="170" w:lineRule="exact"/>
        <w:rPr>
          <w:sz w:val="20"/>
          <w:szCs w:val="20"/>
          <w:color w:val="auto"/>
        </w:rPr>
      </w:pPr>
    </w:p>
    <w:p>
      <w:pPr>
        <w:jc w:val="both"/>
        <w:ind w:left="860" w:firstLine="798"/>
        <w:spacing w:after="0" w:line="259" w:lineRule="auto"/>
        <w:rPr>
          <w:sz w:val="20"/>
          <w:szCs w:val="20"/>
          <w:color w:val="auto"/>
        </w:rPr>
      </w:pPr>
      <w:r>
        <w:rPr>
          <w:rFonts w:ascii="Arial" w:cs="Arial" w:eastAsia="Arial" w:hAnsi="Arial"/>
          <w:sz w:val="18"/>
          <w:szCs w:val="18"/>
          <w:color w:val="auto"/>
        </w:rPr>
        <w:t>(C)This Agreement does not create, and shall not be construed as creating, an express or implied contract of employment and, except as otherwise agreed in writing between Executive and the Corporation, Executive does not and shall not have any right to be retained in the employ of the Corporation or any Affiliate. Notwithstanding the immediately preceding sentence or any other provision of this Agreement, a termination of</w:t>
      </w:r>
    </w:p>
    <w:p>
      <w:pPr>
        <w:spacing w:after="0" w:line="130" w:lineRule="exact"/>
        <w:rPr>
          <w:sz w:val="20"/>
          <w:szCs w:val="20"/>
          <w:color w:val="auto"/>
        </w:rPr>
      </w:pPr>
    </w:p>
    <w:p>
      <w:pPr>
        <w:ind w:left="880"/>
        <w:spacing w:after="0"/>
        <w:rPr>
          <w:sz w:val="20"/>
          <w:szCs w:val="20"/>
          <w:color w:val="auto"/>
        </w:rPr>
      </w:pPr>
      <w:r>
        <w:rPr>
          <w:rFonts w:ascii="Arial" w:cs="Arial" w:eastAsia="Arial" w:hAnsi="Arial"/>
          <w:sz w:val="22"/>
          <w:szCs w:val="22"/>
          <w:color w:val="auto"/>
        </w:rPr>
        <w:t>3</w:t>
      </w:r>
    </w:p>
    <w:p>
      <w:pPr>
        <w:spacing w:after="0"/>
        <w:rPr>
          <w:sz w:val="20"/>
          <w:szCs w:val="20"/>
          <w:color w:val="auto"/>
        </w:rPr>
      </w:pPr>
      <w:r>
        <w:rPr>
          <w:rFonts w:ascii="Arial" w:cs="Arial" w:eastAsia="Arial" w:hAnsi="Arial"/>
          <w:sz w:val="14"/>
          <w:szCs w:val="14"/>
          <w:color w:val="auto"/>
        </w:rPr>
        <w:t>4871-5083-7000.3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60960</wp:posOffset>
            </wp:positionV>
            <wp:extent cx="7174865" cy="425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355" w:right="339" w:bottom="1440" w:gutter="0" w:footer="0" w:header="0"/>
        </w:sectPr>
      </w:pPr>
    </w:p>
    <w:bookmarkStart w:id="49" w:name="page50"/>
    <w:bookmarkEnd w:id="49"/>
    <w:p>
      <w:pPr>
        <w:jc w:val="both"/>
        <w:ind w:left="860" w:firstLine="798"/>
        <w:spacing w:after="0" w:line="277" w:lineRule="auto"/>
        <w:rPr>
          <w:sz w:val="20"/>
          <w:szCs w:val="20"/>
          <w:color w:val="auto"/>
        </w:rPr>
      </w:pPr>
      <w:r>
        <w:rPr>
          <w:rFonts w:ascii="Arial" w:cs="Arial" w:eastAsia="Arial" w:hAnsi="Arial"/>
          <w:sz w:val="18"/>
          <w:szCs w:val="18"/>
          <w:color w:val="auto"/>
        </w:rPr>
        <w:t>Executive’s employment with the Corporation or any Affiliate must be effected in accordance with a Notice of Termination satisfying paragraph (A) of Section 8 in order to constitute a termination for purposes of this Agreement.</w:t>
      </w:r>
    </w:p>
    <w:p>
      <w:pPr>
        <w:spacing w:after="0" w:line="170" w:lineRule="exact"/>
        <w:rPr>
          <w:sz w:val="20"/>
          <w:szCs w:val="20"/>
          <w:color w:val="auto"/>
        </w:rPr>
      </w:pPr>
    </w:p>
    <w:p>
      <w:pPr>
        <w:ind w:left="80"/>
        <w:spacing w:after="0"/>
        <w:tabs>
          <w:tab w:leader="none" w:pos="1640" w:val="left"/>
        </w:tabs>
        <w:rPr>
          <w:sz w:val="20"/>
          <w:szCs w:val="20"/>
          <w:color w:val="auto"/>
        </w:rPr>
      </w:pPr>
      <w:r>
        <w:rPr>
          <w:rFonts w:ascii="Arial" w:cs="Arial" w:eastAsia="Arial" w:hAnsi="Arial"/>
          <w:sz w:val="18"/>
          <w:szCs w:val="18"/>
          <w:color w:val="auto"/>
        </w:rPr>
        <w:t>4.</w:t>
      </w:r>
      <w:r>
        <w:rPr>
          <w:sz w:val="20"/>
          <w:szCs w:val="20"/>
          <w:color w:val="auto"/>
        </w:rPr>
        <w:tab/>
      </w:r>
      <w:r>
        <w:rPr>
          <w:rFonts w:ascii="Arial" w:cs="Arial" w:eastAsia="Arial" w:hAnsi="Arial"/>
          <w:sz w:val="18"/>
          <w:szCs w:val="18"/>
          <w:u w:val="single" w:color="auto"/>
          <w:color w:val="auto"/>
        </w:rPr>
        <w:t>Severance Payments</w:t>
      </w:r>
      <w:r>
        <w:rPr>
          <w:rFonts w:ascii="Arial" w:cs="Arial" w:eastAsia="Arial" w:hAnsi="Arial"/>
          <w:sz w:val="18"/>
          <w:szCs w:val="18"/>
          <w:color w:val="auto"/>
        </w:rPr>
        <w:t>.</w:t>
      </w:r>
    </w:p>
    <w:p>
      <w:pPr>
        <w:spacing w:after="0" w:line="225" w:lineRule="exact"/>
        <w:rPr>
          <w:sz w:val="20"/>
          <w:szCs w:val="20"/>
          <w:color w:val="auto"/>
        </w:rPr>
      </w:pPr>
    </w:p>
    <w:p>
      <w:pPr>
        <w:jc w:val="both"/>
        <w:ind w:left="860" w:firstLine="798"/>
        <w:spacing w:after="0" w:line="263" w:lineRule="auto"/>
        <w:rPr>
          <w:sz w:val="20"/>
          <w:szCs w:val="20"/>
          <w:color w:val="auto"/>
        </w:rPr>
      </w:pPr>
      <w:r>
        <w:rPr>
          <w:rFonts w:ascii="Arial" w:cs="Arial" w:eastAsia="Arial" w:hAnsi="Arial"/>
          <w:sz w:val="18"/>
          <w:szCs w:val="18"/>
          <w:color w:val="auto"/>
        </w:rPr>
        <w:t>(A)Not in Connection with a Change in Control. In the event that the Executive’s employment with the Corporation and its Affiliates terminates during the term of this Agreement and such termination does not occur coincident with or within one year following a Change in Control, the terms of this Paragraph (A) of Section 4 shall apply.</w:t>
      </w:r>
    </w:p>
    <w:p>
      <w:pPr>
        <w:spacing w:after="0" w:line="184" w:lineRule="exact"/>
        <w:rPr>
          <w:sz w:val="20"/>
          <w:szCs w:val="20"/>
          <w:color w:val="auto"/>
        </w:rPr>
      </w:pPr>
    </w:p>
    <w:p>
      <w:pPr>
        <w:jc w:val="both"/>
        <w:ind w:left="860" w:firstLine="798"/>
        <w:spacing w:after="0" w:line="259" w:lineRule="auto"/>
        <w:rPr>
          <w:sz w:val="20"/>
          <w:szCs w:val="20"/>
          <w:color w:val="auto"/>
        </w:rPr>
      </w:pPr>
      <w:r>
        <w:rPr>
          <w:rFonts w:ascii="Arial" w:cs="Arial" w:eastAsia="Arial" w:hAnsi="Arial"/>
          <w:sz w:val="18"/>
          <w:szCs w:val="18"/>
          <w:color w:val="auto"/>
        </w:rPr>
        <w:t>(i)By the Corporation for Cause or by Executive without Good Reason. f the Corporation terminates Executive’s employment for Cause or Executive terminates his or her employment with the Corporation without Good Reason, then the Corporation shall pay to Executive Executive’s base salary and any accrued vacation pay through the Date of Termination to the extent not theretofore paid, and such amount shall be paid in a lump sum within 30 days following the Date of Termination.</w:t>
      </w:r>
    </w:p>
    <w:p>
      <w:pPr>
        <w:spacing w:after="0" w:line="187" w:lineRule="exact"/>
        <w:rPr>
          <w:sz w:val="20"/>
          <w:szCs w:val="20"/>
          <w:color w:val="auto"/>
        </w:rPr>
      </w:pPr>
    </w:p>
    <w:p>
      <w:pPr>
        <w:jc w:val="both"/>
        <w:ind w:left="860" w:firstLine="798"/>
        <w:spacing w:after="0" w:line="342" w:lineRule="auto"/>
        <w:rPr>
          <w:sz w:val="20"/>
          <w:szCs w:val="20"/>
          <w:color w:val="auto"/>
        </w:rPr>
      </w:pPr>
      <w:r>
        <w:rPr>
          <w:rFonts w:ascii="Arial" w:cs="Arial" w:eastAsia="Arial" w:hAnsi="Arial"/>
          <w:sz w:val="16"/>
          <w:szCs w:val="16"/>
          <w:color w:val="auto"/>
        </w:rPr>
        <w:t>(ii)By the Corporation not for Cause or by Executive with Good Reason. If the Corporation terminates Executive’s employment not for Cause or Executive terminates his or her employment with the Corporation with Good Reason, then the Corporation shall pay to Executive:</w:t>
      </w:r>
    </w:p>
    <w:p>
      <w:pPr>
        <w:spacing w:after="0" w:line="124" w:lineRule="exact"/>
        <w:rPr>
          <w:sz w:val="20"/>
          <w:szCs w:val="20"/>
          <w:color w:val="auto"/>
        </w:rPr>
      </w:pPr>
    </w:p>
    <w:p>
      <w:pPr>
        <w:ind w:left="1700" w:firstLine="733"/>
        <w:spacing w:after="0" w:line="277" w:lineRule="auto"/>
        <w:rPr>
          <w:sz w:val="20"/>
          <w:szCs w:val="20"/>
          <w:color w:val="auto"/>
        </w:rPr>
      </w:pPr>
      <w:r>
        <w:rPr>
          <w:rFonts w:ascii="Arial" w:cs="Arial" w:eastAsia="Arial" w:hAnsi="Arial"/>
          <w:sz w:val="18"/>
          <w:szCs w:val="18"/>
          <w:color w:val="auto"/>
        </w:rPr>
        <w:t>(a)Executive’s base salary and any accrued vacation pay through the Date of Termination to the extent not theretofore paid and such amount shall be paid in a lump sum within 30 days following the Date of Termination;</w:t>
      </w:r>
    </w:p>
    <w:p>
      <w:pPr>
        <w:spacing w:after="0" w:line="170" w:lineRule="exact"/>
        <w:rPr>
          <w:sz w:val="20"/>
          <w:szCs w:val="20"/>
          <w:color w:val="auto"/>
        </w:rPr>
      </w:pPr>
    </w:p>
    <w:p>
      <w:pPr>
        <w:jc w:val="both"/>
        <w:ind w:left="1700" w:firstLine="733"/>
        <w:spacing w:after="0" w:line="279" w:lineRule="auto"/>
        <w:rPr>
          <w:sz w:val="20"/>
          <w:szCs w:val="20"/>
          <w:color w:val="auto"/>
        </w:rPr>
      </w:pPr>
      <w:r>
        <w:rPr>
          <w:rFonts w:ascii="Arial" w:cs="Arial" w:eastAsia="Arial" w:hAnsi="Arial"/>
          <w:sz w:val="17"/>
          <w:szCs w:val="17"/>
          <w:color w:val="auto"/>
        </w:rPr>
        <w:t>(b)within (I) 30 days following the Date of Termination or (II) any earlier date as required by the Annual Incentive Plan, and subject to Sections 7 and 10 of this Agreement, the amount of any incentive compensation that has been allocated to, accrued to, earned by, or awarded to Executive for a completed fiscal year or other completed measuring period preceding the occurrence of the Date of Termination under any incentive compensation plan that has not yet been paid to Executive;</w:t>
      </w:r>
    </w:p>
    <w:p>
      <w:pPr>
        <w:spacing w:after="0" w:line="171" w:lineRule="exact"/>
        <w:rPr>
          <w:sz w:val="20"/>
          <w:szCs w:val="20"/>
          <w:color w:val="auto"/>
        </w:rPr>
      </w:pPr>
    </w:p>
    <w:p>
      <w:pPr>
        <w:jc w:val="both"/>
        <w:ind w:left="1700" w:firstLine="733"/>
        <w:spacing w:after="0" w:line="272" w:lineRule="auto"/>
        <w:rPr>
          <w:sz w:val="20"/>
          <w:szCs w:val="20"/>
          <w:color w:val="auto"/>
        </w:rPr>
      </w:pPr>
      <w:r>
        <w:rPr>
          <w:rFonts w:ascii="Arial" w:cs="Arial" w:eastAsia="Arial" w:hAnsi="Arial"/>
          <w:sz w:val="17"/>
          <w:szCs w:val="17"/>
          <w:color w:val="auto"/>
        </w:rPr>
        <w:t>(c)Commencing on the first payroll date on or immediately following the 60th day following the Date of Termination, subject to Sections 7 and 10 of this Agreement, the Corporation shall pay to Executive an amount equal to the product of: (I) 1.5 (one and one-half) multiplied by (II) the sum of (x) Executive’s annual base salary in effect on the Date of Termination and (y) the average of the bonus payments paid to Executive under an Annual Incentive Plan during the three years (or lesser period if the Executive has been employed fewer than three full fiscal years) preceding the year in which the Date of Termination occurs. This amount will be paid to Executive in equal installments over a period of 1 year. Such installment payments will be made to Executive in accordance with the Corporation’s customary payroll practices; and</w:t>
      </w:r>
    </w:p>
    <w:p>
      <w:pPr>
        <w:spacing w:after="0" w:line="177" w:lineRule="exact"/>
        <w:rPr>
          <w:sz w:val="20"/>
          <w:szCs w:val="20"/>
          <w:color w:val="auto"/>
        </w:rPr>
      </w:pPr>
    </w:p>
    <w:p>
      <w:pPr>
        <w:jc w:val="both"/>
        <w:ind w:left="1700" w:hanging="784"/>
        <w:spacing w:after="0" w:line="254" w:lineRule="auto"/>
        <w:tabs>
          <w:tab w:leader="none" w:pos="1680" w:val="left"/>
        </w:tabs>
        <w:rPr>
          <w:sz w:val="20"/>
          <w:szCs w:val="20"/>
          <w:color w:val="auto"/>
        </w:rPr>
      </w:pPr>
      <w:r>
        <w:rPr>
          <w:rFonts w:ascii="Arial" w:cs="Arial" w:eastAsia="Arial" w:hAnsi="Arial"/>
          <w:sz w:val="18"/>
          <w:szCs w:val="18"/>
          <w:color w:val="auto"/>
        </w:rPr>
        <w:t>(d)</w:t>
      </w:r>
      <w:r>
        <w:rPr>
          <w:sz w:val="20"/>
          <w:szCs w:val="20"/>
          <w:color w:val="auto"/>
        </w:rPr>
        <w:tab/>
      </w:r>
      <w:r>
        <w:rPr>
          <w:rFonts w:ascii="Arial" w:cs="Arial" w:eastAsia="Arial" w:hAnsi="Arial"/>
          <w:sz w:val="18"/>
          <w:szCs w:val="18"/>
          <w:color w:val="auto"/>
        </w:rPr>
        <w:t>Commencing on the first payroll date on or immediately following the 60th day following the Date of Termination and continuing for a period of 1 year, and subject to Sections 7 and 10 of this Agreement the Corporation shall pay to Executive, in equal installments over the course of the applicable payment period, an amount equal to the product of (I) Executive’s monthly premium for health, vision and dental insurance continuation coverage for Executive and Executive’s family under the Consolidated Omnibus Budget Reconciliation Act of 1985, based on the monthly premium rate for such coverage in effect on the Date of Termination, multiplied by (II) 12 months. The installment payments will be made to Executive in accordance with the Corporation’s customary payroll practices.</w:t>
      </w:r>
    </w:p>
    <w:p>
      <w:pPr>
        <w:spacing w:after="0" w:line="195" w:lineRule="exact"/>
        <w:rPr>
          <w:sz w:val="20"/>
          <w:szCs w:val="20"/>
          <w:color w:val="auto"/>
        </w:rPr>
      </w:pPr>
    </w:p>
    <w:p>
      <w:pPr>
        <w:jc w:val="both"/>
        <w:ind w:left="860" w:firstLine="798"/>
        <w:spacing w:after="0" w:line="263" w:lineRule="auto"/>
        <w:rPr>
          <w:sz w:val="20"/>
          <w:szCs w:val="20"/>
          <w:color w:val="auto"/>
        </w:rPr>
      </w:pPr>
      <w:r>
        <w:rPr>
          <w:rFonts w:ascii="Arial" w:cs="Arial" w:eastAsia="Arial" w:hAnsi="Arial"/>
          <w:sz w:val="18"/>
          <w:szCs w:val="18"/>
          <w:color w:val="auto"/>
        </w:rPr>
        <w:t>(B)Coincident with or within one year following a Change in Control. In the event that Executive’s employment with the Corporation and its Affiliates terminates during the term of this Agreement and such termination occurs coincident with or within one year following a Change in Control, the terms of this Paragraph (B) of Section 4 shall apply:</w:t>
      </w:r>
    </w:p>
    <w:p>
      <w:pPr>
        <w:spacing w:after="0" w:line="343" w:lineRule="exact"/>
        <w:rPr>
          <w:sz w:val="20"/>
          <w:szCs w:val="20"/>
          <w:color w:val="auto"/>
        </w:rPr>
      </w:pPr>
    </w:p>
    <w:p>
      <w:pPr>
        <w:ind w:left="880"/>
        <w:spacing w:after="0"/>
        <w:rPr>
          <w:sz w:val="20"/>
          <w:szCs w:val="20"/>
          <w:color w:val="auto"/>
        </w:rPr>
      </w:pPr>
      <w:r>
        <w:rPr>
          <w:rFonts w:ascii="Arial" w:cs="Arial" w:eastAsia="Arial" w:hAnsi="Arial"/>
          <w:sz w:val="22"/>
          <w:szCs w:val="22"/>
          <w:color w:val="auto"/>
        </w:rPr>
        <w:t>4</w:t>
      </w:r>
    </w:p>
    <w:p>
      <w:pPr>
        <w:spacing w:after="0"/>
        <w:rPr>
          <w:sz w:val="20"/>
          <w:szCs w:val="20"/>
          <w:color w:val="auto"/>
        </w:rPr>
      </w:pPr>
      <w:r>
        <w:rPr>
          <w:rFonts w:ascii="Arial" w:cs="Arial" w:eastAsia="Arial" w:hAnsi="Arial"/>
          <w:sz w:val="14"/>
          <w:szCs w:val="14"/>
          <w:color w:val="auto"/>
        </w:rPr>
        <w:t>4871-5083-7000.3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60960</wp:posOffset>
            </wp:positionV>
            <wp:extent cx="7174865" cy="425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355" w:right="339" w:bottom="1440" w:gutter="0" w:footer="0" w:header="0"/>
        </w:sectPr>
      </w:pPr>
    </w:p>
    <w:bookmarkStart w:id="50" w:name="page51"/>
    <w:bookmarkEnd w:id="50"/>
    <w:p>
      <w:pPr>
        <w:jc w:val="both"/>
        <w:ind w:left="860" w:firstLine="798"/>
        <w:spacing w:after="0" w:line="259" w:lineRule="auto"/>
        <w:rPr>
          <w:sz w:val="20"/>
          <w:szCs w:val="20"/>
          <w:color w:val="auto"/>
        </w:rPr>
      </w:pPr>
      <w:r>
        <w:rPr>
          <w:rFonts w:ascii="Arial" w:cs="Arial" w:eastAsia="Arial" w:hAnsi="Arial"/>
          <w:sz w:val="18"/>
          <w:szCs w:val="18"/>
          <w:color w:val="auto"/>
        </w:rPr>
        <w:t>(i)By the Corporation for Cause or by Executive without Good Reason. If the Corporation terminates Executive’s employment for Cause or Executive terminates his or her employment without Good Reason, then the Corporation shall pay to Executive Executive’s base salary and any accrued vacation pay through the Date of Termination to the extent not theretofore paid, and such amount shall be paid in a lump sum within 30 days following the Date of Termination.</w:t>
      </w:r>
    </w:p>
    <w:p>
      <w:pPr>
        <w:spacing w:after="0" w:line="187" w:lineRule="exact"/>
        <w:rPr>
          <w:sz w:val="20"/>
          <w:szCs w:val="20"/>
          <w:color w:val="auto"/>
        </w:rPr>
      </w:pPr>
    </w:p>
    <w:p>
      <w:pPr>
        <w:jc w:val="both"/>
        <w:ind w:left="860" w:right="20" w:firstLine="798"/>
        <w:spacing w:after="0" w:line="277" w:lineRule="auto"/>
        <w:rPr>
          <w:sz w:val="20"/>
          <w:szCs w:val="20"/>
          <w:color w:val="auto"/>
        </w:rPr>
      </w:pPr>
      <w:r>
        <w:rPr>
          <w:rFonts w:ascii="Arial" w:cs="Arial" w:eastAsia="Arial" w:hAnsi="Arial"/>
          <w:sz w:val="18"/>
          <w:szCs w:val="18"/>
          <w:color w:val="auto"/>
        </w:rPr>
        <w:t>(ii)Upon the occurrence of a Payment Trigger. If a Payment Trigger occurs during the term of this Agreement, then the Corporation shall provide to Executive:</w:t>
      </w:r>
    </w:p>
    <w:p>
      <w:pPr>
        <w:spacing w:after="0" w:line="170" w:lineRule="exact"/>
        <w:rPr>
          <w:sz w:val="20"/>
          <w:szCs w:val="20"/>
          <w:color w:val="auto"/>
        </w:rPr>
      </w:pPr>
    </w:p>
    <w:p>
      <w:pPr>
        <w:jc w:val="both"/>
        <w:ind w:left="1700" w:firstLine="733"/>
        <w:spacing w:after="0" w:line="277" w:lineRule="auto"/>
        <w:rPr>
          <w:sz w:val="20"/>
          <w:szCs w:val="20"/>
          <w:color w:val="auto"/>
        </w:rPr>
      </w:pPr>
      <w:r>
        <w:rPr>
          <w:rFonts w:ascii="Arial" w:cs="Arial" w:eastAsia="Arial" w:hAnsi="Arial"/>
          <w:sz w:val="18"/>
          <w:szCs w:val="18"/>
          <w:color w:val="auto"/>
        </w:rPr>
        <w:t>(a)within 30 days following the Date of Termination, Executive’s base salary and accrued vacation pay through the Date of Termination to the extent not theretofore paid;</w:t>
      </w:r>
    </w:p>
    <w:p>
      <w:pPr>
        <w:spacing w:after="0" w:line="170" w:lineRule="exact"/>
        <w:rPr>
          <w:sz w:val="20"/>
          <w:szCs w:val="20"/>
          <w:color w:val="auto"/>
        </w:rPr>
      </w:pPr>
    </w:p>
    <w:p>
      <w:pPr>
        <w:jc w:val="both"/>
        <w:ind w:left="1700" w:firstLine="733"/>
        <w:spacing w:after="0" w:line="279" w:lineRule="auto"/>
        <w:rPr>
          <w:sz w:val="20"/>
          <w:szCs w:val="20"/>
          <w:color w:val="auto"/>
        </w:rPr>
      </w:pPr>
      <w:r>
        <w:rPr>
          <w:rFonts w:ascii="Arial" w:cs="Arial" w:eastAsia="Arial" w:hAnsi="Arial"/>
          <w:sz w:val="17"/>
          <w:szCs w:val="17"/>
          <w:color w:val="auto"/>
        </w:rPr>
        <w:t>(b)within (I) 30 days following the Date of Termination or (II) any earlier date as required by the Annual Incentive Plan, and subject to Sections 7 and 10 of this Agreement, the amount of any incentive compensation that has been allocated to, accrued to, earned by, or awarded to Executive for a completed fiscal year or other completed measuring period preceding the occurrence of the Date of Termination under any incentive compensation plan that has not yet been paid to Executive;</w:t>
      </w:r>
    </w:p>
    <w:p>
      <w:pPr>
        <w:spacing w:after="0" w:line="171" w:lineRule="exact"/>
        <w:rPr>
          <w:sz w:val="20"/>
          <w:szCs w:val="20"/>
          <w:color w:val="auto"/>
        </w:rPr>
      </w:pPr>
    </w:p>
    <w:p>
      <w:pPr>
        <w:jc w:val="both"/>
        <w:ind w:left="1700" w:firstLine="733"/>
        <w:spacing w:after="0" w:line="255" w:lineRule="auto"/>
        <w:rPr>
          <w:sz w:val="20"/>
          <w:szCs w:val="20"/>
          <w:color w:val="auto"/>
        </w:rPr>
      </w:pPr>
      <w:r>
        <w:rPr>
          <w:rFonts w:ascii="Arial" w:cs="Arial" w:eastAsia="Arial" w:hAnsi="Arial"/>
          <w:sz w:val="18"/>
          <w:szCs w:val="18"/>
          <w:color w:val="auto"/>
        </w:rPr>
        <w:t>(c)within (I) the 30-day period commencing on the 60th day following the Date of Termination, or (II) such later period as required by Section 6, and subject to Sections 7 and 10 of this Agreement, a lump sum payment equal to the product of (x) the Annual Incentive Target in effect immediately prior to the Payment Trigger and (y) a fraction, the numerator of which is the number of calendar days in the current fiscal year through the Date of Termination, and the denominator of which is 365, reduced by the amount, if any, paid to Executive under the Annual Incentive Plan’s terms with respect to the fiscal year during which the Date of Termination occurs;</w:t>
      </w:r>
    </w:p>
    <w:p>
      <w:pPr>
        <w:spacing w:after="0" w:line="192" w:lineRule="exact"/>
        <w:rPr>
          <w:sz w:val="20"/>
          <w:szCs w:val="20"/>
          <w:color w:val="auto"/>
        </w:rPr>
      </w:pPr>
    </w:p>
    <w:p>
      <w:pPr>
        <w:jc w:val="both"/>
        <w:ind w:left="1700" w:firstLine="733"/>
        <w:spacing w:after="0" w:line="253" w:lineRule="auto"/>
        <w:rPr>
          <w:sz w:val="20"/>
          <w:szCs w:val="20"/>
          <w:color w:val="auto"/>
        </w:rPr>
      </w:pPr>
      <w:r>
        <w:rPr>
          <w:rFonts w:ascii="Arial" w:cs="Arial" w:eastAsia="Arial" w:hAnsi="Arial"/>
          <w:sz w:val="18"/>
          <w:szCs w:val="18"/>
          <w:color w:val="auto"/>
        </w:rPr>
        <w:t>(d)Commencing on the first payroll date on or immediately following the 60th day following the Date of Termination and continuing for a period of 1 year, or within such other period as required by Section 6, and subject to Sections 7 and 10 of this Agreement, the Corporation shall pay to Executive, in equal installments over the course of the applicable payment period, an amount equal to the product of: (I) two multiplied by, (II) the sum of: (x) the higher of (1) Executive’s annual base salary in effect immediately prior to the occurrence of the Change in Control and (2) Executive’s annual base salary in effect immediately prior to the Payment Trigger; and (y) the average of the bonus payments paid to Executive under an Annual Incentive Plan during the three years (or lesser period if the Executive has been employed fewer than three full fiscal years) preceding the year in which the Date of Termination occurs. The installment payments will be made to Executive in accordance with the Corporation’s customary payroll practices;</w:t>
      </w:r>
    </w:p>
    <w:p>
      <w:pPr>
        <w:spacing w:after="0" w:line="196" w:lineRule="exact"/>
        <w:rPr>
          <w:sz w:val="20"/>
          <w:szCs w:val="20"/>
          <w:color w:val="auto"/>
        </w:rPr>
      </w:pPr>
    </w:p>
    <w:p>
      <w:pPr>
        <w:jc w:val="both"/>
        <w:ind w:left="1700" w:firstLine="733"/>
        <w:spacing w:after="0" w:line="254" w:lineRule="auto"/>
        <w:rPr>
          <w:sz w:val="20"/>
          <w:szCs w:val="20"/>
          <w:color w:val="auto"/>
        </w:rPr>
      </w:pPr>
      <w:r>
        <w:rPr>
          <w:rFonts w:ascii="Arial" w:cs="Arial" w:eastAsia="Arial" w:hAnsi="Arial"/>
          <w:sz w:val="18"/>
          <w:szCs w:val="18"/>
          <w:color w:val="auto"/>
        </w:rPr>
        <w:t>(e)Commencing on the first payroll date on or immediately following the 60th day following the Date of Termination and continuing for a period of 1 year, and subject to Sections 7 and 10 of this Agreement, the Corporation shall pay to Executive, in equal installments over the course of the applicable payment period, an amount equal to the product of (I) Executive’s monthly premium for health, vision and dental insurance continuation coverage for Executive and Executive’s family under the Consolidated Omnibus Budget Reconciliation Act of 1985, based on the monthly premium rate for such coverage in effect on the Date of Termination, multiplied by (II) 24 months. The installment payments will be made to Executive in accordance with the Corporation’s customary payroll practices; and</w:t>
      </w:r>
    </w:p>
    <w:p>
      <w:pPr>
        <w:spacing w:after="0" w:line="195" w:lineRule="exact"/>
        <w:rPr>
          <w:sz w:val="20"/>
          <w:szCs w:val="20"/>
          <w:color w:val="auto"/>
        </w:rPr>
      </w:pPr>
    </w:p>
    <w:p>
      <w:pPr>
        <w:jc w:val="both"/>
        <w:ind w:left="1700" w:firstLine="733"/>
        <w:spacing w:after="0" w:line="301" w:lineRule="auto"/>
        <w:rPr>
          <w:sz w:val="20"/>
          <w:szCs w:val="20"/>
          <w:color w:val="auto"/>
        </w:rPr>
      </w:pPr>
      <w:r>
        <w:rPr>
          <w:rFonts w:ascii="Arial" w:cs="Arial" w:eastAsia="Arial" w:hAnsi="Arial"/>
          <w:sz w:val="16"/>
          <w:szCs w:val="16"/>
          <w:color w:val="auto"/>
        </w:rPr>
        <w:t>(f)subject to Sections 7 and 10 of this Agreement, up to $25,000 for executive transition/outplacement services received by Executive (I) prior to the expiration of the Non-Interference / Assistance Period (II) through a third party professional provider of such services identified and retained by Executive. Such payment will be paid directly to such third-party provider by the Corporation promptly following its receipt of an invoice from such provider confirming the provision of such services to Executive.</w:t>
      </w:r>
    </w:p>
    <w:p>
      <w:pPr>
        <w:spacing w:after="0" w:line="317" w:lineRule="exact"/>
        <w:rPr>
          <w:sz w:val="20"/>
          <w:szCs w:val="20"/>
          <w:color w:val="auto"/>
        </w:rPr>
      </w:pPr>
    </w:p>
    <w:p>
      <w:pPr>
        <w:ind w:left="880"/>
        <w:spacing w:after="0"/>
        <w:rPr>
          <w:sz w:val="20"/>
          <w:szCs w:val="20"/>
          <w:color w:val="auto"/>
        </w:rPr>
      </w:pPr>
      <w:r>
        <w:rPr>
          <w:rFonts w:ascii="Arial" w:cs="Arial" w:eastAsia="Arial" w:hAnsi="Arial"/>
          <w:sz w:val="22"/>
          <w:szCs w:val="22"/>
          <w:color w:val="auto"/>
        </w:rPr>
        <w:t>5</w:t>
      </w:r>
    </w:p>
    <w:p>
      <w:pPr>
        <w:spacing w:after="0"/>
        <w:rPr>
          <w:sz w:val="20"/>
          <w:szCs w:val="20"/>
          <w:color w:val="auto"/>
        </w:rPr>
      </w:pPr>
      <w:r>
        <w:rPr>
          <w:rFonts w:ascii="Arial" w:cs="Arial" w:eastAsia="Arial" w:hAnsi="Arial"/>
          <w:sz w:val="14"/>
          <w:szCs w:val="14"/>
          <w:color w:val="auto"/>
        </w:rPr>
        <w:t>4871-5083-7000.3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60960</wp:posOffset>
            </wp:positionV>
            <wp:extent cx="7174865" cy="425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51" w:name="page52"/>
    <w:bookmarkEnd w:id="51"/>
    <w:p>
      <w:pPr>
        <w:jc w:val="both"/>
        <w:ind w:left="860" w:firstLine="798"/>
        <w:spacing w:after="0" w:line="293" w:lineRule="auto"/>
        <w:rPr>
          <w:sz w:val="20"/>
          <w:szCs w:val="20"/>
          <w:color w:val="auto"/>
        </w:rPr>
      </w:pPr>
      <w:r>
        <w:rPr>
          <w:rFonts w:ascii="Arial" w:cs="Arial" w:eastAsia="Arial" w:hAnsi="Arial"/>
          <w:sz w:val="16"/>
          <w:szCs w:val="16"/>
          <w:color w:val="auto"/>
        </w:rPr>
        <w:t>(C)</w:t>
      </w:r>
      <w:r>
        <w:rPr>
          <w:rFonts w:ascii="Arial" w:cs="Arial" w:eastAsia="Arial" w:hAnsi="Arial"/>
          <w:sz w:val="16"/>
          <w:szCs w:val="16"/>
          <w:u w:val="single" w:color="auto"/>
          <w:color w:val="auto"/>
        </w:rPr>
        <w:t>Death or Disability</w:t>
      </w:r>
      <w:r>
        <w:rPr>
          <w:rFonts w:ascii="Arial" w:cs="Arial" w:eastAsia="Arial" w:hAnsi="Arial"/>
          <w:sz w:val="16"/>
          <w:szCs w:val="16"/>
          <w:color w:val="auto"/>
        </w:rPr>
        <w:t>. If Executive’s employment terminates as a result of Executive’s death or Disability, then the Corporation shall pay to Executive or Executive’s estate, as appropriate: (I) Executive’s base salary and any accrued vacation pay through the Date of Termination to the extent not theretofore paid; (II) the amount of any incentive compensation that has been allocated to, accrued to, earned by or awarded to Executive for a completed fiscal year or other completed measuring period preceding the occurrence of the Date of Termination under any incentive compensation plan that has not yet been paid to Executive (III) one (1) times the Executive’s annual base salary in effect on the Date of Termination. Such payments shall be made in a lump sum within 30 days following the Date of Termination.</w:t>
      </w:r>
    </w:p>
    <w:p>
      <w:pPr>
        <w:spacing w:after="0" w:line="164" w:lineRule="exact"/>
        <w:rPr>
          <w:sz w:val="20"/>
          <w:szCs w:val="20"/>
          <w:color w:val="auto"/>
        </w:rPr>
      </w:pPr>
    </w:p>
    <w:p>
      <w:pPr>
        <w:jc w:val="both"/>
        <w:ind w:left="860" w:firstLine="798"/>
        <w:spacing w:after="0" w:line="218" w:lineRule="exact"/>
        <w:rPr>
          <w:sz w:val="20"/>
          <w:szCs w:val="20"/>
          <w:color w:val="auto"/>
        </w:rPr>
      </w:pPr>
      <w:r>
        <w:rPr>
          <w:rFonts w:ascii="Arial" w:cs="Arial" w:eastAsia="Arial" w:hAnsi="Arial"/>
          <w:sz w:val="18"/>
          <w:szCs w:val="18"/>
          <w:color w:val="auto"/>
        </w:rPr>
        <w:t>(D)</w:t>
      </w:r>
      <w:r>
        <w:rPr>
          <w:rFonts w:ascii="Arial" w:cs="Arial" w:eastAsia="Arial" w:hAnsi="Arial"/>
          <w:sz w:val="18"/>
          <w:szCs w:val="18"/>
          <w:u w:val="single" w:color="auto"/>
          <w:color w:val="auto"/>
        </w:rPr>
        <w:t>Exclusive Severance Benefit</w:t>
      </w:r>
      <w:r>
        <w:rPr>
          <w:rFonts w:ascii="Arial" w:cs="Arial" w:eastAsia="Arial" w:hAnsi="Arial"/>
          <w:sz w:val="18"/>
          <w:szCs w:val="18"/>
          <w:color w:val="auto"/>
        </w:rPr>
        <w:t>. Notwithstanding the foregoing provisions of this Article 4, and except as specifically provided below, any severance payments or benefits received by Executive pursuant to this Agreement shall be in lieu of any benefits under the Uniti Group Inc. Severance Program or any other severance or reduction</w:t>
      </w:r>
      <w:r>
        <w:rPr>
          <w:rFonts w:ascii="MS PGothic" w:cs="MS PGothic" w:eastAsia="MS PGothic" w:hAnsi="MS PGothic"/>
          <w:sz w:val="18"/>
          <w:szCs w:val="18"/>
          <w:color w:val="auto"/>
        </w:rPr>
        <w:t>‑</w:t>
      </w:r>
      <w:r>
        <w:rPr>
          <w:rFonts w:ascii="Arial" w:cs="Arial" w:eastAsia="Arial" w:hAnsi="Arial"/>
          <w:sz w:val="18"/>
          <w:szCs w:val="18"/>
          <w:color w:val="auto"/>
        </w:rPr>
        <w:t>in</w:t>
      </w:r>
      <w:r>
        <w:rPr>
          <w:rFonts w:ascii="MS PGothic" w:cs="MS PGothic" w:eastAsia="MS PGothic" w:hAnsi="MS PGothic"/>
          <w:sz w:val="18"/>
          <w:szCs w:val="18"/>
          <w:color w:val="auto"/>
        </w:rPr>
        <w:t>‑</w:t>
      </w:r>
      <w:r>
        <w:rPr>
          <w:rFonts w:ascii="Arial" w:cs="Arial" w:eastAsia="Arial" w:hAnsi="Arial"/>
          <w:sz w:val="18"/>
          <w:szCs w:val="18"/>
          <w:color w:val="auto"/>
        </w:rPr>
        <w:t>force plan, program, policy, agreement or arrangement maintained by the Corporation or an Affiliate (not including an equity award agreement, retirement or deferred compensation plan or similar plan or agreement which may contain provisions operative on a termination of Executive’s employment or which may incidentally refer to accelerated vesting or accelerated payment upon a termination of employment) and in lieu of any severance or separation pay benefit that may be required under applicable law.</w:t>
      </w:r>
    </w:p>
    <w:p>
      <w:pPr>
        <w:spacing w:after="0" w:line="207" w:lineRule="exact"/>
        <w:rPr>
          <w:sz w:val="20"/>
          <w:szCs w:val="20"/>
          <w:color w:val="auto"/>
        </w:rPr>
      </w:pPr>
    </w:p>
    <w:p>
      <w:pPr>
        <w:ind w:left="80"/>
        <w:spacing w:after="0"/>
        <w:tabs>
          <w:tab w:leader="none" w:pos="1640" w:val="left"/>
        </w:tabs>
        <w:rPr>
          <w:sz w:val="20"/>
          <w:szCs w:val="20"/>
          <w:color w:val="auto"/>
        </w:rPr>
      </w:pPr>
      <w:r>
        <w:rPr>
          <w:rFonts w:ascii="Arial" w:cs="Arial" w:eastAsia="Arial" w:hAnsi="Arial"/>
          <w:sz w:val="18"/>
          <w:szCs w:val="18"/>
          <w:color w:val="auto"/>
        </w:rPr>
        <w:t>5.</w:t>
      </w:r>
      <w:r>
        <w:rPr>
          <w:sz w:val="20"/>
          <w:szCs w:val="20"/>
          <w:color w:val="auto"/>
        </w:rPr>
        <w:tab/>
      </w:r>
      <w:r>
        <w:rPr>
          <w:rFonts w:ascii="Arial" w:cs="Arial" w:eastAsia="Arial" w:hAnsi="Arial"/>
          <w:sz w:val="18"/>
          <w:szCs w:val="18"/>
          <w:u w:val="single" w:color="auto"/>
          <w:color w:val="auto"/>
        </w:rPr>
        <w:t>Certain Reductions in Change in Control Payments</w:t>
      </w:r>
      <w:r>
        <w:rPr>
          <w:rFonts w:ascii="Arial" w:cs="Arial" w:eastAsia="Arial" w:hAnsi="Arial"/>
          <w:sz w:val="18"/>
          <w:szCs w:val="18"/>
          <w:color w:val="auto"/>
        </w:rPr>
        <w:t>.</w:t>
      </w:r>
    </w:p>
    <w:p>
      <w:pPr>
        <w:spacing w:after="0" w:line="225" w:lineRule="exact"/>
        <w:rPr>
          <w:sz w:val="20"/>
          <w:szCs w:val="20"/>
          <w:color w:val="auto"/>
        </w:rPr>
      </w:pPr>
    </w:p>
    <w:p>
      <w:pPr>
        <w:jc w:val="both"/>
        <w:ind w:left="860" w:firstLine="798"/>
        <w:spacing w:after="0" w:line="257" w:lineRule="auto"/>
        <w:rPr>
          <w:sz w:val="20"/>
          <w:szCs w:val="20"/>
          <w:color w:val="auto"/>
        </w:rPr>
      </w:pPr>
      <w:r>
        <w:rPr>
          <w:rFonts w:ascii="Arial" w:cs="Arial" w:eastAsia="Arial" w:hAnsi="Arial"/>
          <w:sz w:val="18"/>
          <w:szCs w:val="18"/>
          <w:color w:val="auto"/>
        </w:rPr>
        <w:t>(A)In the event that the Accounting Firm determines that any Change in Control Payment to Executive would be subject to the Excise Tax, the Accounting Firm shall determine, in accordance with the following restrictions, whether to reduce the aggregate amount of the Change in Control Payments payable to Executive to the Reduced Amount. For clarity, the Change in Control Payments shall be reduced to the Reduced Amount only if the Accounting Firm determines that Executive would receive a greater Net After-Tax Benefit if Executive’s Change in Control Payments were reduced to the Reduced Amount.</w:t>
      </w:r>
    </w:p>
    <w:p>
      <w:pPr>
        <w:spacing w:after="0" w:line="188" w:lineRule="exact"/>
        <w:rPr>
          <w:sz w:val="20"/>
          <w:szCs w:val="20"/>
          <w:color w:val="auto"/>
        </w:rPr>
      </w:pPr>
    </w:p>
    <w:p>
      <w:pPr>
        <w:jc w:val="both"/>
        <w:ind w:left="860" w:firstLine="798"/>
        <w:spacing w:after="0" w:line="254" w:lineRule="auto"/>
        <w:rPr>
          <w:sz w:val="20"/>
          <w:szCs w:val="20"/>
          <w:color w:val="auto"/>
        </w:rPr>
      </w:pPr>
      <w:r>
        <w:rPr>
          <w:rFonts w:ascii="Arial" w:cs="Arial" w:eastAsia="Arial" w:hAnsi="Arial"/>
          <w:sz w:val="18"/>
          <w:szCs w:val="18"/>
          <w:color w:val="auto"/>
        </w:rPr>
        <w:t>(B)If the Accounting Firm determines that the aggregate Change in Control Payments otherwise payable to Executive should be reduced to the Reduced Amount in accordance with Section 5(A), the Corporation shall promptly notify Executive to that effect and provide Executive a copy of the detailed calculation thereof. All determinations made by the Accounting Firm under this Section 5 shall be binding upon the Corporation and Executive and shall be made within 30 business days after termination of Executive’s employment. The reduction of Executive’s Change in Control Payments to the Reduced Amount, if applicable, shall be made by reducing the Change in Control Payments under the following Paragraphs of Section 4 (and no other Change in Control Payments) in the following order: (i) Paragraph (B)(ii)(d), (ii) Paragraph (B)(ii)(c), (iii) Paragraph (B)(ii)(e), and (iv) Paragraph (B)(ii)(f). All fees and expenses of the Accounting Firm pursuant to this Section 5 shall be borne solely by the Corporation.</w:t>
      </w:r>
    </w:p>
    <w:p>
      <w:pPr>
        <w:spacing w:after="0" w:line="192" w:lineRule="exact"/>
        <w:rPr>
          <w:sz w:val="20"/>
          <w:szCs w:val="20"/>
          <w:color w:val="auto"/>
        </w:rPr>
      </w:pPr>
    </w:p>
    <w:p>
      <w:pPr>
        <w:ind w:left="1660"/>
        <w:spacing w:after="0"/>
        <w:rPr>
          <w:sz w:val="20"/>
          <w:szCs w:val="20"/>
          <w:color w:val="auto"/>
        </w:rPr>
      </w:pPr>
      <w:r>
        <w:rPr>
          <w:rFonts w:ascii="Arial" w:cs="Arial" w:eastAsia="Arial" w:hAnsi="Arial"/>
          <w:sz w:val="18"/>
          <w:szCs w:val="18"/>
          <w:color w:val="auto"/>
        </w:rPr>
        <w:t>(C)The following terms have the following meanings for purposes of this Section 5:</w:t>
      </w:r>
    </w:p>
    <w:p>
      <w:pPr>
        <w:spacing w:after="0" w:line="225" w:lineRule="exact"/>
        <w:rPr>
          <w:sz w:val="20"/>
          <w:szCs w:val="20"/>
          <w:color w:val="auto"/>
        </w:rPr>
      </w:pPr>
    </w:p>
    <w:p>
      <w:pPr>
        <w:jc w:val="both"/>
        <w:ind w:left="860" w:firstLine="798"/>
        <w:spacing w:after="0" w:line="286" w:lineRule="auto"/>
        <w:rPr>
          <w:sz w:val="20"/>
          <w:szCs w:val="20"/>
          <w:color w:val="auto"/>
        </w:rPr>
      </w:pPr>
      <w:r>
        <w:rPr>
          <w:rFonts w:ascii="Arial" w:cs="Arial" w:eastAsia="Arial" w:hAnsi="Arial"/>
          <w:sz w:val="17"/>
          <w:szCs w:val="17"/>
          <w:color w:val="auto"/>
        </w:rPr>
        <w:t>(i)“</w:t>
      </w:r>
      <w:r>
        <w:rPr>
          <w:rFonts w:ascii="Arial" w:cs="Arial" w:eastAsia="Arial" w:hAnsi="Arial"/>
          <w:sz w:val="17"/>
          <w:szCs w:val="17"/>
          <w:u w:val="single" w:color="auto"/>
          <w:color w:val="auto"/>
        </w:rPr>
        <w:t>Accounting Firm</w:t>
      </w:r>
      <w:r>
        <w:rPr>
          <w:rFonts w:ascii="Arial" w:cs="Arial" w:eastAsia="Arial" w:hAnsi="Arial"/>
          <w:sz w:val="17"/>
          <w:szCs w:val="17"/>
          <w:color w:val="auto"/>
        </w:rPr>
        <w:t>” means an independent, nationally recognized accounting firm designated by the Corporation in good faith prior to a Change in Control; provided that if the Accounting Firm is not willing or able to value the restrictive covenants in Section 9, then the restrictive covenants shall be valued by an independent third-party valuation specialist selected by the Corporation in good faith.</w:t>
      </w:r>
    </w:p>
    <w:p>
      <w:pPr>
        <w:spacing w:after="0" w:line="165" w:lineRule="exact"/>
        <w:rPr>
          <w:sz w:val="20"/>
          <w:szCs w:val="20"/>
          <w:color w:val="auto"/>
        </w:rPr>
      </w:pPr>
    </w:p>
    <w:p>
      <w:pPr>
        <w:jc w:val="both"/>
        <w:ind w:left="860" w:firstLine="798"/>
        <w:spacing w:after="0" w:line="263" w:lineRule="auto"/>
        <w:rPr>
          <w:sz w:val="20"/>
          <w:szCs w:val="20"/>
          <w:color w:val="auto"/>
        </w:rPr>
      </w:pPr>
      <w:r>
        <w:rPr>
          <w:rFonts w:ascii="Arial" w:cs="Arial" w:eastAsia="Arial" w:hAnsi="Arial"/>
          <w:sz w:val="18"/>
          <w:szCs w:val="18"/>
          <w:color w:val="auto"/>
        </w:rPr>
        <w:t>(ii)“</w:t>
      </w:r>
      <w:r>
        <w:rPr>
          <w:rFonts w:ascii="Arial" w:cs="Arial" w:eastAsia="Arial" w:hAnsi="Arial"/>
          <w:sz w:val="18"/>
          <w:szCs w:val="18"/>
          <w:u w:val="single" w:color="auto"/>
          <w:color w:val="auto"/>
        </w:rPr>
        <w:t>Change in Control Payment</w:t>
      </w:r>
      <w:r>
        <w:rPr>
          <w:rFonts w:ascii="Arial" w:cs="Arial" w:eastAsia="Arial" w:hAnsi="Arial"/>
          <w:sz w:val="18"/>
          <w:szCs w:val="18"/>
          <w:color w:val="auto"/>
        </w:rPr>
        <w:t>” means any payment or distribution by the Corporation in the nature of compensation (within the meaning of Section 280G(b)(2) of the Code) to or for the benefit of Executive that is contingent on a Change in Control, whether paid or payable or distributed or distributable pursuant to the terms of this Agreement or otherwise.</w:t>
      </w:r>
    </w:p>
    <w:p>
      <w:pPr>
        <w:spacing w:after="0" w:line="184" w:lineRule="exact"/>
        <w:rPr>
          <w:sz w:val="20"/>
          <w:szCs w:val="20"/>
          <w:color w:val="auto"/>
        </w:rPr>
      </w:pPr>
    </w:p>
    <w:p>
      <w:pPr>
        <w:jc w:val="both"/>
        <w:ind w:left="860" w:firstLine="798"/>
        <w:spacing w:after="0" w:line="277" w:lineRule="auto"/>
        <w:rPr>
          <w:sz w:val="20"/>
          <w:szCs w:val="20"/>
          <w:color w:val="auto"/>
        </w:rPr>
      </w:pPr>
      <w:r>
        <w:rPr>
          <w:rFonts w:ascii="Arial" w:cs="Arial" w:eastAsia="Arial" w:hAnsi="Arial"/>
          <w:sz w:val="18"/>
          <w:szCs w:val="18"/>
          <w:color w:val="auto"/>
        </w:rPr>
        <w:t>(iii)“</w:t>
      </w:r>
      <w:r>
        <w:rPr>
          <w:rFonts w:ascii="Arial" w:cs="Arial" w:eastAsia="Arial" w:hAnsi="Arial"/>
          <w:sz w:val="18"/>
          <w:szCs w:val="18"/>
          <w:u w:val="single" w:color="auto"/>
          <w:color w:val="auto"/>
        </w:rPr>
        <w:t>Excise Tax</w:t>
      </w:r>
      <w:r>
        <w:rPr>
          <w:rFonts w:ascii="Arial" w:cs="Arial" w:eastAsia="Arial" w:hAnsi="Arial"/>
          <w:sz w:val="18"/>
          <w:szCs w:val="18"/>
          <w:color w:val="auto"/>
        </w:rPr>
        <w:t>” means the excise tax imposed by Section 4999 of the Code, together with any interest or penalties imposed with respect to such excise tax.</w:t>
      </w:r>
    </w:p>
    <w:p>
      <w:pPr>
        <w:spacing w:after="0" w:line="170" w:lineRule="exact"/>
        <w:rPr>
          <w:sz w:val="20"/>
          <w:szCs w:val="20"/>
          <w:color w:val="auto"/>
        </w:rPr>
      </w:pPr>
    </w:p>
    <w:p>
      <w:pPr>
        <w:jc w:val="both"/>
        <w:ind w:left="860" w:firstLine="798"/>
        <w:spacing w:after="0" w:line="263" w:lineRule="auto"/>
        <w:rPr>
          <w:sz w:val="20"/>
          <w:szCs w:val="20"/>
          <w:color w:val="auto"/>
        </w:rPr>
      </w:pPr>
      <w:r>
        <w:rPr>
          <w:rFonts w:ascii="Arial" w:cs="Arial" w:eastAsia="Arial" w:hAnsi="Arial"/>
          <w:sz w:val="18"/>
          <w:szCs w:val="18"/>
          <w:color w:val="auto"/>
        </w:rPr>
        <w:t>(iv)“</w:t>
      </w:r>
      <w:r>
        <w:rPr>
          <w:rFonts w:ascii="Arial" w:cs="Arial" w:eastAsia="Arial" w:hAnsi="Arial"/>
          <w:sz w:val="18"/>
          <w:szCs w:val="18"/>
          <w:u w:val="single" w:color="auto"/>
          <w:color w:val="auto"/>
        </w:rPr>
        <w:t>Net After-Tax Benefit</w:t>
      </w:r>
      <w:r>
        <w:rPr>
          <w:rFonts w:ascii="Arial" w:cs="Arial" w:eastAsia="Arial" w:hAnsi="Arial"/>
          <w:sz w:val="18"/>
          <w:szCs w:val="18"/>
          <w:color w:val="auto"/>
        </w:rPr>
        <w:t>” means the aggregate Value of all Change in Control Payments to Executive, net of all taxes imposed on Executive with respect thereto under Sections 1 and 4999 of the Code and under applicable state and local laws, as determined by the Accounting Firm after taking</w:t>
      </w:r>
    </w:p>
    <w:p>
      <w:pPr>
        <w:spacing w:after="0" w:line="127" w:lineRule="exact"/>
        <w:rPr>
          <w:sz w:val="20"/>
          <w:szCs w:val="20"/>
          <w:color w:val="auto"/>
        </w:rPr>
      </w:pPr>
    </w:p>
    <w:p>
      <w:pPr>
        <w:ind w:left="880"/>
        <w:spacing w:after="0"/>
        <w:rPr>
          <w:sz w:val="20"/>
          <w:szCs w:val="20"/>
          <w:color w:val="auto"/>
        </w:rPr>
      </w:pPr>
      <w:r>
        <w:rPr>
          <w:rFonts w:ascii="Arial" w:cs="Arial" w:eastAsia="Arial" w:hAnsi="Arial"/>
          <w:sz w:val="22"/>
          <w:szCs w:val="22"/>
          <w:color w:val="auto"/>
        </w:rPr>
        <w:t>6</w:t>
      </w:r>
    </w:p>
    <w:p>
      <w:pPr>
        <w:spacing w:after="0"/>
        <w:rPr>
          <w:sz w:val="20"/>
          <w:szCs w:val="20"/>
          <w:color w:val="auto"/>
        </w:rPr>
      </w:pPr>
      <w:r>
        <w:rPr>
          <w:rFonts w:ascii="Arial" w:cs="Arial" w:eastAsia="Arial" w:hAnsi="Arial"/>
          <w:sz w:val="14"/>
          <w:szCs w:val="14"/>
          <w:color w:val="auto"/>
        </w:rPr>
        <w:t>4871-5083-7000.3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60960</wp:posOffset>
            </wp:positionV>
            <wp:extent cx="7174865" cy="425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52" w:name="page53"/>
    <w:bookmarkEnd w:id="52"/>
    <w:p>
      <w:pPr>
        <w:ind w:left="1660"/>
        <w:spacing w:after="0"/>
        <w:rPr>
          <w:sz w:val="20"/>
          <w:szCs w:val="20"/>
          <w:color w:val="auto"/>
        </w:rPr>
      </w:pPr>
      <w:r>
        <w:rPr>
          <w:rFonts w:ascii="Arial" w:cs="Arial" w:eastAsia="Arial" w:hAnsi="Arial"/>
          <w:sz w:val="16"/>
          <w:szCs w:val="16"/>
          <w:color w:val="auto"/>
        </w:rPr>
        <w:t>into account any value attributable to the restrictive covenants in Section 9 that is treated as reasonable compensation described in</w:t>
      </w:r>
    </w:p>
    <w:p>
      <w:pPr>
        <w:spacing w:after="0" w:line="46" w:lineRule="exact"/>
        <w:rPr>
          <w:sz w:val="20"/>
          <w:szCs w:val="20"/>
          <w:color w:val="auto"/>
        </w:rPr>
      </w:pPr>
    </w:p>
    <w:tbl>
      <w:tblPr>
        <w:tblLayout w:type="fixed"/>
        <w:tblInd w:w="80" w:type="dxa"/>
        <w:tblCellMar>
          <w:top w:w="0" w:type="dxa"/>
          <w:left w:w="0" w:type="dxa"/>
          <w:bottom w:w="0" w:type="dxa"/>
          <w:right w:w="0" w:type="dxa"/>
        </w:tblCellMar>
      </w:tblPr>
      <w:tr>
        <w:trPr>
          <w:trHeight w:val="230"/>
        </w:trPr>
        <w:tc>
          <w:tcPr>
            <w:tcW w:w="460" w:type="dxa"/>
            <w:vAlign w:val="bottom"/>
          </w:tcPr>
          <w:p>
            <w:pPr>
              <w:spacing w:after="0"/>
              <w:rPr>
                <w:sz w:val="20"/>
                <w:szCs w:val="20"/>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rPr>
              <w:t>Section 280G(b)(4) of the Code.</w:t>
            </w:r>
          </w:p>
        </w:tc>
      </w:tr>
      <w:tr>
        <w:trPr>
          <w:trHeight w:val="377"/>
        </w:trPr>
        <w:tc>
          <w:tcPr>
            <w:tcW w:w="4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9580" w:type="dxa"/>
            <w:vAlign w:val="bottom"/>
            <w:gridSpan w:val="7"/>
          </w:tcPr>
          <w:p>
            <w:pPr>
              <w:spacing w:after="0"/>
              <w:rPr>
                <w:sz w:val="20"/>
                <w:szCs w:val="20"/>
                <w:color w:val="auto"/>
              </w:rPr>
            </w:pPr>
            <w:r>
              <w:rPr>
                <w:rFonts w:ascii="Arial" w:cs="Arial" w:eastAsia="Arial" w:hAnsi="Arial"/>
                <w:sz w:val="18"/>
                <w:szCs w:val="18"/>
                <w:color w:val="auto"/>
                <w:w w:val="90"/>
              </w:rPr>
              <w:t>(v)“Reduced Amount” means the greatest amount of Change in Control Payments that can be paid to Executive that would not result</w:t>
            </w:r>
          </w:p>
        </w:tc>
      </w:tr>
      <w:tr>
        <w:trPr>
          <w:trHeight w:val="20"/>
        </w:trPr>
        <w:tc>
          <w:tcPr>
            <w:tcW w:w="46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340" w:type="dxa"/>
            <w:vAlign w:val="bottom"/>
            <w:tcBorders>
              <w:right w:val="single" w:sz="8" w:color="auto"/>
            </w:tcBorders>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7320" w:type="dxa"/>
            <w:vAlign w:val="bottom"/>
          </w:tcPr>
          <w:p>
            <w:pPr>
              <w:spacing w:after="0" w:line="20" w:lineRule="exact"/>
              <w:rPr>
                <w:sz w:val="1"/>
                <w:szCs w:val="1"/>
                <w:color w:val="auto"/>
              </w:rPr>
            </w:pPr>
          </w:p>
        </w:tc>
      </w:tr>
      <w:tr>
        <w:trPr>
          <w:trHeight w:val="222"/>
        </w:trPr>
        <w:tc>
          <w:tcPr>
            <w:tcW w:w="460" w:type="dxa"/>
            <w:vAlign w:val="bottom"/>
          </w:tcPr>
          <w:p>
            <w:pPr>
              <w:spacing w:after="0"/>
              <w:rPr>
                <w:sz w:val="19"/>
                <w:szCs w:val="19"/>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w w:val="94"/>
              </w:rPr>
              <w:t>in the imposition of the Excise Tax upon Executive if the Accounting Firm determines to reduce Change in Control Payments to Executive</w:t>
            </w:r>
          </w:p>
        </w:tc>
      </w:tr>
      <w:tr>
        <w:trPr>
          <w:trHeight w:val="216"/>
        </w:trPr>
        <w:tc>
          <w:tcPr>
            <w:tcW w:w="460" w:type="dxa"/>
            <w:vAlign w:val="bottom"/>
          </w:tcPr>
          <w:p>
            <w:pPr>
              <w:spacing w:after="0"/>
              <w:rPr>
                <w:sz w:val="18"/>
                <w:szCs w:val="18"/>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w w:val="91"/>
              </w:rPr>
              <w:t>pursuant to this Section 5, determined after taking into account any value attributable to the restrictive covenants in Section 9 that is treated as</w:t>
            </w:r>
          </w:p>
        </w:tc>
      </w:tr>
      <w:tr>
        <w:trPr>
          <w:trHeight w:val="230"/>
        </w:trPr>
        <w:tc>
          <w:tcPr>
            <w:tcW w:w="460" w:type="dxa"/>
            <w:vAlign w:val="bottom"/>
          </w:tcPr>
          <w:p>
            <w:pPr>
              <w:spacing w:after="0"/>
              <w:rPr>
                <w:sz w:val="20"/>
                <w:szCs w:val="20"/>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rPr>
              <w:t>reasonable compensation described in Section 280G(b)(4) of the Code.</w:t>
            </w:r>
          </w:p>
        </w:tc>
      </w:tr>
      <w:tr>
        <w:trPr>
          <w:trHeight w:val="392"/>
        </w:trPr>
        <w:tc>
          <w:tcPr>
            <w:tcW w:w="4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9580" w:type="dxa"/>
            <w:vAlign w:val="bottom"/>
            <w:gridSpan w:val="7"/>
          </w:tcPr>
          <w:p>
            <w:pPr>
              <w:spacing w:after="0"/>
              <w:rPr>
                <w:sz w:val="20"/>
                <w:szCs w:val="20"/>
                <w:color w:val="auto"/>
              </w:rPr>
            </w:pPr>
            <w:r>
              <w:rPr>
                <w:rFonts w:ascii="Arial" w:cs="Arial" w:eastAsia="Arial" w:hAnsi="Arial"/>
                <w:sz w:val="18"/>
                <w:szCs w:val="18"/>
                <w:color w:val="auto"/>
                <w:w w:val="90"/>
              </w:rPr>
              <w:t>(vi)“Value” of a Change in Control Payment means the economic present value of a Change in Control Payment as of the date of the</w:t>
            </w:r>
          </w:p>
        </w:tc>
      </w:tr>
      <w:tr>
        <w:trPr>
          <w:trHeight w:val="20"/>
        </w:trPr>
        <w:tc>
          <w:tcPr>
            <w:tcW w:w="46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7320" w:type="dxa"/>
            <w:vAlign w:val="bottom"/>
          </w:tcPr>
          <w:p>
            <w:pPr>
              <w:spacing w:after="0" w:line="20" w:lineRule="exact"/>
              <w:rPr>
                <w:sz w:val="1"/>
                <w:szCs w:val="1"/>
                <w:color w:val="auto"/>
              </w:rPr>
            </w:pPr>
          </w:p>
        </w:tc>
      </w:tr>
      <w:tr>
        <w:trPr>
          <w:trHeight w:val="222"/>
        </w:trPr>
        <w:tc>
          <w:tcPr>
            <w:tcW w:w="460" w:type="dxa"/>
            <w:vAlign w:val="bottom"/>
          </w:tcPr>
          <w:p>
            <w:pPr>
              <w:spacing w:after="0"/>
              <w:rPr>
                <w:sz w:val="19"/>
                <w:szCs w:val="19"/>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w w:val="91"/>
              </w:rPr>
              <w:t>Change in Control (or such other date as required pursuant to Section 280G), as determined by the Accounting Firm pursuant to Section 280G</w:t>
            </w:r>
          </w:p>
        </w:tc>
      </w:tr>
      <w:tr>
        <w:trPr>
          <w:trHeight w:val="230"/>
        </w:trPr>
        <w:tc>
          <w:tcPr>
            <w:tcW w:w="460" w:type="dxa"/>
            <w:vAlign w:val="bottom"/>
          </w:tcPr>
          <w:p>
            <w:pPr>
              <w:spacing w:after="0"/>
              <w:rPr>
                <w:sz w:val="20"/>
                <w:szCs w:val="20"/>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rPr>
              <w:t>of the Code using the discount rate required by Section 280G(d)(4) of the Code.</w:t>
            </w:r>
          </w:p>
        </w:tc>
      </w:tr>
      <w:tr>
        <w:trPr>
          <w:trHeight w:val="392"/>
        </w:trPr>
        <w:tc>
          <w:tcPr>
            <w:tcW w:w="460" w:type="dxa"/>
            <w:vAlign w:val="bottom"/>
          </w:tcPr>
          <w:p>
            <w:pPr>
              <w:jc w:val="right"/>
              <w:ind w:right="256"/>
              <w:spacing w:after="0"/>
              <w:rPr>
                <w:sz w:val="20"/>
                <w:szCs w:val="20"/>
                <w:color w:val="auto"/>
              </w:rPr>
            </w:pPr>
            <w:r>
              <w:rPr>
                <w:rFonts w:ascii="Arial" w:cs="Arial" w:eastAsia="Arial" w:hAnsi="Arial"/>
                <w:sz w:val="17"/>
                <w:szCs w:val="17"/>
                <w:color w:val="auto"/>
                <w:w w:val="70"/>
              </w:rPr>
              <w:t>6.</w:t>
            </w:r>
          </w:p>
        </w:tc>
        <w:tc>
          <w:tcPr>
            <w:tcW w:w="1120" w:type="dxa"/>
            <w:vAlign w:val="bottom"/>
          </w:tcPr>
          <w:p>
            <w:pPr>
              <w:spacing w:after="0"/>
              <w:rPr>
                <w:sz w:val="24"/>
                <w:szCs w:val="24"/>
                <w:color w:val="auto"/>
              </w:rPr>
            </w:pPr>
          </w:p>
        </w:tc>
        <w:tc>
          <w:tcPr>
            <w:tcW w:w="9580" w:type="dxa"/>
            <w:vAlign w:val="bottom"/>
            <w:gridSpan w:val="7"/>
          </w:tcPr>
          <w:p>
            <w:pPr>
              <w:spacing w:after="0"/>
              <w:rPr>
                <w:sz w:val="20"/>
                <w:szCs w:val="20"/>
                <w:color w:val="auto"/>
              </w:rPr>
            </w:pPr>
            <w:r>
              <w:rPr>
                <w:rFonts w:ascii="Arial" w:cs="Arial" w:eastAsia="Arial" w:hAnsi="Arial"/>
                <w:sz w:val="18"/>
                <w:szCs w:val="18"/>
                <w:color w:val="auto"/>
              </w:rPr>
              <w:t>Compliance with Section 409A.</w:t>
            </w:r>
          </w:p>
        </w:tc>
      </w:tr>
      <w:tr>
        <w:trPr>
          <w:trHeight w:val="20"/>
        </w:trPr>
        <w:tc>
          <w:tcPr>
            <w:tcW w:w="46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560" w:type="dxa"/>
            <w:vAlign w:val="bottom"/>
            <w:gridSpan w:val="2"/>
            <w:shd w:val="clear" w:color="auto" w:fill="000000"/>
          </w:tcPr>
          <w:p>
            <w:pPr>
              <w:spacing w:after="0" w:line="20" w:lineRule="exact"/>
              <w:rPr>
                <w:sz w:val="1"/>
                <w:szCs w:val="1"/>
                <w:color w:val="auto"/>
              </w:rPr>
            </w:pPr>
          </w:p>
        </w:tc>
        <w:tc>
          <w:tcPr>
            <w:tcW w:w="1160" w:type="dxa"/>
            <w:vAlign w:val="bottom"/>
            <w:gridSpan w:val="3"/>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7320" w:type="dxa"/>
            <w:vAlign w:val="bottom"/>
          </w:tcPr>
          <w:p>
            <w:pPr>
              <w:spacing w:after="0" w:line="20" w:lineRule="exact"/>
              <w:rPr>
                <w:sz w:val="1"/>
                <w:szCs w:val="1"/>
                <w:color w:val="auto"/>
              </w:rPr>
            </w:pPr>
          </w:p>
        </w:tc>
      </w:tr>
      <w:tr>
        <w:trPr>
          <w:trHeight w:val="438"/>
        </w:trPr>
        <w:tc>
          <w:tcPr>
            <w:tcW w:w="4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9580" w:type="dxa"/>
            <w:vAlign w:val="bottom"/>
            <w:gridSpan w:val="7"/>
          </w:tcPr>
          <w:p>
            <w:pPr>
              <w:spacing w:after="0"/>
              <w:rPr>
                <w:sz w:val="20"/>
                <w:szCs w:val="20"/>
                <w:color w:val="auto"/>
              </w:rPr>
            </w:pPr>
            <w:r>
              <w:rPr>
                <w:rFonts w:ascii="Arial" w:cs="Arial" w:eastAsia="Arial" w:hAnsi="Arial"/>
                <w:sz w:val="18"/>
                <w:szCs w:val="18"/>
                <w:color w:val="auto"/>
                <w:w w:val="95"/>
              </w:rPr>
              <w:t>(A)Notwithstanding anything contained in this Agreement to the contrary, if Executive is a “specified employee,” as determined</w:t>
            </w:r>
          </w:p>
        </w:tc>
      </w:tr>
      <w:tr>
        <w:trPr>
          <w:trHeight w:val="216"/>
        </w:trPr>
        <w:tc>
          <w:tcPr>
            <w:tcW w:w="460" w:type="dxa"/>
            <w:vAlign w:val="bottom"/>
          </w:tcPr>
          <w:p>
            <w:pPr>
              <w:spacing w:after="0"/>
              <w:rPr>
                <w:sz w:val="18"/>
                <w:szCs w:val="18"/>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w w:val="91"/>
              </w:rPr>
              <w:t>under the Corporation’s policy for determining specified employees on the Date of Termination, all payments, benefits or reimbursements paid</w:t>
            </w:r>
          </w:p>
        </w:tc>
      </w:tr>
      <w:tr>
        <w:trPr>
          <w:trHeight w:val="216"/>
        </w:trPr>
        <w:tc>
          <w:tcPr>
            <w:tcW w:w="460" w:type="dxa"/>
            <w:vAlign w:val="bottom"/>
          </w:tcPr>
          <w:p>
            <w:pPr>
              <w:spacing w:after="0"/>
              <w:rPr>
                <w:sz w:val="18"/>
                <w:szCs w:val="18"/>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w w:val="96"/>
              </w:rPr>
              <w:t>or provided under this Agreement that constitute a “deferral of compensation” within the meaning of Section 409A of the Code, that are</w:t>
            </w:r>
          </w:p>
        </w:tc>
      </w:tr>
      <w:tr>
        <w:trPr>
          <w:trHeight w:val="216"/>
        </w:trPr>
        <w:tc>
          <w:tcPr>
            <w:tcW w:w="460" w:type="dxa"/>
            <w:vAlign w:val="bottom"/>
          </w:tcPr>
          <w:p>
            <w:pPr>
              <w:spacing w:after="0"/>
              <w:rPr>
                <w:sz w:val="18"/>
                <w:szCs w:val="18"/>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w w:val="91"/>
              </w:rPr>
              <w:t>provided as a result of a “separation from service” within the meaning of Section 409A and that would otherwise be paid or provided during the</w:t>
            </w:r>
          </w:p>
        </w:tc>
      </w:tr>
      <w:tr>
        <w:trPr>
          <w:trHeight w:val="216"/>
        </w:trPr>
        <w:tc>
          <w:tcPr>
            <w:tcW w:w="460" w:type="dxa"/>
            <w:vAlign w:val="bottom"/>
          </w:tcPr>
          <w:p>
            <w:pPr>
              <w:spacing w:after="0"/>
              <w:rPr>
                <w:sz w:val="18"/>
                <w:szCs w:val="18"/>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w w:val="92"/>
              </w:rPr>
              <w:t>first six months following such Date of Termination shall be accumulated through and paid or provided (together with interest at the applicable</w:t>
            </w:r>
          </w:p>
        </w:tc>
      </w:tr>
      <w:tr>
        <w:trPr>
          <w:trHeight w:val="216"/>
        </w:trPr>
        <w:tc>
          <w:tcPr>
            <w:tcW w:w="460" w:type="dxa"/>
            <w:vAlign w:val="bottom"/>
          </w:tcPr>
          <w:p>
            <w:pPr>
              <w:spacing w:after="0"/>
              <w:rPr>
                <w:sz w:val="18"/>
                <w:szCs w:val="18"/>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w w:val="95"/>
              </w:rPr>
              <w:t>Federal short-term rate, compounded semi-annually, in effect under Section 1274(d) of the Code as of the Date of Termination) within 30</w:t>
            </w:r>
          </w:p>
        </w:tc>
      </w:tr>
      <w:tr>
        <w:trPr>
          <w:trHeight w:val="216"/>
        </w:trPr>
        <w:tc>
          <w:tcPr>
            <w:tcW w:w="460" w:type="dxa"/>
            <w:vAlign w:val="bottom"/>
          </w:tcPr>
          <w:p>
            <w:pPr>
              <w:spacing w:after="0"/>
              <w:rPr>
                <w:sz w:val="18"/>
                <w:szCs w:val="18"/>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w w:val="93"/>
              </w:rPr>
              <w:t>calendar days after the first business day following the six month anniversary of such Date of Termination (or, if Executive dies during such</w:t>
            </w:r>
          </w:p>
        </w:tc>
      </w:tr>
      <w:tr>
        <w:trPr>
          <w:trHeight w:val="230"/>
        </w:trPr>
        <w:tc>
          <w:tcPr>
            <w:tcW w:w="460" w:type="dxa"/>
            <w:vAlign w:val="bottom"/>
          </w:tcPr>
          <w:p>
            <w:pPr>
              <w:spacing w:after="0"/>
              <w:rPr>
                <w:sz w:val="20"/>
                <w:szCs w:val="20"/>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rPr>
              <w:t>six-month period, within 10 calendar days after Executive’s death).</w:t>
            </w:r>
          </w:p>
        </w:tc>
      </w:tr>
      <w:tr>
        <w:trPr>
          <w:trHeight w:val="418"/>
        </w:trPr>
        <w:tc>
          <w:tcPr>
            <w:tcW w:w="4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9580" w:type="dxa"/>
            <w:vAlign w:val="bottom"/>
            <w:gridSpan w:val="7"/>
          </w:tcPr>
          <w:p>
            <w:pPr>
              <w:spacing w:after="0"/>
              <w:rPr>
                <w:sz w:val="20"/>
                <w:szCs w:val="20"/>
                <w:color w:val="auto"/>
              </w:rPr>
            </w:pPr>
            <w:r>
              <w:rPr>
                <w:rFonts w:ascii="Arial" w:cs="Arial" w:eastAsia="Arial" w:hAnsi="Arial"/>
                <w:sz w:val="18"/>
                <w:szCs w:val="18"/>
                <w:color w:val="auto"/>
                <w:w w:val="94"/>
              </w:rPr>
              <w:t>(B)It is intended that the payments and benefits provided under this Agreement either shall be exempt from the application of or</w:t>
            </w:r>
          </w:p>
        </w:tc>
      </w:tr>
      <w:tr>
        <w:trPr>
          <w:trHeight w:val="216"/>
        </w:trPr>
        <w:tc>
          <w:tcPr>
            <w:tcW w:w="460" w:type="dxa"/>
            <w:vAlign w:val="bottom"/>
          </w:tcPr>
          <w:p>
            <w:pPr>
              <w:spacing w:after="0"/>
              <w:rPr>
                <w:sz w:val="18"/>
                <w:szCs w:val="18"/>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w w:val="92"/>
              </w:rPr>
              <w:t>shall comply with the requirements of Section 409A. For purposes of Section 409A, each payment hereunder shall be considered a separate</w:t>
            </w:r>
          </w:p>
        </w:tc>
      </w:tr>
      <w:tr>
        <w:trPr>
          <w:trHeight w:val="216"/>
        </w:trPr>
        <w:tc>
          <w:tcPr>
            <w:tcW w:w="460" w:type="dxa"/>
            <w:vAlign w:val="bottom"/>
          </w:tcPr>
          <w:p>
            <w:pPr>
              <w:spacing w:after="0"/>
              <w:rPr>
                <w:sz w:val="18"/>
                <w:szCs w:val="18"/>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w w:val="92"/>
              </w:rPr>
              <w:t>payment. This Agreement shall be construed, administered, and governed in a manner that effects such intent, and the Corporation shall not</w:t>
            </w:r>
          </w:p>
        </w:tc>
      </w:tr>
      <w:tr>
        <w:trPr>
          <w:trHeight w:val="216"/>
        </w:trPr>
        <w:tc>
          <w:tcPr>
            <w:tcW w:w="460" w:type="dxa"/>
            <w:vAlign w:val="bottom"/>
          </w:tcPr>
          <w:p>
            <w:pPr>
              <w:spacing w:after="0"/>
              <w:rPr>
                <w:sz w:val="18"/>
                <w:szCs w:val="18"/>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w w:val="95"/>
              </w:rPr>
              <w:t>take any action that would be inconsistent with such intent. Without limiting the foregoing, the payments and benefits provided under this</w:t>
            </w:r>
          </w:p>
        </w:tc>
      </w:tr>
      <w:tr>
        <w:trPr>
          <w:trHeight w:val="216"/>
        </w:trPr>
        <w:tc>
          <w:tcPr>
            <w:tcW w:w="460" w:type="dxa"/>
            <w:vAlign w:val="bottom"/>
          </w:tcPr>
          <w:p>
            <w:pPr>
              <w:spacing w:after="0"/>
              <w:rPr>
                <w:sz w:val="18"/>
                <w:szCs w:val="18"/>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w w:val="91"/>
              </w:rPr>
              <w:t>Agreement may not be deferred, accelerated, extended, paid out or modified in a manner that would result in the imposition of an additional tax</w:t>
            </w:r>
          </w:p>
        </w:tc>
      </w:tr>
      <w:tr>
        <w:trPr>
          <w:trHeight w:val="216"/>
        </w:trPr>
        <w:tc>
          <w:tcPr>
            <w:tcW w:w="460" w:type="dxa"/>
            <w:vAlign w:val="bottom"/>
          </w:tcPr>
          <w:p>
            <w:pPr>
              <w:spacing w:after="0"/>
              <w:rPr>
                <w:sz w:val="18"/>
                <w:szCs w:val="18"/>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w w:val="97"/>
              </w:rPr>
              <w:t>under Section 409A upon Executive. Although the Corporation shall use its best efforts to avoid the imposition of taxation, interest and</w:t>
            </w:r>
          </w:p>
        </w:tc>
      </w:tr>
      <w:tr>
        <w:trPr>
          <w:trHeight w:val="216"/>
        </w:trPr>
        <w:tc>
          <w:tcPr>
            <w:tcW w:w="460" w:type="dxa"/>
            <w:vAlign w:val="bottom"/>
          </w:tcPr>
          <w:p>
            <w:pPr>
              <w:spacing w:after="0"/>
              <w:rPr>
                <w:sz w:val="18"/>
                <w:szCs w:val="18"/>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w w:val="94"/>
              </w:rPr>
              <w:t>penalties under Section 409A, the tax treatment of the benefits provided under this Agreement is not warranted or guaranteed. Neither the</w:t>
            </w:r>
          </w:p>
        </w:tc>
      </w:tr>
      <w:tr>
        <w:trPr>
          <w:trHeight w:val="216"/>
        </w:trPr>
        <w:tc>
          <w:tcPr>
            <w:tcW w:w="460" w:type="dxa"/>
            <w:vAlign w:val="bottom"/>
          </w:tcPr>
          <w:p>
            <w:pPr>
              <w:spacing w:after="0"/>
              <w:rPr>
                <w:sz w:val="18"/>
                <w:szCs w:val="18"/>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w w:val="96"/>
              </w:rPr>
              <w:t>Corporation, its Affiliates nor any of their respective directors, officers, employees or advisors shall be held liable for any taxes, interest,</w:t>
            </w:r>
          </w:p>
        </w:tc>
      </w:tr>
      <w:tr>
        <w:trPr>
          <w:trHeight w:val="230"/>
        </w:trPr>
        <w:tc>
          <w:tcPr>
            <w:tcW w:w="460" w:type="dxa"/>
            <w:vAlign w:val="bottom"/>
          </w:tcPr>
          <w:p>
            <w:pPr>
              <w:spacing w:after="0"/>
              <w:rPr>
                <w:sz w:val="20"/>
                <w:szCs w:val="20"/>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rPr>
              <w:t>penalties or other monetary amounts owed by Executive or any other taxpayer as a result of the Agreement.</w:t>
            </w:r>
          </w:p>
        </w:tc>
      </w:tr>
      <w:tr>
        <w:trPr>
          <w:trHeight w:val="391"/>
        </w:trPr>
        <w:tc>
          <w:tcPr>
            <w:tcW w:w="460" w:type="dxa"/>
            <w:vAlign w:val="bottom"/>
          </w:tcPr>
          <w:p>
            <w:pPr>
              <w:jc w:val="right"/>
              <w:ind w:right="256"/>
              <w:spacing w:after="0"/>
              <w:rPr>
                <w:sz w:val="20"/>
                <w:szCs w:val="20"/>
                <w:color w:val="auto"/>
              </w:rPr>
            </w:pPr>
            <w:r>
              <w:rPr>
                <w:rFonts w:ascii="Arial" w:cs="Arial" w:eastAsia="Arial" w:hAnsi="Arial"/>
                <w:sz w:val="17"/>
                <w:szCs w:val="17"/>
                <w:color w:val="auto"/>
                <w:w w:val="70"/>
              </w:rPr>
              <w:t>7.</w:t>
            </w:r>
          </w:p>
        </w:tc>
        <w:tc>
          <w:tcPr>
            <w:tcW w:w="1120" w:type="dxa"/>
            <w:vAlign w:val="bottom"/>
          </w:tcPr>
          <w:p>
            <w:pPr>
              <w:spacing w:after="0"/>
              <w:rPr>
                <w:sz w:val="24"/>
                <w:szCs w:val="24"/>
                <w:color w:val="auto"/>
              </w:rPr>
            </w:pPr>
          </w:p>
        </w:tc>
        <w:tc>
          <w:tcPr>
            <w:tcW w:w="9580" w:type="dxa"/>
            <w:vAlign w:val="bottom"/>
            <w:gridSpan w:val="7"/>
          </w:tcPr>
          <w:p>
            <w:pPr>
              <w:spacing w:after="0"/>
              <w:rPr>
                <w:sz w:val="20"/>
                <w:szCs w:val="20"/>
                <w:color w:val="auto"/>
              </w:rPr>
            </w:pPr>
            <w:r>
              <w:rPr>
                <w:rFonts w:ascii="Arial" w:cs="Arial" w:eastAsia="Arial" w:hAnsi="Arial"/>
                <w:sz w:val="18"/>
                <w:szCs w:val="18"/>
                <w:color w:val="auto"/>
                <w:w w:val="93"/>
              </w:rPr>
              <w:t>Release.  Notwithstanding anything contained herein to the contrary, the Corporation shall only be obligated to pay or provide, or</w:t>
            </w:r>
          </w:p>
        </w:tc>
      </w:tr>
      <w:tr>
        <w:trPr>
          <w:trHeight w:val="20"/>
        </w:trPr>
        <w:tc>
          <w:tcPr>
            <w:tcW w:w="46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560" w:type="dxa"/>
            <w:vAlign w:val="bottom"/>
            <w:gridSpan w:val="2"/>
            <w:shd w:val="clear" w:color="auto" w:fill="000000"/>
          </w:tcPr>
          <w:p>
            <w:pPr>
              <w:spacing w:after="0" w:line="20" w:lineRule="exact"/>
              <w:rPr>
                <w:sz w:val="1"/>
                <w:szCs w:val="1"/>
                <w:color w:val="auto"/>
              </w:rPr>
            </w:pPr>
          </w:p>
        </w:tc>
        <w:tc>
          <w:tcPr>
            <w:tcW w:w="1160" w:type="dxa"/>
            <w:vAlign w:val="bottom"/>
            <w:gridSpan w:val="3"/>
          </w:tcPr>
          <w:p>
            <w:pPr>
              <w:spacing w:after="0" w:line="20" w:lineRule="exact"/>
              <w:rPr>
                <w:sz w:val="1"/>
                <w:szCs w:val="1"/>
                <w:color w:val="auto"/>
              </w:rPr>
            </w:pPr>
          </w:p>
        </w:tc>
        <w:tc>
          <w:tcPr>
            <w:tcW w:w="7860" w:type="dxa"/>
            <w:vAlign w:val="bottom"/>
            <w:gridSpan w:val="2"/>
          </w:tcPr>
          <w:p>
            <w:pPr>
              <w:spacing w:after="0" w:line="20" w:lineRule="exact"/>
              <w:rPr>
                <w:sz w:val="1"/>
                <w:szCs w:val="1"/>
                <w:color w:val="auto"/>
              </w:rPr>
            </w:pPr>
          </w:p>
        </w:tc>
      </w:tr>
      <w:tr>
        <w:trPr>
          <w:trHeight w:val="222"/>
        </w:trPr>
        <w:tc>
          <w:tcPr>
            <w:tcW w:w="460" w:type="dxa"/>
            <w:vAlign w:val="bottom"/>
          </w:tcPr>
          <w:p>
            <w:pPr>
              <w:spacing w:after="0"/>
              <w:rPr>
                <w:sz w:val="19"/>
                <w:szCs w:val="19"/>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w w:val="93"/>
              </w:rPr>
              <w:t>continue to pay or provide, any benefit under Paragraphs (A)(ii), (B)(ii)(c), (B)(ii)(d), (B)(ii)(e) and (B)(ii)(f) of Section 4 to the extent that: (A)</w:t>
            </w:r>
          </w:p>
        </w:tc>
      </w:tr>
      <w:tr>
        <w:trPr>
          <w:trHeight w:val="216"/>
        </w:trPr>
        <w:tc>
          <w:tcPr>
            <w:tcW w:w="460" w:type="dxa"/>
            <w:vAlign w:val="bottom"/>
          </w:tcPr>
          <w:p>
            <w:pPr>
              <w:spacing w:after="0"/>
              <w:rPr>
                <w:sz w:val="18"/>
                <w:szCs w:val="18"/>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w w:val="93"/>
              </w:rPr>
              <w:t>within the 45-day period after the Date of Termination, Executive executes a waiver and release substantially in the form attached hereto as</w:t>
            </w:r>
          </w:p>
        </w:tc>
      </w:tr>
      <w:tr>
        <w:trPr>
          <w:trHeight w:val="216"/>
        </w:trPr>
        <w:tc>
          <w:tcPr>
            <w:tcW w:w="460" w:type="dxa"/>
            <w:vAlign w:val="bottom"/>
          </w:tcPr>
          <w:p>
            <w:pPr>
              <w:spacing w:after="0"/>
              <w:rPr>
                <w:sz w:val="18"/>
                <w:szCs w:val="18"/>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w w:val="91"/>
              </w:rPr>
              <w:t>Exhibit A; (B) Executive does not revoke such waiver and release; (C) the waiver and release becomes effective and irrevocable in accordance</w:t>
            </w:r>
          </w:p>
        </w:tc>
      </w:tr>
      <w:tr>
        <w:trPr>
          <w:trHeight w:val="216"/>
        </w:trPr>
        <w:tc>
          <w:tcPr>
            <w:tcW w:w="460" w:type="dxa"/>
            <w:vAlign w:val="bottom"/>
          </w:tcPr>
          <w:p>
            <w:pPr>
              <w:spacing w:after="0"/>
              <w:rPr>
                <w:sz w:val="18"/>
                <w:szCs w:val="18"/>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w w:val="92"/>
              </w:rPr>
              <w:t>with its terms; (D) Executive remains in compliance with the terms and conditions of Section 9; and (E) Executive is not then-currently subject</w:t>
            </w:r>
          </w:p>
        </w:tc>
      </w:tr>
      <w:tr>
        <w:trPr>
          <w:trHeight w:val="216"/>
        </w:trPr>
        <w:tc>
          <w:tcPr>
            <w:tcW w:w="460" w:type="dxa"/>
            <w:vAlign w:val="bottom"/>
          </w:tcPr>
          <w:p>
            <w:pPr>
              <w:spacing w:after="0"/>
              <w:rPr>
                <w:sz w:val="18"/>
                <w:szCs w:val="18"/>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w w:val="94"/>
              </w:rPr>
              <w:t>to any claims for recoupment or clawback of any of his or her compensation from the Corporation under any clawback and/or recoupment</w:t>
            </w:r>
          </w:p>
        </w:tc>
      </w:tr>
      <w:tr>
        <w:trPr>
          <w:trHeight w:val="230"/>
        </w:trPr>
        <w:tc>
          <w:tcPr>
            <w:tcW w:w="460" w:type="dxa"/>
            <w:vAlign w:val="bottom"/>
          </w:tcPr>
          <w:p>
            <w:pPr>
              <w:spacing w:after="0"/>
              <w:rPr>
                <w:sz w:val="20"/>
                <w:szCs w:val="20"/>
                <w:color w:val="auto"/>
              </w:rPr>
            </w:pPr>
          </w:p>
        </w:tc>
        <w:tc>
          <w:tcPr>
            <w:tcW w:w="10700" w:type="dxa"/>
            <w:vAlign w:val="bottom"/>
            <w:gridSpan w:val="8"/>
          </w:tcPr>
          <w:p>
            <w:pPr>
              <w:ind w:left="320"/>
              <w:spacing w:after="0"/>
              <w:rPr>
                <w:sz w:val="20"/>
                <w:szCs w:val="20"/>
                <w:color w:val="auto"/>
              </w:rPr>
            </w:pPr>
            <w:r>
              <w:rPr>
                <w:rFonts w:ascii="Arial" w:cs="Arial" w:eastAsia="Arial" w:hAnsi="Arial"/>
                <w:sz w:val="18"/>
                <w:szCs w:val="18"/>
                <w:color w:val="auto"/>
              </w:rPr>
              <w:t>policy of the Corporation applicable to Executive.</w:t>
            </w:r>
          </w:p>
        </w:tc>
      </w:tr>
      <w:tr>
        <w:trPr>
          <w:trHeight w:val="391"/>
        </w:trPr>
        <w:tc>
          <w:tcPr>
            <w:tcW w:w="460" w:type="dxa"/>
            <w:vAlign w:val="bottom"/>
          </w:tcPr>
          <w:p>
            <w:pPr>
              <w:jc w:val="right"/>
              <w:ind w:right="256"/>
              <w:spacing w:after="0"/>
              <w:rPr>
                <w:sz w:val="20"/>
                <w:szCs w:val="20"/>
                <w:color w:val="auto"/>
              </w:rPr>
            </w:pPr>
            <w:r>
              <w:rPr>
                <w:rFonts w:ascii="Arial" w:cs="Arial" w:eastAsia="Arial" w:hAnsi="Arial"/>
                <w:sz w:val="17"/>
                <w:szCs w:val="17"/>
                <w:color w:val="auto"/>
                <w:w w:val="70"/>
              </w:rPr>
              <w:t>8.</w:t>
            </w:r>
          </w:p>
        </w:tc>
        <w:tc>
          <w:tcPr>
            <w:tcW w:w="1120" w:type="dxa"/>
            <w:vAlign w:val="bottom"/>
          </w:tcPr>
          <w:p>
            <w:pPr>
              <w:spacing w:after="0"/>
              <w:rPr>
                <w:sz w:val="24"/>
                <w:szCs w:val="24"/>
                <w:color w:val="auto"/>
              </w:rPr>
            </w:pPr>
          </w:p>
        </w:tc>
        <w:tc>
          <w:tcPr>
            <w:tcW w:w="9580" w:type="dxa"/>
            <w:vAlign w:val="bottom"/>
            <w:gridSpan w:val="7"/>
          </w:tcPr>
          <w:p>
            <w:pPr>
              <w:spacing w:after="0"/>
              <w:rPr>
                <w:sz w:val="20"/>
                <w:szCs w:val="20"/>
                <w:color w:val="auto"/>
              </w:rPr>
            </w:pPr>
            <w:r>
              <w:rPr>
                <w:rFonts w:ascii="Arial" w:cs="Arial" w:eastAsia="Arial" w:hAnsi="Arial"/>
                <w:sz w:val="18"/>
                <w:szCs w:val="18"/>
                <w:color w:val="auto"/>
              </w:rPr>
              <w:t>Termination Procedures.</w:t>
            </w:r>
          </w:p>
        </w:tc>
      </w:tr>
      <w:tr>
        <w:trPr>
          <w:trHeight w:val="20"/>
        </w:trPr>
        <w:tc>
          <w:tcPr>
            <w:tcW w:w="46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720" w:type="dxa"/>
            <w:vAlign w:val="bottom"/>
            <w:gridSpan w:val="5"/>
            <w:shd w:val="clear" w:color="auto" w:fill="000000"/>
          </w:tcPr>
          <w:p>
            <w:pPr>
              <w:spacing w:after="0" w:line="20" w:lineRule="exact"/>
              <w:rPr>
                <w:sz w:val="1"/>
                <w:szCs w:val="1"/>
                <w:color w:val="auto"/>
              </w:rPr>
            </w:pPr>
          </w:p>
        </w:tc>
        <w:tc>
          <w:tcPr>
            <w:tcW w:w="7860" w:type="dxa"/>
            <w:vAlign w:val="bottom"/>
            <w:gridSpan w:val="2"/>
          </w:tcPr>
          <w:p>
            <w:pPr>
              <w:spacing w:after="0" w:line="20" w:lineRule="exact"/>
              <w:rPr>
                <w:sz w:val="1"/>
                <w:szCs w:val="1"/>
                <w:color w:val="auto"/>
              </w:rPr>
            </w:pPr>
          </w:p>
        </w:tc>
      </w:tr>
      <w:tr>
        <w:trPr>
          <w:trHeight w:val="453"/>
        </w:trPr>
        <w:tc>
          <w:tcPr>
            <w:tcW w:w="4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9580" w:type="dxa"/>
            <w:vAlign w:val="bottom"/>
            <w:gridSpan w:val="7"/>
          </w:tcPr>
          <w:p>
            <w:pPr>
              <w:spacing w:after="0"/>
              <w:rPr>
                <w:sz w:val="20"/>
                <w:szCs w:val="20"/>
                <w:color w:val="auto"/>
              </w:rPr>
            </w:pPr>
            <w:r>
              <w:rPr>
                <w:rFonts w:ascii="Arial" w:cs="Arial" w:eastAsia="Arial" w:hAnsi="Arial"/>
                <w:sz w:val="18"/>
                <w:szCs w:val="18"/>
                <w:color w:val="auto"/>
                <w:w w:val="98"/>
              </w:rPr>
              <w:t>(A)Except in the event that Executive’s employment terminates as a result of Executive’s death (in which case no Notice of</w:t>
            </w:r>
          </w:p>
        </w:tc>
      </w:tr>
    </w:tbl>
    <w:p>
      <w:pPr>
        <w:jc w:val="both"/>
        <w:ind w:left="860"/>
        <w:spacing w:after="0" w:line="295" w:lineRule="auto"/>
        <w:rPr>
          <w:sz w:val="20"/>
          <w:szCs w:val="20"/>
          <w:color w:val="auto"/>
        </w:rPr>
      </w:pPr>
      <w:r>
        <w:rPr>
          <w:rFonts w:ascii="Arial" w:cs="Arial" w:eastAsia="Arial" w:hAnsi="Arial"/>
          <w:sz w:val="16"/>
          <w:szCs w:val="16"/>
          <w:color w:val="auto"/>
        </w:rPr>
        <w:t>Termination is required), any purported termination of Executive’s employment shall be communicated by written Notice of Termination from one party hereto to the other party hereto in accordance with Section 13 hereof. For purposes of this Agreement, a “</w:t>
      </w:r>
      <w:r>
        <w:rPr>
          <w:rFonts w:ascii="Arial" w:cs="Arial" w:eastAsia="Arial" w:hAnsi="Arial"/>
          <w:sz w:val="16"/>
          <w:szCs w:val="16"/>
          <w:u w:val="single" w:color="auto"/>
          <w:color w:val="auto"/>
        </w:rPr>
        <w:t>Notice of Termination</w:t>
      </w:r>
      <w:r>
        <w:rPr>
          <w:rFonts w:ascii="Arial" w:cs="Arial" w:eastAsia="Arial" w:hAnsi="Arial"/>
          <w:sz w:val="16"/>
          <w:szCs w:val="16"/>
          <w:color w:val="auto"/>
        </w:rPr>
        <w:t>” means a written notice that indicates the specific termination provision in this Agreement relied upon, and, if applicable, sets forth in reasonable detail the facts and circumstances claimed to provide a basis for termination of Executive’s employment under the provision so</w:t>
      </w:r>
    </w:p>
    <w:p>
      <w:pPr>
        <w:spacing w:after="0" w:line="10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7</w:t>
      </w:r>
    </w:p>
    <w:p>
      <w:pPr>
        <w:spacing w:after="0"/>
        <w:rPr>
          <w:sz w:val="20"/>
          <w:szCs w:val="20"/>
          <w:color w:val="auto"/>
        </w:rPr>
      </w:pPr>
      <w:r>
        <w:rPr>
          <w:rFonts w:ascii="Arial" w:cs="Arial" w:eastAsia="Arial" w:hAnsi="Arial"/>
          <w:sz w:val="14"/>
          <w:szCs w:val="14"/>
          <w:color w:val="auto"/>
        </w:rPr>
        <w:t>4871-5083-7000.3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60960</wp:posOffset>
            </wp:positionV>
            <wp:extent cx="7174865" cy="425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355" w:right="339" w:bottom="1440" w:gutter="0" w:footer="0" w:header="0"/>
        </w:sectPr>
      </w:pPr>
    </w:p>
    <w:bookmarkStart w:id="53" w:name="page54"/>
    <w:bookmarkEnd w:id="53"/>
    <w:p>
      <w:pPr>
        <w:jc w:val="both"/>
        <w:ind w:left="860" w:firstLine="798"/>
        <w:spacing w:after="0" w:line="296" w:lineRule="auto"/>
        <w:rPr>
          <w:sz w:val="20"/>
          <w:szCs w:val="20"/>
          <w:color w:val="auto"/>
        </w:rPr>
      </w:pPr>
      <w:r>
        <w:rPr>
          <w:rFonts w:ascii="Arial" w:cs="Arial" w:eastAsia="Arial" w:hAnsi="Arial"/>
          <w:sz w:val="16"/>
          <w:szCs w:val="16"/>
          <w:color w:val="auto"/>
        </w:rPr>
        <w:t>indicated. Further, a Notice of Termination for Cause shall include a copy of a resolution duly adopted by the affirmative vote of not less than a majority of the entire membership of the Board (excluding for these purposes Executive himself or herself) at a meeting of the Board that was called and held for the purpose of considering the termination (after reasonable notice to Executive and an opportunity for Executive, together with his or her counsel, to be heard by the members of the Board) finding that, in the informed, reasonable, good faith judgment of the Board, Executive was guilty of conduct set forth in the definition of Cause in Section 1(D), and specifying the particulars thereof in detail.</w:t>
      </w:r>
    </w:p>
    <w:p>
      <w:pPr>
        <w:spacing w:after="0" w:line="161" w:lineRule="exact"/>
        <w:rPr>
          <w:sz w:val="20"/>
          <w:szCs w:val="20"/>
          <w:color w:val="auto"/>
        </w:rPr>
      </w:pPr>
    </w:p>
    <w:p>
      <w:pPr>
        <w:jc w:val="both"/>
        <w:ind w:left="860" w:firstLine="798"/>
        <w:spacing w:after="0" w:line="287" w:lineRule="auto"/>
        <w:rPr>
          <w:sz w:val="20"/>
          <w:szCs w:val="20"/>
          <w:color w:val="auto"/>
        </w:rPr>
      </w:pPr>
      <w:r>
        <w:rPr>
          <w:rFonts w:ascii="Arial" w:cs="Arial" w:eastAsia="Arial" w:hAnsi="Arial"/>
          <w:sz w:val="16"/>
          <w:szCs w:val="16"/>
          <w:color w:val="auto"/>
        </w:rPr>
        <w:t>(B)“</w:t>
      </w:r>
      <w:r>
        <w:rPr>
          <w:rFonts w:ascii="Arial" w:cs="Arial" w:eastAsia="Arial" w:hAnsi="Arial"/>
          <w:sz w:val="16"/>
          <w:szCs w:val="16"/>
          <w:u w:val="single" w:color="auto"/>
          <w:color w:val="auto"/>
        </w:rPr>
        <w:t>Date of Termination</w:t>
      </w:r>
      <w:r>
        <w:rPr>
          <w:rFonts w:ascii="Arial" w:cs="Arial" w:eastAsia="Arial" w:hAnsi="Arial"/>
          <w:sz w:val="16"/>
          <w:szCs w:val="16"/>
          <w:color w:val="auto"/>
        </w:rPr>
        <w:t>” means the effective date of the termination of Executive’s employment with the Corporation resulting from Executive’s death or an event that constitutes a “separation from service” within the meaning of Section 409A of the Code. Except as provided in the next sentence, the Date of Termination shall be determined as follows: (i) if Executive’s employment is terminated for Disability, 20 business days after Notice of Termination is given (provided that Executive shall not have returned to the full-time performance of Executive’s duties during that 20 business day period); (ii) if Executive’s employment is terminated as a result of Executive’s death, the date of Executive’s death; and (iii) if Executive’s employment is terminated for any other reason, the date specified in the Notice of Termination, which, in the case of a termination by the Corporation, shall not be less than 10 business days except in the case of a termination for Cause (in which case the date of termination may be earlier), and, in the case of a termination by Executive, shall not be less than 10 business days nor more than 20 business days, respectively, after the date such Notice of Termination is given. The Corporation and Executive shall take all steps necessary (including with regard to any post-termination services by Executive) to ensure that any termination described in this Paragraph (B) of Section 8 constitutes a “separation from service” (or is otherwise a permissible distribution event) within the meaning of Section 409A of the Code and that the date on which such separation from service (or permissible distribution event) takes place is the “Date of Termination”.</w:t>
      </w:r>
    </w:p>
    <w:p>
      <w:pPr>
        <w:spacing w:after="0" w:line="168" w:lineRule="exact"/>
        <w:rPr>
          <w:sz w:val="20"/>
          <w:szCs w:val="20"/>
          <w:color w:val="auto"/>
        </w:rPr>
      </w:pPr>
    </w:p>
    <w:p>
      <w:pPr>
        <w:ind w:left="80"/>
        <w:spacing w:after="0"/>
        <w:tabs>
          <w:tab w:leader="none" w:pos="1640" w:val="left"/>
        </w:tabs>
        <w:rPr>
          <w:sz w:val="20"/>
          <w:szCs w:val="20"/>
          <w:color w:val="auto"/>
        </w:rPr>
      </w:pPr>
      <w:r>
        <w:rPr>
          <w:rFonts w:ascii="Arial" w:cs="Arial" w:eastAsia="Arial" w:hAnsi="Arial"/>
          <w:sz w:val="18"/>
          <w:szCs w:val="18"/>
          <w:color w:val="auto"/>
        </w:rPr>
        <w:t>9.</w:t>
      </w:r>
      <w:r>
        <w:rPr>
          <w:sz w:val="20"/>
          <w:szCs w:val="20"/>
          <w:color w:val="auto"/>
        </w:rPr>
        <w:tab/>
      </w:r>
      <w:r>
        <w:rPr>
          <w:rFonts w:ascii="Arial" w:cs="Arial" w:eastAsia="Arial" w:hAnsi="Arial"/>
          <w:sz w:val="18"/>
          <w:szCs w:val="18"/>
          <w:u w:val="single" w:color="auto"/>
          <w:color w:val="auto"/>
        </w:rPr>
        <w:t>Non-Disclosure; Non-Competition; and Non-Interference</w:t>
      </w:r>
      <w:r>
        <w:rPr>
          <w:rFonts w:ascii="Arial" w:cs="Arial" w:eastAsia="Arial" w:hAnsi="Arial"/>
          <w:sz w:val="18"/>
          <w:szCs w:val="18"/>
          <w:color w:val="auto"/>
        </w:rPr>
        <w:t>.</w:t>
      </w:r>
    </w:p>
    <w:p>
      <w:pPr>
        <w:spacing w:after="0" w:line="225" w:lineRule="exact"/>
        <w:rPr>
          <w:sz w:val="20"/>
          <w:szCs w:val="20"/>
          <w:color w:val="auto"/>
        </w:rPr>
      </w:pPr>
    </w:p>
    <w:p>
      <w:pPr>
        <w:jc w:val="both"/>
        <w:ind w:left="860" w:firstLine="798"/>
        <w:spacing w:after="0" w:line="267" w:lineRule="auto"/>
        <w:rPr>
          <w:sz w:val="20"/>
          <w:szCs w:val="20"/>
          <w:color w:val="auto"/>
        </w:rPr>
      </w:pPr>
      <w:r>
        <w:rPr>
          <w:rFonts w:ascii="Arial" w:cs="Arial" w:eastAsia="Arial" w:hAnsi="Arial"/>
          <w:sz w:val="17"/>
          <w:szCs w:val="17"/>
          <w:color w:val="auto"/>
        </w:rPr>
        <w:t>(A)Executive acknowledges that in the course of his or her employment with the Corporation and its Affiliates s/he has had and will have access to confidential information and trade secrets proprietary to the Corporation and its Affiliates, including, without limitation, information relating to the Corporation’s and its Affiliates’ products, suppliers, and customers, the sources, nature, processes, costs and prices of the Corporation’s and its Affiliates’ products, the names, addresses, contact persons, purchasing and sales histories, and preferences of the Corporation’s and its Affiliates’ suppliers and customers, the Corporation’s and its Affiliates’ business plans and strategies, and the names and addresses of, amounts of compensation paid to, and the trading and sales performance of the Corporation’s and its Affiliates’ employees and agents (hereinafter referred to as the “</w:t>
      </w:r>
      <w:r>
        <w:rPr>
          <w:rFonts w:ascii="Arial" w:cs="Arial" w:eastAsia="Arial" w:hAnsi="Arial"/>
          <w:sz w:val="17"/>
          <w:szCs w:val="17"/>
          <w:u w:val="single" w:color="auto"/>
          <w:color w:val="auto"/>
        </w:rPr>
        <w:t>Confidential Information</w:t>
      </w:r>
      <w:r>
        <w:rPr>
          <w:rFonts w:ascii="Arial" w:cs="Arial" w:eastAsia="Arial" w:hAnsi="Arial"/>
          <w:sz w:val="17"/>
          <w:szCs w:val="17"/>
          <w:color w:val="auto"/>
        </w:rPr>
        <w:t>”). Confidential Information excludes information which (i) is in the public domain through no act or omission of Participant in violation of any agreement that Participant is a party to with the Corporation, or (ii) has become available to Participant on a nonconfidential basis from a source other than the Corporation without breach of such source’s confidentiality or nondisclosure obligations to the Corporation. Executive further acknowledges that the Confidential Information is proprietary to the Corporation and its Affiliates, that the unauthorized disclosure of any of the Confidential Information to any person or entity will result in immediate and irreparable competitive injury to the Corporation and its Affiliates, and that such injury cannot adequately be remedied by an award of monetary damages. Accordingly, Executive shall not at any time disclose any Confidential Information to any person or entity who is not properly authorized by the Corporation or its Affiliates to receive the information without the prior written consent of the Chairman of the Board (which consent may be withheld for any reason or no reason) unless and except to the extent that such disclosure is required by any subpoena or other legal process (in which event Executive shall give the Chairman of the Board prompt written notice of such subpoena or other legal process in order to permit the Corporation and its Affiliates to seek appropriate protective orders), and that s/he shall not use any Confidential Information for his or her own account without the prior written consent of the Chairman of the Board (which consent may be withheld for any reason or no reason).</w:t>
      </w:r>
    </w:p>
    <w:p>
      <w:pPr>
        <w:spacing w:after="0" w:line="188" w:lineRule="exact"/>
        <w:rPr>
          <w:sz w:val="20"/>
          <w:szCs w:val="20"/>
          <w:color w:val="auto"/>
        </w:rPr>
      </w:pPr>
    </w:p>
    <w:p>
      <w:pPr>
        <w:jc w:val="both"/>
        <w:ind w:left="860" w:firstLine="798"/>
        <w:spacing w:after="0" w:line="275" w:lineRule="auto"/>
        <w:rPr>
          <w:sz w:val="20"/>
          <w:szCs w:val="20"/>
          <w:color w:val="auto"/>
        </w:rPr>
      </w:pPr>
      <w:r>
        <w:rPr>
          <w:rFonts w:ascii="Arial" w:cs="Arial" w:eastAsia="Arial" w:hAnsi="Arial"/>
          <w:sz w:val="17"/>
          <w:szCs w:val="17"/>
          <w:color w:val="auto"/>
        </w:rPr>
        <w:t>(B)Executive shall not during his or her employment with the Corporation or its Affiliates and thereafter until the expiration of the Non-Interference/Assistance Period, in any manner, directly or indirectly, through any person, firm or corporation, alone or as a member of a partnership or as an officer, director, shareholder, investor or employee of or in any other corporation or enterprise or otherwise, (i) engage in or be engaged in, or collaborate or partner with, or assist or provide perform any executive, managerial, supervisory, sales, marketing, research, consulting, or customer-related services to any other person, firm, corporation or enterprise in engaging or being</w:t>
      </w:r>
    </w:p>
    <w:p>
      <w:pPr>
        <w:spacing w:after="0" w:line="120" w:lineRule="exact"/>
        <w:rPr>
          <w:sz w:val="20"/>
          <w:szCs w:val="20"/>
          <w:color w:val="auto"/>
        </w:rPr>
      </w:pPr>
    </w:p>
    <w:p>
      <w:pPr>
        <w:ind w:left="880"/>
        <w:spacing w:after="0"/>
        <w:rPr>
          <w:sz w:val="20"/>
          <w:szCs w:val="20"/>
          <w:color w:val="auto"/>
        </w:rPr>
      </w:pPr>
      <w:r>
        <w:rPr>
          <w:rFonts w:ascii="Arial" w:cs="Arial" w:eastAsia="Arial" w:hAnsi="Arial"/>
          <w:sz w:val="22"/>
          <w:szCs w:val="22"/>
          <w:color w:val="auto"/>
        </w:rPr>
        <w:t>8</w:t>
      </w:r>
    </w:p>
    <w:p>
      <w:pPr>
        <w:spacing w:after="0"/>
        <w:rPr>
          <w:sz w:val="20"/>
          <w:szCs w:val="20"/>
          <w:color w:val="auto"/>
        </w:rPr>
      </w:pPr>
      <w:r>
        <w:rPr>
          <w:rFonts w:ascii="Arial" w:cs="Arial" w:eastAsia="Arial" w:hAnsi="Arial"/>
          <w:sz w:val="14"/>
          <w:szCs w:val="14"/>
          <w:color w:val="auto"/>
        </w:rPr>
        <w:t>4871-5083-7000.3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60960</wp:posOffset>
            </wp:positionV>
            <wp:extent cx="7174865" cy="425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355" w:right="339" w:bottom="1440" w:gutter="0" w:footer="0" w:header="0"/>
        </w:sectPr>
      </w:pPr>
    </w:p>
    <w:bookmarkStart w:id="54" w:name="page55"/>
    <w:bookmarkEnd w:id="54"/>
    <w:p>
      <w:pPr>
        <w:jc w:val="both"/>
        <w:ind w:left="860" w:firstLine="798"/>
        <w:spacing w:after="0" w:line="253" w:lineRule="auto"/>
        <w:rPr>
          <w:sz w:val="20"/>
          <w:szCs w:val="20"/>
          <w:color w:val="auto"/>
        </w:rPr>
      </w:pPr>
      <w:r>
        <w:rPr>
          <w:rFonts w:ascii="Arial" w:cs="Arial" w:eastAsia="Arial" w:hAnsi="Arial"/>
          <w:sz w:val="18"/>
          <w:szCs w:val="18"/>
          <w:color w:val="auto"/>
        </w:rPr>
        <w:t>engaged in, any Competitive Business within any state in which the Corporation or any Affiliate conducts business as of Executive’s Date of Termination, or (ii) directly or indirectly solicit, divert, take away, service, or accept the business of any active customer of the Corporation or any Affiliate, or any person or entity who is or was at any time during the previous one-year period a customer of the Corporation or any Affiliate. Nothing in this Section 9 prohibit Executive from being: (a) owning shares of a mutual fund or a diversified investment company or (b) passively owning not more than 5% of any class of outstanding equity securities of any corporation or other entity that is publicly traded, so long as Executive does not actively participate in the business of such corporation or other entity. For purposes of this Section 9, “Competitive Business” means the business then actively being conducted by the Corporation or any Affiliate as of the Date of Termination, and any area of business in which the Corporation or any Affiliate has engaged during the one year period immediately preceding the Date of Termination, including, but not limited to, the business of owning, acquiring, developing, building and/or leasing communication distribution systems.</w:t>
      </w:r>
    </w:p>
    <w:p>
      <w:pPr>
        <w:spacing w:after="0" w:line="194" w:lineRule="exact"/>
        <w:rPr>
          <w:sz w:val="20"/>
          <w:szCs w:val="20"/>
          <w:color w:val="auto"/>
        </w:rPr>
      </w:pPr>
    </w:p>
    <w:p>
      <w:pPr>
        <w:jc w:val="both"/>
        <w:ind w:left="860" w:firstLine="798"/>
        <w:spacing w:after="0" w:line="255" w:lineRule="auto"/>
        <w:rPr>
          <w:sz w:val="20"/>
          <w:szCs w:val="20"/>
          <w:color w:val="auto"/>
        </w:rPr>
      </w:pPr>
      <w:r>
        <w:rPr>
          <w:rFonts w:ascii="Arial" w:cs="Arial" w:eastAsia="Arial" w:hAnsi="Arial"/>
          <w:sz w:val="18"/>
          <w:szCs w:val="18"/>
          <w:color w:val="auto"/>
        </w:rPr>
        <w:t>(C)Executive shall not during his or her employment with the Corporation or its Affiliates and thereafter until the expiration of the Non-Interference/Assistance Period, employ, partner or collaborate on a business enterprise with or assist any person or entity in employing, any employee of the Corporation or an Affiliate. Executive shall not during his or her employment with the Corporation or its Affiliates and thereafter until the expiration of the Non-Interference/Assistance Period solicit, or assist any person or entity to solicit, any employee of the Corporation or any Affiliate to leave the employment of the Corporation or such Affiliate or to become employed by, or partner or collaborate on a business enterprise with, any other entity.</w:t>
      </w:r>
    </w:p>
    <w:p>
      <w:pPr>
        <w:spacing w:after="0" w:line="192" w:lineRule="exact"/>
        <w:rPr>
          <w:sz w:val="20"/>
          <w:szCs w:val="20"/>
          <w:color w:val="auto"/>
        </w:rPr>
      </w:pPr>
    </w:p>
    <w:p>
      <w:pPr>
        <w:jc w:val="both"/>
        <w:ind w:left="860" w:firstLine="798"/>
        <w:spacing w:after="0" w:line="259" w:lineRule="auto"/>
        <w:rPr>
          <w:sz w:val="20"/>
          <w:szCs w:val="20"/>
          <w:color w:val="auto"/>
        </w:rPr>
      </w:pPr>
      <w:r>
        <w:rPr>
          <w:rFonts w:ascii="Arial" w:cs="Arial" w:eastAsia="Arial" w:hAnsi="Arial"/>
          <w:sz w:val="18"/>
          <w:szCs w:val="18"/>
          <w:color w:val="auto"/>
        </w:rPr>
        <w:t>(D)If a court of competent jurisdictions holds that the restrictions stated herein are unreasonable under circumstances then existing, the parties agree to substitute the maximum period, scope or geographical area reasonable under such circumstances for the stated period, scope or area and that the court shall be allowed to revise and/or modify the restrictions contained herein to cover the maximum period, scope and area permitted by applicable law.</w:t>
      </w:r>
    </w:p>
    <w:p>
      <w:pPr>
        <w:spacing w:after="0" w:line="187" w:lineRule="exact"/>
        <w:rPr>
          <w:sz w:val="20"/>
          <w:szCs w:val="20"/>
          <w:color w:val="auto"/>
        </w:rPr>
      </w:pPr>
    </w:p>
    <w:p>
      <w:pPr>
        <w:jc w:val="both"/>
        <w:ind w:left="860" w:firstLine="798"/>
        <w:spacing w:after="0" w:line="285" w:lineRule="auto"/>
        <w:rPr>
          <w:sz w:val="20"/>
          <w:szCs w:val="20"/>
          <w:color w:val="auto"/>
        </w:rPr>
      </w:pPr>
      <w:r>
        <w:rPr>
          <w:rFonts w:ascii="Arial" w:cs="Arial" w:eastAsia="Arial" w:hAnsi="Arial"/>
          <w:sz w:val="16"/>
          <w:szCs w:val="16"/>
          <w:color w:val="auto"/>
        </w:rPr>
        <w:t>(E)Executive acknowledges that the covenants contained in this Section 9 are a principal inducement for the willingness of the Corporation to enter into this Agreement and make the payments and provide to Executive the benefits described in this Agreement and that the Corporation and Executive intend the covenants (i) to be binding upon and enforceable against Executive in accordance with their terms, notwithstanding any common or statutory law to the contrary; and (ii) to survive and continue in full force in accordance with their terms notwithstanding the termination of this Agreement. Executive agrees that the obligations of the Corporation under this Agreement (specifically including, but not limited to, the obligation to make any payment or provide any benefit under any of Paragraphs (A)(ii), (B)(ii)(c), (B)(ii)(d), (B)(ii)(e) and (B)(ii)(f) of Section 4) constitute sufficient consideration for the covenants contained in this Section 9. The Corporation and Executive further agree that the restrictions contained in this Section 9 are reasonable in period, scope and geographical area and are necessary to protect the legitimate business interests and Confidential Information of the Corporation and its Affiliates. Executive agrees that s/he will notify the Corporation in writing if s/he has any questions regarding the applicability of this Section 9. Because Executive’s services are unique and because Executive has access to Confidential Information, the parties agree that the Corporation and its Affiliates would be damaged irreparably in the event any of the provisions of this Section 9 were not performed in accordance with their specific terms or were otherwise breached and that money damages would be an inadequate remedy for any such non-performance or breach. In the event that Executive breaches or threatens to breach any such provision of this Section 9, the parties agree that the Corporation and its Affiliates shall be entitled to seek any and all equitable and legal relief provided by law, specifically including immediate and permanent injunctive relief to prevent any breach or threatened breach of any of such provisions and to enforce such provisions specifically (without posting a bond or other security). Executive hereby waives any claim that the Corporation and its Affiliates have an adequate remedy at law. The parties agree that the foregoing relief shall not be construed to limit or otherwise restrict the ability of the Corporation and its Affiliates to pursue any other remedy provided by law, including the recovery of any actual, compensatory or punitive damages.</w:t>
      </w:r>
    </w:p>
    <w:p>
      <w:pPr>
        <w:spacing w:after="0" w:line="169" w:lineRule="exact"/>
        <w:rPr>
          <w:sz w:val="20"/>
          <w:szCs w:val="20"/>
          <w:color w:val="auto"/>
        </w:rPr>
      </w:pPr>
    </w:p>
    <w:p>
      <w:pPr>
        <w:jc w:val="both"/>
        <w:ind w:left="860" w:hanging="784"/>
        <w:spacing w:after="0" w:line="296" w:lineRule="auto"/>
        <w:tabs>
          <w:tab w:leader="none" w:pos="840" w:val="left"/>
        </w:tabs>
        <w:rPr>
          <w:sz w:val="20"/>
          <w:szCs w:val="20"/>
          <w:color w:val="auto"/>
        </w:rPr>
      </w:pPr>
      <w:r>
        <w:rPr>
          <w:rFonts w:ascii="Arial" w:cs="Arial" w:eastAsia="Arial" w:hAnsi="Arial"/>
          <w:sz w:val="18"/>
          <w:szCs w:val="18"/>
          <w:color w:val="auto"/>
        </w:rPr>
        <w:t>10.</w:t>
      </w:r>
      <w:r>
        <w:rPr>
          <w:sz w:val="20"/>
          <w:szCs w:val="20"/>
          <w:color w:val="auto"/>
        </w:rPr>
        <w:tab/>
      </w:r>
      <w:r>
        <w:rPr>
          <w:rFonts w:ascii="Arial" w:cs="Arial" w:eastAsia="Arial" w:hAnsi="Arial"/>
          <w:sz w:val="16"/>
          <w:szCs w:val="16"/>
          <w:u w:val="single" w:color="auto"/>
          <w:color w:val="auto"/>
        </w:rPr>
        <w:t>Cessation of Payments; Recoupment</w:t>
      </w:r>
      <w:r>
        <w:rPr>
          <w:rFonts w:ascii="Arial" w:cs="Arial" w:eastAsia="Arial" w:hAnsi="Arial"/>
          <w:sz w:val="16"/>
          <w:szCs w:val="16"/>
          <w:color w:val="auto"/>
        </w:rPr>
        <w:t>. The Corporation and Executive acknowledge and agree that the Corporation may cease</w:t>
      </w:r>
      <w:r>
        <w:rPr>
          <w:rFonts w:ascii="Arial" w:cs="Arial" w:eastAsia="Arial" w:hAnsi="Arial"/>
          <w:sz w:val="16"/>
          <w:szCs w:val="16"/>
          <w:u w:val="single" w:color="auto"/>
          <w:color w:val="auto"/>
        </w:rPr>
        <w:t xml:space="preserve"> </w:t>
      </w:r>
      <w:r>
        <w:rPr>
          <w:rFonts w:ascii="Arial" w:cs="Arial" w:eastAsia="Arial" w:hAnsi="Arial"/>
          <w:sz w:val="16"/>
          <w:szCs w:val="16"/>
          <w:color w:val="auto"/>
        </w:rPr>
        <w:t>making any and all payments payable under Paragraphs (A)(ii), (B)(ii)(c), (B)(ii)(d), (B)(ii)(e) and (B)(ii)(f) of Section 4 if the Corporation reasonably believes that Executive has breached, or is in breach of, any of his/her obligations under Section 9 as evidenced by a resolution duly adopted by the affirmative vote of not less than a majority of the entire membership of the Board at a meeting of the Board that was called and held for the purpose of considering such action (after reasonable notice to Executive and an opportunity for Executive, together</w:t>
      </w:r>
    </w:p>
    <w:p>
      <w:pPr>
        <w:spacing w:after="0" w:line="10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9</w:t>
      </w:r>
    </w:p>
    <w:p>
      <w:pPr>
        <w:spacing w:after="0"/>
        <w:rPr>
          <w:sz w:val="20"/>
          <w:szCs w:val="20"/>
          <w:color w:val="auto"/>
        </w:rPr>
      </w:pPr>
      <w:r>
        <w:rPr>
          <w:rFonts w:ascii="Arial" w:cs="Arial" w:eastAsia="Arial" w:hAnsi="Arial"/>
          <w:sz w:val="14"/>
          <w:szCs w:val="14"/>
          <w:color w:val="auto"/>
        </w:rPr>
        <w:t>4871-5083-7000.3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60960</wp:posOffset>
            </wp:positionV>
            <wp:extent cx="7174865" cy="425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355" w:right="339" w:bottom="1440" w:gutter="0" w:footer="0" w:header="0"/>
        </w:sectPr>
      </w:pPr>
    </w:p>
    <w:bookmarkStart w:id="55" w:name="page56"/>
    <w:bookmarkEnd w:id="55"/>
    <w:p>
      <w:pPr>
        <w:jc w:val="both"/>
        <w:ind w:left="860" w:firstLine="798"/>
        <w:spacing w:after="0" w:line="293" w:lineRule="auto"/>
        <w:rPr>
          <w:sz w:val="20"/>
          <w:szCs w:val="20"/>
          <w:color w:val="auto"/>
        </w:rPr>
      </w:pPr>
      <w:r>
        <w:rPr>
          <w:rFonts w:ascii="Arial" w:cs="Arial" w:eastAsia="Arial" w:hAnsi="Arial"/>
          <w:sz w:val="16"/>
          <w:szCs w:val="16"/>
          <w:color w:val="auto"/>
        </w:rPr>
        <w:t>with his or her counsel, to be heard by the members of the Board) finding that, in the informed, reasonable, good faith judgment of the Board, Executive has breached, or is in breach of, any of his/her obligations under Section 9, and specifying the particulars thereof in detail. Without prejudice to any other remedies available to the Corporation under this Agreement or applicable law, the Corporation may also seek to recoup, and Executive agrees to return upon Corporation’s written request, any payments (other than Executive’s annual base salary and any accrued vacation pay through the Date of Termination) made to Executive under Paragraphs (A)(ii), (B)(ii)(c), (B)(ii)(d), (B)(ii)(e) and (B)(ii) (f) of Section 4 if Executive has breached, or is in breach of, any of Executive’s obligations under this Agreement.</w:t>
      </w:r>
    </w:p>
    <w:p>
      <w:pPr>
        <w:spacing w:after="0" w:line="164" w:lineRule="exact"/>
        <w:rPr>
          <w:sz w:val="20"/>
          <w:szCs w:val="20"/>
          <w:color w:val="auto"/>
        </w:rPr>
      </w:pPr>
    </w:p>
    <w:p>
      <w:pPr>
        <w:ind w:left="80"/>
        <w:spacing w:after="0"/>
        <w:tabs>
          <w:tab w:leader="none" w:pos="1640" w:val="left"/>
        </w:tabs>
        <w:rPr>
          <w:sz w:val="20"/>
          <w:szCs w:val="20"/>
          <w:color w:val="auto"/>
        </w:rPr>
      </w:pPr>
      <w:r>
        <w:rPr>
          <w:rFonts w:ascii="Arial" w:cs="Arial" w:eastAsia="Arial" w:hAnsi="Arial"/>
          <w:sz w:val="18"/>
          <w:szCs w:val="18"/>
          <w:color w:val="auto"/>
        </w:rPr>
        <w:t>11.</w:t>
      </w:r>
      <w:r>
        <w:rPr>
          <w:sz w:val="20"/>
          <w:szCs w:val="20"/>
          <w:color w:val="auto"/>
        </w:rPr>
        <w:tab/>
      </w:r>
      <w:r>
        <w:rPr>
          <w:rFonts w:ascii="Arial" w:cs="Arial" w:eastAsia="Arial" w:hAnsi="Arial"/>
          <w:sz w:val="18"/>
          <w:szCs w:val="18"/>
          <w:u w:val="single" w:color="auto"/>
          <w:color w:val="auto"/>
        </w:rPr>
        <w:t>Disputes</w:t>
      </w:r>
      <w:r>
        <w:rPr>
          <w:rFonts w:ascii="Arial" w:cs="Arial" w:eastAsia="Arial" w:hAnsi="Arial"/>
          <w:sz w:val="18"/>
          <w:szCs w:val="18"/>
          <w:color w:val="auto"/>
        </w:rPr>
        <w:t>.</w:t>
      </w:r>
    </w:p>
    <w:p>
      <w:pPr>
        <w:spacing w:after="0" w:line="225" w:lineRule="exact"/>
        <w:rPr>
          <w:sz w:val="20"/>
          <w:szCs w:val="20"/>
          <w:color w:val="auto"/>
        </w:rPr>
      </w:pPr>
    </w:p>
    <w:p>
      <w:pPr>
        <w:jc w:val="both"/>
        <w:ind w:left="860" w:firstLine="798"/>
        <w:spacing w:after="0" w:line="273" w:lineRule="auto"/>
        <w:rPr>
          <w:sz w:val="20"/>
          <w:szCs w:val="20"/>
          <w:color w:val="auto"/>
        </w:rPr>
      </w:pPr>
      <w:r>
        <w:rPr>
          <w:rFonts w:ascii="Arial" w:cs="Arial" w:eastAsia="Arial" w:hAnsi="Arial"/>
          <w:sz w:val="17"/>
          <w:szCs w:val="17"/>
          <w:color w:val="auto"/>
        </w:rPr>
        <w:t>(A)Except as set forth in Section 11(B) below, any dispute or controversy arising out of or in connection with this Agreement shall, upon a written notice from Executive to the Corporation either before suit thereupon is filed or within 20 business days thereafter, be settled exclusively by binding arbitration in accordance with the Commercial Arbitration Rules of the American Arbitration Association. The arbitration proceeding shall be conducted before a panel of three arbitrators sitting in the municipality in which Executive’s principal place of employment with the Corporation (or, if applicable, an Affiliate) is (or was, in the event that Executive’s employment is terminated prior to the initiation of arbitration proceedings) located. Judgment may be entered on the arbitrator’s award in any court having jurisdiction.</w:t>
      </w:r>
    </w:p>
    <w:p>
      <w:pPr>
        <w:spacing w:after="0" w:line="178" w:lineRule="exact"/>
        <w:rPr>
          <w:sz w:val="20"/>
          <w:szCs w:val="20"/>
          <w:color w:val="auto"/>
        </w:rPr>
      </w:pPr>
    </w:p>
    <w:p>
      <w:pPr>
        <w:jc w:val="both"/>
        <w:ind w:left="860" w:firstLine="798"/>
        <w:spacing w:after="0" w:line="263" w:lineRule="auto"/>
        <w:rPr>
          <w:sz w:val="20"/>
          <w:szCs w:val="20"/>
          <w:color w:val="auto"/>
        </w:rPr>
      </w:pPr>
      <w:r>
        <w:rPr>
          <w:rFonts w:ascii="Arial" w:cs="Arial" w:eastAsia="Arial" w:hAnsi="Arial"/>
          <w:sz w:val="18"/>
          <w:szCs w:val="18"/>
          <w:color w:val="auto"/>
        </w:rPr>
        <w:t>(B)Notwithstanding anything to the contrary in Section 11(A), the Corporation shall not be required to seek or participate in arbitration regarding any breach or threatened breach by Executive of his or her obligations under Section 9, and may instead pursue its remedies for such breach in a court of competent jurisdiction in accordance with Section 15.</w:t>
      </w:r>
    </w:p>
    <w:p>
      <w:pPr>
        <w:spacing w:after="0" w:line="184" w:lineRule="exact"/>
        <w:rPr>
          <w:sz w:val="20"/>
          <w:szCs w:val="20"/>
          <w:color w:val="auto"/>
        </w:rPr>
      </w:pPr>
    </w:p>
    <w:p>
      <w:pPr>
        <w:jc w:val="both"/>
        <w:ind w:left="860" w:firstLine="798"/>
        <w:spacing w:after="0" w:line="275" w:lineRule="auto"/>
        <w:rPr>
          <w:sz w:val="20"/>
          <w:szCs w:val="20"/>
          <w:color w:val="auto"/>
        </w:rPr>
      </w:pPr>
      <w:r>
        <w:rPr>
          <w:rFonts w:ascii="Arial" w:cs="Arial" w:eastAsia="Arial" w:hAnsi="Arial"/>
          <w:sz w:val="17"/>
          <w:szCs w:val="17"/>
          <w:color w:val="auto"/>
        </w:rPr>
        <w:t>(C)Corporation undertakes and agrees that if Corporation breaches or threatens to breach any material provision of this Agreement, Corporation shall be liable for any attorneys’ fees and costs reasonably incurred by Executive in enforcing, in accordance with the terms of this Agreement, Executive’s rights under this Agreement. Executive undertakes and agrees that if Executive breaches or threatens to breach any provision of this Agreement, Executive shall be liable for any attorneys’ fees and costs reasonably incurred by the Corporation in enforcing, in accordance with the terms of this Agreement, its rights under this Agreement.</w:t>
      </w:r>
    </w:p>
    <w:p>
      <w:pPr>
        <w:spacing w:after="0" w:line="176" w:lineRule="exact"/>
        <w:rPr>
          <w:sz w:val="20"/>
          <w:szCs w:val="20"/>
          <w:color w:val="auto"/>
        </w:rPr>
      </w:pPr>
    </w:p>
    <w:p>
      <w:pPr>
        <w:ind w:left="80"/>
        <w:spacing w:after="0"/>
        <w:tabs>
          <w:tab w:leader="none" w:pos="1640" w:val="left"/>
        </w:tabs>
        <w:rPr>
          <w:sz w:val="20"/>
          <w:szCs w:val="20"/>
          <w:color w:val="auto"/>
        </w:rPr>
      </w:pPr>
      <w:r>
        <w:rPr>
          <w:rFonts w:ascii="Arial" w:cs="Arial" w:eastAsia="Arial" w:hAnsi="Arial"/>
          <w:sz w:val="18"/>
          <w:szCs w:val="18"/>
          <w:color w:val="auto"/>
        </w:rPr>
        <w:t>12.</w:t>
      </w:r>
      <w:r>
        <w:rPr>
          <w:sz w:val="20"/>
          <w:szCs w:val="20"/>
          <w:color w:val="auto"/>
        </w:rPr>
        <w:tab/>
      </w:r>
      <w:r>
        <w:rPr>
          <w:rFonts w:ascii="Arial" w:cs="Arial" w:eastAsia="Arial" w:hAnsi="Arial"/>
          <w:sz w:val="18"/>
          <w:szCs w:val="18"/>
          <w:u w:val="single" w:color="auto"/>
          <w:color w:val="auto"/>
        </w:rPr>
        <w:t>Successors; Binding Agreement</w:t>
      </w:r>
      <w:r>
        <w:rPr>
          <w:rFonts w:ascii="Arial" w:cs="Arial" w:eastAsia="Arial" w:hAnsi="Arial"/>
          <w:sz w:val="18"/>
          <w:szCs w:val="18"/>
          <w:color w:val="auto"/>
        </w:rPr>
        <w:t>.</w:t>
      </w:r>
    </w:p>
    <w:p>
      <w:pPr>
        <w:spacing w:after="0" w:line="225" w:lineRule="exact"/>
        <w:rPr>
          <w:sz w:val="20"/>
          <w:szCs w:val="20"/>
          <w:color w:val="auto"/>
        </w:rPr>
      </w:pPr>
    </w:p>
    <w:p>
      <w:pPr>
        <w:jc w:val="both"/>
        <w:ind w:left="860" w:firstLine="798"/>
        <w:spacing w:after="0" w:line="277" w:lineRule="auto"/>
        <w:rPr>
          <w:sz w:val="20"/>
          <w:szCs w:val="20"/>
          <w:color w:val="auto"/>
        </w:rPr>
      </w:pPr>
      <w:r>
        <w:rPr>
          <w:rFonts w:ascii="Arial" w:cs="Arial" w:eastAsia="Arial" w:hAnsi="Arial"/>
          <w:sz w:val="18"/>
          <w:szCs w:val="18"/>
          <w:color w:val="auto"/>
        </w:rPr>
        <w:t>(A)Except as otherwise provided herein, all covenants and agreements contained in this Agreement shall bind and inure to the benefit of and be enforceable by and upon the Corporation and its successors and assigns.</w:t>
      </w:r>
    </w:p>
    <w:p>
      <w:pPr>
        <w:spacing w:after="0" w:line="170" w:lineRule="exact"/>
        <w:rPr>
          <w:sz w:val="20"/>
          <w:szCs w:val="20"/>
          <w:color w:val="auto"/>
        </w:rPr>
      </w:pPr>
    </w:p>
    <w:p>
      <w:pPr>
        <w:jc w:val="both"/>
        <w:ind w:left="860" w:firstLine="798"/>
        <w:spacing w:after="0" w:line="257" w:lineRule="auto"/>
        <w:rPr>
          <w:sz w:val="20"/>
          <w:szCs w:val="20"/>
          <w:color w:val="auto"/>
        </w:rPr>
      </w:pPr>
      <w:r>
        <w:rPr>
          <w:rFonts w:ascii="Arial" w:cs="Arial" w:eastAsia="Arial" w:hAnsi="Arial"/>
          <w:sz w:val="18"/>
          <w:szCs w:val="18"/>
          <w:color w:val="auto"/>
        </w:rPr>
        <w:t>(B)This Agreement shall inure to the benefit of and be enforceable by Executive’s personal or legal representatives, executors, administrators, successors, heirs, distributees, devisees, and legatees. Any and all amounts payable to Executive hereunder that, as a result of Executive’s death, would not be paid until after Executive’s death (other than amounts which, by their terms, terminate upon the death of Executive) shall be paid in accordance with the terms of this Agreement to the executors, personal representatives, or administrators of Executive’s estate.</w:t>
      </w:r>
    </w:p>
    <w:p>
      <w:pPr>
        <w:spacing w:after="0" w:line="188" w:lineRule="exact"/>
        <w:rPr>
          <w:sz w:val="20"/>
          <w:szCs w:val="20"/>
          <w:color w:val="auto"/>
        </w:rPr>
      </w:pPr>
    </w:p>
    <w:p>
      <w:pPr>
        <w:jc w:val="both"/>
        <w:ind w:left="860" w:hanging="784"/>
        <w:spacing w:after="0" w:line="279" w:lineRule="auto"/>
        <w:tabs>
          <w:tab w:leader="none" w:pos="840" w:val="left"/>
        </w:tabs>
        <w:rPr>
          <w:sz w:val="20"/>
          <w:szCs w:val="20"/>
          <w:color w:val="auto"/>
        </w:rPr>
      </w:pPr>
      <w:r>
        <w:rPr>
          <w:rFonts w:ascii="Arial" w:cs="Arial" w:eastAsia="Arial" w:hAnsi="Arial"/>
          <w:sz w:val="18"/>
          <w:szCs w:val="18"/>
          <w:color w:val="auto"/>
        </w:rPr>
        <w:t>13.</w:t>
      </w:r>
      <w:r>
        <w:rPr>
          <w:sz w:val="20"/>
          <w:szCs w:val="20"/>
          <w:color w:val="auto"/>
        </w:rPr>
        <w:tab/>
      </w:r>
      <w:r>
        <w:rPr>
          <w:rFonts w:ascii="Arial" w:cs="Arial" w:eastAsia="Arial" w:hAnsi="Arial"/>
          <w:sz w:val="17"/>
          <w:szCs w:val="17"/>
          <w:u w:val="single" w:color="auto"/>
          <w:color w:val="auto"/>
        </w:rPr>
        <w:t>Notices</w:t>
      </w:r>
      <w:r>
        <w:rPr>
          <w:rFonts w:ascii="Arial" w:cs="Arial" w:eastAsia="Arial" w:hAnsi="Arial"/>
          <w:sz w:val="17"/>
          <w:szCs w:val="17"/>
          <w:color w:val="auto"/>
        </w:rPr>
        <w:t>. For purposes of this Agreement, all notices and other communications provided pursuant to the Agreement shall be in</w:t>
      </w:r>
      <w:r>
        <w:rPr>
          <w:rFonts w:ascii="Arial" w:cs="Arial" w:eastAsia="Arial" w:hAnsi="Arial"/>
          <w:sz w:val="17"/>
          <w:szCs w:val="17"/>
          <w:u w:val="single" w:color="auto"/>
          <w:color w:val="auto"/>
        </w:rPr>
        <w:t xml:space="preserve"> </w:t>
      </w:r>
      <w:r>
        <w:rPr>
          <w:rFonts w:ascii="Arial" w:cs="Arial" w:eastAsia="Arial" w:hAnsi="Arial"/>
          <w:sz w:val="17"/>
          <w:szCs w:val="17"/>
          <w:color w:val="auto"/>
        </w:rPr>
        <w:t>writing and shall be deemed to have been duly given when delivered or mailed by United States registered mail, return receipt requested, postage prepaid, addressed to the respective addresses set forth below, or to such other address as either party may have furnished to the other in writing in accordance herewith, except that notice of change of address shall be effective only upon actual receipt:</w:t>
      </w:r>
    </w:p>
    <w:p>
      <w:pPr>
        <w:sectPr>
          <w:pgSz w:w="11900" w:h="16838" w:orient="portrait"/>
          <w:cols w:equalWidth="0" w:num="1">
            <w:col w:w="11240"/>
          </w:cols>
          <w:pgMar w:left="320" w:top="355" w:right="339" w:bottom="1440" w:gutter="0" w:footer="0" w:header="0"/>
        </w:sectPr>
      </w:pPr>
    </w:p>
    <w:p>
      <w:pPr>
        <w:spacing w:after="0" w:line="387" w:lineRule="exact"/>
        <w:rPr>
          <w:sz w:val="20"/>
          <w:szCs w:val="20"/>
          <w:color w:val="auto"/>
        </w:rPr>
      </w:pPr>
    </w:p>
    <w:p>
      <w:pPr>
        <w:ind w:left="120"/>
        <w:spacing w:after="0"/>
        <w:rPr>
          <w:sz w:val="20"/>
          <w:szCs w:val="20"/>
          <w:color w:val="auto"/>
        </w:rPr>
      </w:pPr>
      <w:r>
        <w:rPr>
          <w:rFonts w:ascii="Arial" w:cs="Arial" w:eastAsia="Arial" w:hAnsi="Arial"/>
          <w:sz w:val="16"/>
          <w:szCs w:val="16"/>
          <w:color w:val="auto"/>
        </w:rPr>
        <w:t>To the Corporation:</w:t>
      </w:r>
    </w:p>
    <w:p>
      <w:pPr>
        <w:spacing w:after="0" w:line="20" w:lineRule="exact"/>
        <w:rPr>
          <w:sz w:val="20"/>
          <w:szCs w:val="20"/>
          <w:color w:val="auto"/>
        </w:rPr>
      </w:pPr>
      <w:r>
        <w:rPr>
          <w:sz w:val="20"/>
          <w:szCs w:val="20"/>
          <w:color w:val="auto"/>
        </w:rPr>
        <w:br w:type="column"/>
      </w:r>
    </w:p>
    <w:p>
      <w:pPr>
        <w:spacing w:after="0" w:line="36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Uniti Group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2101 Riverfront Drive, Suite A</w:t>
      </w:r>
    </w:p>
    <w:p>
      <w:pPr>
        <w:spacing w:after="0" w:line="9" w:lineRule="exact"/>
        <w:rPr>
          <w:sz w:val="20"/>
          <w:szCs w:val="20"/>
          <w:color w:val="auto"/>
        </w:rPr>
      </w:pPr>
    </w:p>
    <w:p>
      <w:pPr>
        <w:ind w:left="1600"/>
        <w:spacing w:after="0"/>
        <w:rPr>
          <w:sz w:val="20"/>
          <w:szCs w:val="20"/>
          <w:color w:val="auto"/>
        </w:rPr>
      </w:pPr>
      <w:r>
        <w:rPr>
          <w:rFonts w:ascii="Arial" w:cs="Arial" w:eastAsia="Arial" w:hAnsi="Arial"/>
          <w:sz w:val="18"/>
          <w:szCs w:val="18"/>
          <w:color w:val="auto"/>
        </w:rPr>
        <w:t>Little Rock, AR 72202</w:t>
      </w:r>
    </w:p>
    <w:p>
      <w:pPr>
        <w:spacing w:after="0" w:line="9" w:lineRule="exact"/>
        <w:rPr>
          <w:sz w:val="20"/>
          <w:szCs w:val="20"/>
          <w:color w:val="auto"/>
        </w:rPr>
      </w:pPr>
    </w:p>
    <w:p>
      <w:pPr>
        <w:ind w:left="1600"/>
        <w:spacing w:after="0"/>
        <w:rPr>
          <w:sz w:val="20"/>
          <w:szCs w:val="20"/>
          <w:color w:val="auto"/>
        </w:rPr>
      </w:pPr>
      <w:r>
        <w:rPr>
          <w:rFonts w:ascii="Arial" w:cs="Arial" w:eastAsia="Arial" w:hAnsi="Arial"/>
          <w:sz w:val="17"/>
          <w:szCs w:val="17"/>
          <w:color w:val="auto"/>
        </w:rPr>
        <w:t>Attention: Chief Executive Officer</w:t>
      </w:r>
    </w:p>
    <w:p>
      <w:pPr>
        <w:spacing w:after="0" w:line="200" w:lineRule="exact"/>
        <w:rPr>
          <w:sz w:val="20"/>
          <w:szCs w:val="20"/>
          <w:color w:val="auto"/>
        </w:rPr>
      </w:pPr>
    </w:p>
    <w:p>
      <w:pPr>
        <w:sectPr>
          <w:pgSz w:w="11900" w:h="16838" w:orient="portrait"/>
          <w:cols w:equalWidth="0" w:num="2">
            <w:col w:w="1540" w:space="120"/>
            <w:col w:w="9580"/>
          </w:cols>
          <w:pgMar w:left="320" w:top="355" w:right="339" w:bottom="1440" w:gutter="0" w:footer="0" w:header="0"/>
          <w:type w:val="continuous"/>
        </w:sectPr>
      </w:pPr>
    </w:p>
    <w:p>
      <w:pPr>
        <w:spacing w:after="0" w:line="204" w:lineRule="exact"/>
        <w:rPr>
          <w:sz w:val="20"/>
          <w:szCs w:val="20"/>
          <w:color w:val="auto"/>
        </w:rPr>
      </w:pPr>
    </w:p>
    <w:p>
      <w:pPr>
        <w:ind w:left="880"/>
        <w:spacing w:after="0"/>
        <w:rPr>
          <w:sz w:val="20"/>
          <w:szCs w:val="20"/>
          <w:color w:val="auto"/>
        </w:rPr>
      </w:pPr>
      <w:r>
        <w:rPr>
          <w:rFonts w:ascii="Arial" w:cs="Arial" w:eastAsia="Arial" w:hAnsi="Arial"/>
          <w:sz w:val="17"/>
          <w:szCs w:val="17"/>
          <w:color w:val="auto"/>
        </w:rPr>
        <w:t>10</w:t>
      </w:r>
    </w:p>
    <w:p>
      <w:pPr>
        <w:spacing w:after="0" w:line="35" w:lineRule="exact"/>
        <w:rPr>
          <w:sz w:val="20"/>
          <w:szCs w:val="20"/>
          <w:color w:val="auto"/>
        </w:rPr>
      </w:pPr>
    </w:p>
    <w:p>
      <w:pPr>
        <w:spacing w:after="0"/>
        <w:rPr>
          <w:sz w:val="20"/>
          <w:szCs w:val="20"/>
          <w:color w:val="auto"/>
        </w:rPr>
      </w:pPr>
      <w:r>
        <w:rPr>
          <w:rFonts w:ascii="Arial" w:cs="Arial" w:eastAsia="Arial" w:hAnsi="Arial"/>
          <w:sz w:val="13"/>
          <w:szCs w:val="13"/>
          <w:color w:val="auto"/>
        </w:rPr>
        <w:t>4871-5083-7000.3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67945</wp:posOffset>
            </wp:positionV>
            <wp:extent cx="7174865" cy="425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355" w:right="339" w:bottom="1440" w:gutter="0" w:footer="0" w:header="0"/>
          <w:type w:val="continuous"/>
        </w:sectPr>
      </w:pPr>
    </w:p>
    <w:bookmarkStart w:id="56" w:name="page57"/>
    <w:bookmarkEnd w:id="56"/>
    <w:tbl>
      <w:tblPr>
        <w:tblLayout w:type="fixed"/>
        <w:tblInd w:w="80" w:type="dxa"/>
        <w:tblCellMar>
          <w:top w:w="0" w:type="dxa"/>
          <w:left w:w="0" w:type="dxa"/>
          <w:bottom w:w="0" w:type="dxa"/>
          <w:right w:w="0" w:type="dxa"/>
        </w:tblCellMar>
      </w:tblPr>
      <w:tr>
        <w:trPr>
          <w:trHeight w:val="216"/>
        </w:trPr>
        <w:tc>
          <w:tcPr>
            <w:tcW w:w="1580" w:type="dxa"/>
            <w:vAlign w:val="bottom"/>
          </w:tcPr>
          <w:p>
            <w:pPr>
              <w:spacing w:after="0"/>
              <w:rPr>
                <w:sz w:val="20"/>
                <w:szCs w:val="20"/>
                <w:color w:val="auto"/>
              </w:rPr>
            </w:pPr>
            <w:r>
              <w:rPr>
                <w:rFonts w:ascii="Arial" w:cs="Arial" w:eastAsia="Arial" w:hAnsi="Arial"/>
                <w:sz w:val="18"/>
                <w:szCs w:val="18"/>
                <w:color w:val="auto"/>
              </w:rPr>
              <w:t>To Executive:</w:t>
            </w:r>
          </w:p>
        </w:tc>
        <w:tc>
          <w:tcPr>
            <w:tcW w:w="9580" w:type="dxa"/>
            <w:vAlign w:val="bottom"/>
            <w:gridSpan w:val="2"/>
          </w:tcPr>
          <w:p>
            <w:pPr>
              <w:ind w:left="140"/>
              <w:spacing w:after="0"/>
              <w:rPr>
                <w:sz w:val="20"/>
                <w:szCs w:val="20"/>
                <w:color w:val="auto"/>
              </w:rPr>
            </w:pPr>
            <w:r>
              <w:rPr>
                <w:rFonts w:ascii="Arial" w:cs="Arial" w:eastAsia="Arial" w:hAnsi="Arial"/>
                <w:sz w:val="18"/>
                <w:szCs w:val="18"/>
                <w:color w:val="auto"/>
              </w:rPr>
              <w:t>Michael Friloux</w:t>
            </w:r>
          </w:p>
        </w:tc>
      </w:tr>
      <w:tr>
        <w:trPr>
          <w:trHeight w:val="216"/>
        </w:trPr>
        <w:tc>
          <w:tcPr>
            <w:tcW w:w="1580" w:type="dxa"/>
            <w:vAlign w:val="bottom"/>
          </w:tcPr>
          <w:p>
            <w:pPr>
              <w:spacing w:after="0"/>
              <w:rPr>
                <w:sz w:val="18"/>
                <w:szCs w:val="18"/>
                <w:color w:val="auto"/>
              </w:rPr>
            </w:pPr>
          </w:p>
        </w:tc>
        <w:tc>
          <w:tcPr>
            <w:tcW w:w="9580" w:type="dxa"/>
            <w:vAlign w:val="bottom"/>
            <w:gridSpan w:val="2"/>
          </w:tcPr>
          <w:p>
            <w:pPr>
              <w:spacing w:after="0"/>
              <w:rPr>
                <w:sz w:val="20"/>
                <w:szCs w:val="20"/>
                <w:color w:val="auto"/>
              </w:rPr>
            </w:pPr>
            <w:r>
              <w:rPr>
                <w:rFonts w:ascii="Arial" w:cs="Arial" w:eastAsia="Arial" w:hAnsi="Arial"/>
                <w:sz w:val="18"/>
                <w:szCs w:val="18"/>
                <w:color w:val="auto"/>
              </w:rPr>
              <w:t>XXXXX</w:t>
            </w:r>
          </w:p>
        </w:tc>
      </w:tr>
      <w:tr>
        <w:trPr>
          <w:trHeight w:val="230"/>
        </w:trPr>
        <w:tc>
          <w:tcPr>
            <w:tcW w:w="1580" w:type="dxa"/>
            <w:vAlign w:val="bottom"/>
          </w:tcPr>
          <w:p>
            <w:pPr>
              <w:spacing w:after="0"/>
              <w:rPr>
                <w:sz w:val="20"/>
                <w:szCs w:val="20"/>
                <w:color w:val="auto"/>
              </w:rPr>
            </w:pPr>
          </w:p>
        </w:tc>
        <w:tc>
          <w:tcPr>
            <w:tcW w:w="9580" w:type="dxa"/>
            <w:vAlign w:val="bottom"/>
            <w:gridSpan w:val="2"/>
          </w:tcPr>
          <w:p>
            <w:pPr>
              <w:spacing w:after="0"/>
              <w:rPr>
                <w:sz w:val="20"/>
                <w:szCs w:val="20"/>
                <w:color w:val="auto"/>
              </w:rPr>
            </w:pPr>
            <w:r>
              <w:rPr>
                <w:rFonts w:ascii="Arial" w:cs="Arial" w:eastAsia="Arial" w:hAnsi="Arial"/>
                <w:sz w:val="18"/>
                <w:szCs w:val="18"/>
                <w:color w:val="auto"/>
              </w:rPr>
              <w:t>XXXXX</w:t>
            </w:r>
          </w:p>
        </w:tc>
      </w:tr>
      <w:tr>
        <w:trPr>
          <w:trHeight w:val="392"/>
        </w:trPr>
        <w:tc>
          <w:tcPr>
            <w:tcW w:w="1580" w:type="dxa"/>
            <w:vAlign w:val="bottom"/>
          </w:tcPr>
          <w:p>
            <w:pPr>
              <w:spacing w:after="0"/>
              <w:rPr>
                <w:sz w:val="20"/>
                <w:szCs w:val="20"/>
                <w:color w:val="auto"/>
              </w:rPr>
            </w:pPr>
            <w:r>
              <w:rPr>
                <w:rFonts w:ascii="Arial" w:cs="Arial" w:eastAsia="Arial" w:hAnsi="Arial"/>
                <w:sz w:val="18"/>
                <w:szCs w:val="18"/>
                <w:color w:val="auto"/>
              </w:rPr>
              <w:t>14.</w:t>
            </w:r>
          </w:p>
        </w:tc>
        <w:tc>
          <w:tcPr>
            <w:tcW w:w="9580" w:type="dxa"/>
            <w:vAlign w:val="bottom"/>
            <w:gridSpan w:val="2"/>
          </w:tcPr>
          <w:p>
            <w:pPr>
              <w:spacing w:after="0"/>
              <w:rPr>
                <w:sz w:val="20"/>
                <w:szCs w:val="20"/>
                <w:color w:val="auto"/>
              </w:rPr>
            </w:pPr>
            <w:r>
              <w:rPr>
                <w:rFonts w:ascii="Arial" w:cs="Arial" w:eastAsia="Arial" w:hAnsi="Arial"/>
                <w:sz w:val="18"/>
                <w:szCs w:val="18"/>
                <w:color w:val="auto"/>
                <w:w w:val="92"/>
              </w:rPr>
              <w:t>Miscellaneous. Except as otherwise provided in Section 6, no provision of this Agreement may be modified, waived, or discharged</w:t>
            </w:r>
          </w:p>
        </w:tc>
      </w:tr>
      <w:tr>
        <w:trPr>
          <w:trHeight w:val="20"/>
        </w:trPr>
        <w:tc>
          <w:tcPr>
            <w:tcW w:w="1580" w:type="dxa"/>
            <w:vAlign w:val="bottom"/>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8540" w:type="dxa"/>
            <w:vAlign w:val="bottom"/>
          </w:tcPr>
          <w:p>
            <w:pPr>
              <w:spacing w:after="0" w:line="20" w:lineRule="exact"/>
              <w:rPr>
                <w:sz w:val="1"/>
                <w:szCs w:val="1"/>
                <w:color w:val="auto"/>
              </w:rPr>
            </w:pPr>
          </w:p>
        </w:tc>
      </w:tr>
      <w:tr>
        <w:trPr>
          <w:trHeight w:val="222"/>
        </w:trPr>
        <w:tc>
          <w:tcPr>
            <w:tcW w:w="11160" w:type="dxa"/>
            <w:vAlign w:val="bottom"/>
            <w:gridSpan w:val="3"/>
          </w:tcPr>
          <w:p>
            <w:pPr>
              <w:ind w:left="780"/>
              <w:spacing w:after="0"/>
              <w:rPr>
                <w:sz w:val="20"/>
                <w:szCs w:val="20"/>
                <w:color w:val="auto"/>
              </w:rPr>
            </w:pPr>
            <w:r>
              <w:rPr>
                <w:rFonts w:ascii="Arial" w:cs="Arial" w:eastAsia="Arial" w:hAnsi="Arial"/>
                <w:sz w:val="18"/>
                <w:szCs w:val="18"/>
                <w:color w:val="auto"/>
                <w:w w:val="94"/>
              </w:rPr>
              <w:t>unless such waiver, modification, or discharge is agreed to in writing and signed by Executive and an officer of the Corporation specifically</w:t>
            </w:r>
          </w:p>
        </w:tc>
      </w:tr>
      <w:tr>
        <w:trPr>
          <w:trHeight w:val="216"/>
        </w:trPr>
        <w:tc>
          <w:tcPr>
            <w:tcW w:w="11160" w:type="dxa"/>
            <w:vAlign w:val="bottom"/>
            <w:gridSpan w:val="3"/>
          </w:tcPr>
          <w:p>
            <w:pPr>
              <w:ind w:left="780"/>
              <w:spacing w:after="0"/>
              <w:rPr>
                <w:sz w:val="20"/>
                <w:szCs w:val="20"/>
                <w:color w:val="auto"/>
              </w:rPr>
            </w:pPr>
            <w:r>
              <w:rPr>
                <w:rFonts w:ascii="Arial" w:cs="Arial" w:eastAsia="Arial" w:hAnsi="Arial"/>
                <w:sz w:val="18"/>
                <w:szCs w:val="18"/>
                <w:color w:val="auto"/>
                <w:w w:val="95"/>
              </w:rPr>
              <w:t>designated by the Board. No waiver by either party hereto at any time of any breach by the other party hereto of, or compliance with, any</w:t>
            </w:r>
          </w:p>
        </w:tc>
      </w:tr>
      <w:tr>
        <w:trPr>
          <w:trHeight w:val="216"/>
        </w:trPr>
        <w:tc>
          <w:tcPr>
            <w:tcW w:w="11160" w:type="dxa"/>
            <w:vAlign w:val="bottom"/>
            <w:gridSpan w:val="3"/>
          </w:tcPr>
          <w:p>
            <w:pPr>
              <w:ind w:left="780"/>
              <w:spacing w:after="0"/>
              <w:rPr>
                <w:sz w:val="20"/>
                <w:szCs w:val="20"/>
                <w:color w:val="auto"/>
              </w:rPr>
            </w:pPr>
            <w:r>
              <w:rPr>
                <w:rFonts w:ascii="Arial" w:cs="Arial" w:eastAsia="Arial" w:hAnsi="Arial"/>
                <w:sz w:val="18"/>
                <w:szCs w:val="18"/>
                <w:color w:val="auto"/>
                <w:w w:val="94"/>
              </w:rPr>
              <w:t>condition or provision of this Agreement to be performed by such other party shall be deemed a waiver of similar or dissimilar provisions or</w:t>
            </w:r>
          </w:p>
        </w:tc>
      </w:tr>
      <w:tr>
        <w:trPr>
          <w:trHeight w:val="216"/>
        </w:trPr>
        <w:tc>
          <w:tcPr>
            <w:tcW w:w="11160" w:type="dxa"/>
            <w:vAlign w:val="bottom"/>
            <w:gridSpan w:val="3"/>
          </w:tcPr>
          <w:p>
            <w:pPr>
              <w:ind w:left="780"/>
              <w:spacing w:after="0"/>
              <w:rPr>
                <w:sz w:val="20"/>
                <w:szCs w:val="20"/>
                <w:color w:val="auto"/>
              </w:rPr>
            </w:pPr>
            <w:r>
              <w:rPr>
                <w:rFonts w:ascii="Arial" w:cs="Arial" w:eastAsia="Arial" w:hAnsi="Arial"/>
                <w:sz w:val="18"/>
                <w:szCs w:val="18"/>
                <w:color w:val="auto"/>
                <w:w w:val="90"/>
              </w:rPr>
              <w:t>conditions at the same or at any prior or subsequent time. No agreements or representations, oral or otherwise, express or implied, with respect</w:t>
            </w:r>
          </w:p>
        </w:tc>
      </w:tr>
      <w:tr>
        <w:trPr>
          <w:trHeight w:val="230"/>
        </w:trPr>
        <w:tc>
          <w:tcPr>
            <w:tcW w:w="11160" w:type="dxa"/>
            <w:vAlign w:val="bottom"/>
            <w:gridSpan w:val="3"/>
          </w:tcPr>
          <w:p>
            <w:pPr>
              <w:ind w:left="780"/>
              <w:spacing w:after="0"/>
              <w:rPr>
                <w:sz w:val="20"/>
                <w:szCs w:val="20"/>
                <w:color w:val="auto"/>
              </w:rPr>
            </w:pPr>
            <w:r>
              <w:rPr>
                <w:rFonts w:ascii="Arial" w:cs="Arial" w:eastAsia="Arial" w:hAnsi="Arial"/>
                <w:sz w:val="18"/>
                <w:szCs w:val="18"/>
                <w:color w:val="auto"/>
                <w:w w:val="93"/>
              </w:rPr>
              <w:t>to the subject matter hereof have been made by either party which are not expressly set forth in this Agreement. Any payments provided for</w:t>
            </w:r>
          </w:p>
        </w:tc>
      </w:tr>
    </w:tbl>
    <w:p>
      <w:pPr>
        <w:spacing w:after="0" w:line="1" w:lineRule="exact"/>
        <w:rPr>
          <w:sz w:val="20"/>
          <w:szCs w:val="20"/>
          <w:color w:val="auto"/>
        </w:rPr>
      </w:pPr>
    </w:p>
    <w:tbl>
      <w:tblPr>
        <w:tblLayout w:type="fixed"/>
        <w:tblInd w:w="80" w:type="dxa"/>
        <w:tblCellMar>
          <w:top w:w="0" w:type="dxa"/>
          <w:left w:w="0" w:type="dxa"/>
          <w:bottom w:w="0" w:type="dxa"/>
          <w:right w:w="0" w:type="dxa"/>
        </w:tblCellMar>
      </w:tblPr>
      <w:tr>
        <w:trPr>
          <w:trHeight w:val="202"/>
        </w:trPr>
        <w:tc>
          <w:tcPr>
            <w:tcW w:w="500" w:type="dxa"/>
            <w:vAlign w:val="bottom"/>
          </w:tcPr>
          <w:p>
            <w:pPr>
              <w:spacing w:after="0"/>
              <w:rPr>
                <w:sz w:val="17"/>
                <w:szCs w:val="17"/>
                <w:color w:val="auto"/>
              </w:rPr>
            </w:pPr>
          </w:p>
        </w:tc>
        <w:tc>
          <w:tcPr>
            <w:tcW w:w="10660" w:type="dxa"/>
            <w:vAlign w:val="bottom"/>
            <w:gridSpan w:val="4"/>
          </w:tcPr>
          <w:p>
            <w:pPr>
              <w:ind w:left="280"/>
              <w:spacing w:after="0" w:line="201" w:lineRule="exact"/>
              <w:rPr>
                <w:sz w:val="20"/>
                <w:szCs w:val="20"/>
                <w:color w:val="auto"/>
              </w:rPr>
            </w:pPr>
            <w:r>
              <w:rPr>
                <w:rFonts w:ascii="Arial" w:cs="Arial" w:eastAsia="Arial" w:hAnsi="Arial"/>
                <w:sz w:val="18"/>
                <w:szCs w:val="18"/>
                <w:color w:val="auto"/>
                <w:w w:val="94"/>
              </w:rPr>
              <w:t>hereunder shall be paid net of any applicable withholding required under federal, state, or local law and any additional withholding to which</w:t>
            </w:r>
          </w:p>
        </w:tc>
      </w:tr>
      <w:tr>
        <w:trPr>
          <w:trHeight w:val="230"/>
        </w:trPr>
        <w:tc>
          <w:tcPr>
            <w:tcW w:w="500" w:type="dxa"/>
            <w:vAlign w:val="bottom"/>
          </w:tcPr>
          <w:p>
            <w:pPr>
              <w:spacing w:after="0"/>
              <w:rPr>
                <w:sz w:val="20"/>
                <w:szCs w:val="20"/>
                <w:color w:val="auto"/>
              </w:rPr>
            </w:pPr>
          </w:p>
        </w:tc>
        <w:tc>
          <w:tcPr>
            <w:tcW w:w="10660" w:type="dxa"/>
            <w:vAlign w:val="bottom"/>
            <w:gridSpan w:val="4"/>
          </w:tcPr>
          <w:p>
            <w:pPr>
              <w:ind w:left="280"/>
              <w:spacing w:after="0"/>
              <w:rPr>
                <w:sz w:val="20"/>
                <w:szCs w:val="20"/>
                <w:color w:val="auto"/>
              </w:rPr>
            </w:pPr>
            <w:r>
              <w:rPr>
                <w:rFonts w:ascii="Arial" w:cs="Arial" w:eastAsia="Arial" w:hAnsi="Arial"/>
                <w:sz w:val="18"/>
                <w:szCs w:val="18"/>
                <w:color w:val="auto"/>
              </w:rPr>
              <w:t>Executive has agreed.</w:t>
            </w:r>
          </w:p>
        </w:tc>
      </w:tr>
      <w:tr>
        <w:trPr>
          <w:trHeight w:val="391"/>
        </w:trPr>
        <w:tc>
          <w:tcPr>
            <w:tcW w:w="500" w:type="dxa"/>
            <w:vAlign w:val="bottom"/>
          </w:tcPr>
          <w:p>
            <w:pPr>
              <w:jc w:val="right"/>
              <w:ind w:right="190"/>
              <w:spacing w:after="0"/>
              <w:rPr>
                <w:sz w:val="20"/>
                <w:szCs w:val="20"/>
                <w:color w:val="auto"/>
              </w:rPr>
            </w:pPr>
            <w:r>
              <w:rPr>
                <w:rFonts w:ascii="Arial" w:cs="Arial" w:eastAsia="Arial" w:hAnsi="Arial"/>
                <w:sz w:val="18"/>
                <w:szCs w:val="18"/>
                <w:color w:val="auto"/>
                <w:w w:val="79"/>
              </w:rPr>
              <w:t>15.</w:t>
            </w:r>
          </w:p>
        </w:tc>
        <w:tc>
          <w:tcPr>
            <w:tcW w:w="1080" w:type="dxa"/>
            <w:vAlign w:val="bottom"/>
          </w:tcPr>
          <w:p>
            <w:pPr>
              <w:spacing w:after="0"/>
              <w:rPr>
                <w:sz w:val="24"/>
                <w:szCs w:val="24"/>
                <w:color w:val="auto"/>
              </w:rPr>
            </w:pPr>
          </w:p>
        </w:tc>
        <w:tc>
          <w:tcPr>
            <w:tcW w:w="9580" w:type="dxa"/>
            <w:vAlign w:val="bottom"/>
            <w:gridSpan w:val="3"/>
          </w:tcPr>
          <w:p>
            <w:pPr>
              <w:spacing w:after="0"/>
              <w:rPr>
                <w:sz w:val="20"/>
                <w:szCs w:val="20"/>
                <w:color w:val="auto"/>
              </w:rPr>
            </w:pPr>
            <w:r>
              <w:rPr>
                <w:rFonts w:ascii="Arial" w:cs="Arial" w:eastAsia="Arial" w:hAnsi="Arial"/>
                <w:sz w:val="18"/>
                <w:szCs w:val="18"/>
                <w:color w:val="auto"/>
                <w:w w:val="92"/>
              </w:rPr>
              <w:t>Governing Law. The validity, interpretation, construction, and performance of this Agreement shall be governed by the laws of the</w:t>
            </w:r>
          </w:p>
        </w:tc>
      </w:tr>
      <w:tr>
        <w:trPr>
          <w:trHeight w:val="20"/>
        </w:trPr>
        <w:tc>
          <w:tcPr>
            <w:tcW w:w="5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8440" w:type="dxa"/>
            <w:vAlign w:val="bottom"/>
          </w:tcPr>
          <w:p>
            <w:pPr>
              <w:spacing w:after="0" w:line="20" w:lineRule="exact"/>
              <w:rPr>
                <w:sz w:val="1"/>
                <w:szCs w:val="1"/>
                <w:color w:val="auto"/>
              </w:rPr>
            </w:pPr>
          </w:p>
        </w:tc>
      </w:tr>
      <w:tr>
        <w:trPr>
          <w:trHeight w:val="222"/>
        </w:trPr>
        <w:tc>
          <w:tcPr>
            <w:tcW w:w="500" w:type="dxa"/>
            <w:vAlign w:val="bottom"/>
          </w:tcPr>
          <w:p>
            <w:pPr>
              <w:spacing w:after="0"/>
              <w:rPr>
                <w:sz w:val="19"/>
                <w:szCs w:val="19"/>
                <w:color w:val="auto"/>
              </w:rPr>
            </w:pPr>
          </w:p>
        </w:tc>
        <w:tc>
          <w:tcPr>
            <w:tcW w:w="10660" w:type="dxa"/>
            <w:vAlign w:val="bottom"/>
            <w:gridSpan w:val="4"/>
          </w:tcPr>
          <w:p>
            <w:pPr>
              <w:ind w:left="280"/>
              <w:spacing w:after="0"/>
              <w:rPr>
                <w:sz w:val="20"/>
                <w:szCs w:val="20"/>
                <w:color w:val="auto"/>
              </w:rPr>
            </w:pPr>
            <w:r>
              <w:rPr>
                <w:rFonts w:ascii="Arial" w:cs="Arial" w:eastAsia="Arial" w:hAnsi="Arial"/>
                <w:sz w:val="18"/>
                <w:szCs w:val="18"/>
                <w:color w:val="auto"/>
                <w:w w:val="93"/>
              </w:rPr>
              <w:t>State of Maryland, without giving effect to any choice of law or conflict of law provision or rule (whether of the State or Maryland or any other</w:t>
            </w:r>
          </w:p>
        </w:tc>
      </w:tr>
      <w:tr>
        <w:trPr>
          <w:trHeight w:val="216"/>
        </w:trPr>
        <w:tc>
          <w:tcPr>
            <w:tcW w:w="500" w:type="dxa"/>
            <w:vAlign w:val="bottom"/>
          </w:tcPr>
          <w:p>
            <w:pPr>
              <w:spacing w:after="0"/>
              <w:rPr>
                <w:sz w:val="18"/>
                <w:szCs w:val="18"/>
                <w:color w:val="auto"/>
              </w:rPr>
            </w:pPr>
          </w:p>
        </w:tc>
        <w:tc>
          <w:tcPr>
            <w:tcW w:w="10660" w:type="dxa"/>
            <w:vAlign w:val="bottom"/>
            <w:gridSpan w:val="4"/>
          </w:tcPr>
          <w:p>
            <w:pPr>
              <w:ind w:left="280"/>
              <w:spacing w:after="0"/>
              <w:rPr>
                <w:sz w:val="20"/>
                <w:szCs w:val="20"/>
                <w:color w:val="auto"/>
              </w:rPr>
            </w:pPr>
            <w:r>
              <w:rPr>
                <w:rFonts w:ascii="Arial" w:cs="Arial" w:eastAsia="Arial" w:hAnsi="Arial"/>
                <w:sz w:val="18"/>
                <w:szCs w:val="18"/>
                <w:color w:val="auto"/>
                <w:w w:val="93"/>
              </w:rPr>
              <w:t>jurisdiction). Any legal action, other than an arbitration described in Paragraph (A) of Section 11, relating to or arising out of this Agreement</w:t>
            </w:r>
          </w:p>
        </w:tc>
      </w:tr>
      <w:tr>
        <w:trPr>
          <w:trHeight w:val="230"/>
        </w:trPr>
        <w:tc>
          <w:tcPr>
            <w:tcW w:w="500" w:type="dxa"/>
            <w:vAlign w:val="bottom"/>
          </w:tcPr>
          <w:p>
            <w:pPr>
              <w:spacing w:after="0"/>
              <w:rPr>
                <w:sz w:val="20"/>
                <w:szCs w:val="20"/>
                <w:color w:val="auto"/>
              </w:rPr>
            </w:pPr>
          </w:p>
        </w:tc>
        <w:tc>
          <w:tcPr>
            <w:tcW w:w="10660" w:type="dxa"/>
            <w:vAlign w:val="bottom"/>
            <w:gridSpan w:val="4"/>
          </w:tcPr>
          <w:p>
            <w:pPr>
              <w:ind w:left="280"/>
              <w:spacing w:after="0"/>
              <w:rPr>
                <w:sz w:val="20"/>
                <w:szCs w:val="20"/>
                <w:color w:val="auto"/>
              </w:rPr>
            </w:pPr>
            <w:r>
              <w:rPr>
                <w:rFonts w:ascii="Arial" w:cs="Arial" w:eastAsia="Arial" w:hAnsi="Arial"/>
                <w:sz w:val="18"/>
                <w:szCs w:val="18"/>
                <w:color w:val="auto"/>
              </w:rPr>
              <w:t>shall be filed and litigated exclusively in a state court of competent jurisdiction located in Little Rock, Arkansas.</w:t>
            </w:r>
          </w:p>
        </w:tc>
      </w:tr>
      <w:tr>
        <w:trPr>
          <w:trHeight w:val="391"/>
        </w:trPr>
        <w:tc>
          <w:tcPr>
            <w:tcW w:w="500" w:type="dxa"/>
            <w:vAlign w:val="bottom"/>
          </w:tcPr>
          <w:p>
            <w:pPr>
              <w:jc w:val="right"/>
              <w:ind w:right="190"/>
              <w:spacing w:after="0"/>
              <w:rPr>
                <w:sz w:val="20"/>
                <w:szCs w:val="20"/>
                <w:color w:val="auto"/>
              </w:rPr>
            </w:pPr>
            <w:r>
              <w:rPr>
                <w:rFonts w:ascii="Arial" w:cs="Arial" w:eastAsia="Arial" w:hAnsi="Arial"/>
                <w:sz w:val="18"/>
                <w:szCs w:val="18"/>
                <w:color w:val="auto"/>
                <w:w w:val="79"/>
              </w:rPr>
              <w:t>16.</w:t>
            </w:r>
          </w:p>
        </w:tc>
        <w:tc>
          <w:tcPr>
            <w:tcW w:w="1080" w:type="dxa"/>
            <w:vAlign w:val="bottom"/>
          </w:tcPr>
          <w:p>
            <w:pPr>
              <w:spacing w:after="0"/>
              <w:rPr>
                <w:sz w:val="24"/>
                <w:szCs w:val="24"/>
                <w:color w:val="auto"/>
              </w:rPr>
            </w:pPr>
          </w:p>
        </w:tc>
        <w:tc>
          <w:tcPr>
            <w:tcW w:w="9580" w:type="dxa"/>
            <w:vAlign w:val="bottom"/>
            <w:gridSpan w:val="3"/>
          </w:tcPr>
          <w:p>
            <w:pPr>
              <w:spacing w:after="0"/>
              <w:rPr>
                <w:sz w:val="20"/>
                <w:szCs w:val="20"/>
                <w:color w:val="auto"/>
              </w:rPr>
            </w:pPr>
            <w:r>
              <w:rPr>
                <w:rFonts w:ascii="Arial" w:cs="Arial" w:eastAsia="Arial" w:hAnsi="Arial"/>
                <w:sz w:val="18"/>
                <w:szCs w:val="18"/>
                <w:color w:val="auto"/>
                <w:w w:val="95"/>
              </w:rPr>
              <w:t>Validity. The invalidity or unenforceability of any provision of this Agreement shall not affect the validity or enforceability of any</w:t>
            </w:r>
          </w:p>
        </w:tc>
      </w:tr>
      <w:tr>
        <w:trPr>
          <w:trHeight w:val="20"/>
        </w:trPr>
        <w:tc>
          <w:tcPr>
            <w:tcW w:w="5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9020" w:type="dxa"/>
            <w:vAlign w:val="bottom"/>
            <w:gridSpan w:val="2"/>
          </w:tcPr>
          <w:p>
            <w:pPr>
              <w:spacing w:after="0" w:line="20" w:lineRule="exact"/>
              <w:rPr>
                <w:sz w:val="1"/>
                <w:szCs w:val="1"/>
                <w:color w:val="auto"/>
              </w:rPr>
            </w:pPr>
          </w:p>
        </w:tc>
      </w:tr>
      <w:tr>
        <w:trPr>
          <w:trHeight w:val="237"/>
        </w:trPr>
        <w:tc>
          <w:tcPr>
            <w:tcW w:w="500" w:type="dxa"/>
            <w:vAlign w:val="bottom"/>
          </w:tcPr>
          <w:p>
            <w:pPr>
              <w:spacing w:after="0"/>
              <w:rPr>
                <w:sz w:val="20"/>
                <w:szCs w:val="20"/>
                <w:color w:val="auto"/>
              </w:rPr>
            </w:pPr>
          </w:p>
        </w:tc>
        <w:tc>
          <w:tcPr>
            <w:tcW w:w="10660" w:type="dxa"/>
            <w:vAlign w:val="bottom"/>
            <w:gridSpan w:val="4"/>
          </w:tcPr>
          <w:p>
            <w:pPr>
              <w:ind w:left="280"/>
              <w:spacing w:after="0"/>
              <w:rPr>
                <w:sz w:val="20"/>
                <w:szCs w:val="20"/>
                <w:color w:val="auto"/>
              </w:rPr>
            </w:pPr>
            <w:r>
              <w:rPr>
                <w:rFonts w:ascii="Arial" w:cs="Arial" w:eastAsia="Arial" w:hAnsi="Arial"/>
                <w:sz w:val="18"/>
                <w:szCs w:val="18"/>
                <w:color w:val="auto"/>
              </w:rPr>
              <w:t>other provision of this Agreement, each of which shall remain in full force and effect.</w:t>
            </w:r>
          </w:p>
        </w:tc>
      </w:tr>
    </w:tbl>
    <w:p>
      <w:pPr>
        <w:spacing w:after="0" w:line="202" w:lineRule="exact"/>
        <w:rPr>
          <w:sz w:val="20"/>
          <w:szCs w:val="20"/>
          <w:color w:val="auto"/>
        </w:rPr>
      </w:pPr>
    </w:p>
    <w:p>
      <w:pPr>
        <w:jc w:val="both"/>
        <w:ind w:left="860" w:right="20" w:hanging="784"/>
        <w:spacing w:after="0" w:line="277" w:lineRule="auto"/>
        <w:tabs>
          <w:tab w:leader="none" w:pos="840" w:val="left"/>
        </w:tabs>
        <w:rPr>
          <w:sz w:val="20"/>
          <w:szCs w:val="20"/>
          <w:color w:val="auto"/>
        </w:rPr>
      </w:pPr>
      <w:r>
        <w:rPr>
          <w:rFonts w:ascii="Arial" w:cs="Arial" w:eastAsia="Arial" w:hAnsi="Arial"/>
          <w:sz w:val="18"/>
          <w:szCs w:val="18"/>
          <w:color w:val="auto"/>
        </w:rPr>
        <w:t>17.</w:t>
      </w:r>
      <w:r>
        <w:rPr>
          <w:sz w:val="20"/>
          <w:szCs w:val="20"/>
          <w:color w:val="auto"/>
        </w:rPr>
        <w:tab/>
      </w:r>
      <w:r>
        <w:rPr>
          <w:rFonts w:ascii="Arial" w:cs="Arial" w:eastAsia="Arial" w:hAnsi="Arial"/>
          <w:sz w:val="18"/>
          <w:szCs w:val="18"/>
          <w:u w:val="single" w:color="auto"/>
          <w:color w:val="auto"/>
        </w:rPr>
        <w:t>Counterparts</w:t>
      </w:r>
      <w:r>
        <w:rPr>
          <w:rFonts w:ascii="Arial" w:cs="Arial" w:eastAsia="Arial" w:hAnsi="Arial"/>
          <w:sz w:val="18"/>
          <w:szCs w:val="18"/>
          <w:color w:val="auto"/>
        </w:rPr>
        <w:t>. This Agreement may be executed in several counterparts, each of which shall be deemed to be an original but all of</w:t>
      </w:r>
      <w:r>
        <w:rPr>
          <w:rFonts w:ascii="Arial" w:cs="Arial" w:eastAsia="Arial" w:hAnsi="Arial"/>
          <w:sz w:val="18"/>
          <w:szCs w:val="18"/>
          <w:u w:val="single" w:color="auto"/>
          <w:color w:val="auto"/>
        </w:rPr>
        <w:t xml:space="preserve"> </w:t>
      </w:r>
      <w:r>
        <w:rPr>
          <w:rFonts w:ascii="Arial" w:cs="Arial" w:eastAsia="Arial" w:hAnsi="Arial"/>
          <w:sz w:val="18"/>
          <w:szCs w:val="18"/>
          <w:color w:val="auto"/>
        </w:rPr>
        <w:t>which together will constitute one and the same instrument.</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 follows]</w:t>
      </w:r>
    </w:p>
    <w:p>
      <w:pPr>
        <w:spacing w:after="0" w:line="38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11</w:t>
      </w:r>
    </w:p>
    <w:p>
      <w:pPr>
        <w:spacing w:after="0"/>
        <w:rPr>
          <w:sz w:val="20"/>
          <w:szCs w:val="20"/>
          <w:color w:val="auto"/>
        </w:rPr>
      </w:pPr>
      <w:r>
        <w:rPr>
          <w:rFonts w:ascii="Arial" w:cs="Arial" w:eastAsia="Arial" w:hAnsi="Arial"/>
          <w:sz w:val="14"/>
          <w:szCs w:val="14"/>
          <w:color w:val="auto"/>
        </w:rPr>
        <w:t>4871-5083-7000.3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60960</wp:posOffset>
            </wp:positionV>
            <wp:extent cx="7174865" cy="425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57" w:name="page58"/>
    <w:bookmarkEnd w:id="57"/>
    <w:p>
      <w:pPr>
        <w:jc w:val="right"/>
        <w:ind w:right="2319"/>
        <w:spacing w:after="0"/>
        <w:rPr>
          <w:sz w:val="20"/>
          <w:szCs w:val="20"/>
          <w:color w:val="auto"/>
        </w:rPr>
      </w:pPr>
      <w:r>
        <w:rPr>
          <w:rFonts w:ascii="Arial" w:cs="Arial" w:eastAsia="Arial" w:hAnsi="Arial"/>
          <w:sz w:val="18"/>
          <w:szCs w:val="18"/>
          <w:color w:val="auto"/>
        </w:rPr>
        <w:t>IN WITNESS WHEREOF, the parties have signed this Agreement as of the date set forth above.</w:t>
      </w:r>
    </w:p>
    <w:p>
      <w:pPr>
        <w:spacing w:after="0" w:line="200" w:lineRule="exact"/>
        <w:rPr>
          <w:sz w:val="20"/>
          <w:szCs w:val="20"/>
          <w:color w:val="auto"/>
        </w:rPr>
      </w:pPr>
    </w:p>
    <w:p>
      <w:pPr>
        <w:spacing w:after="0" w:line="241" w:lineRule="exact"/>
        <w:rPr>
          <w:sz w:val="20"/>
          <w:szCs w:val="20"/>
          <w:color w:val="auto"/>
        </w:rPr>
      </w:pPr>
    </w:p>
    <w:p>
      <w:pPr>
        <w:ind w:left="5200"/>
        <w:spacing w:after="0"/>
        <w:rPr>
          <w:sz w:val="20"/>
          <w:szCs w:val="20"/>
          <w:color w:val="auto"/>
        </w:rPr>
      </w:pPr>
      <w:r>
        <w:rPr>
          <w:rFonts w:ascii="Arial" w:cs="Arial" w:eastAsia="Arial" w:hAnsi="Arial"/>
          <w:sz w:val="18"/>
          <w:szCs w:val="18"/>
          <w:color w:val="auto"/>
        </w:rPr>
        <w:t>UNITI GROUP INC.</w:t>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tbl>
      <w:tblPr>
        <w:tblLayout w:type="fixed"/>
        <w:tblInd w:w="5200" w:type="dxa"/>
        <w:tblCellMar>
          <w:top w:w="0" w:type="dxa"/>
          <w:left w:w="0" w:type="dxa"/>
          <w:bottom w:w="0" w:type="dxa"/>
          <w:right w:w="0" w:type="dxa"/>
        </w:tblCellMar>
      </w:tblPr>
      <w:tr>
        <w:trPr>
          <w:trHeight w:val="207"/>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3080" w:type="dxa"/>
            <w:vAlign w:val="bottom"/>
            <w:gridSpan w:val="3"/>
          </w:tcPr>
          <w:p>
            <w:pPr>
              <w:jc w:val="right"/>
              <w:ind w:right="920"/>
              <w:spacing w:after="0"/>
              <w:rPr>
                <w:sz w:val="20"/>
                <w:szCs w:val="20"/>
                <w:color w:val="auto"/>
              </w:rPr>
            </w:pPr>
            <w:r>
              <w:rPr>
                <w:rFonts w:ascii="Arial" w:cs="Arial" w:eastAsia="Arial" w:hAnsi="Arial"/>
                <w:sz w:val="18"/>
                <w:szCs w:val="18"/>
                <w:color w:val="auto"/>
              </w:rPr>
              <w:t>/s/ Kenneth A. Gunderman</w:t>
            </w:r>
          </w:p>
        </w:tc>
      </w:tr>
      <w:tr>
        <w:trPr>
          <w:trHeight w:val="20"/>
        </w:trPr>
        <w:tc>
          <w:tcPr>
            <w:tcW w:w="6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940" w:type="dxa"/>
            <w:vAlign w:val="bottom"/>
            <w:shd w:val="clear" w:color="auto" w:fill="000000"/>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r>
      <w:tr>
        <w:trPr>
          <w:trHeight w:val="222"/>
        </w:trPr>
        <w:tc>
          <w:tcPr>
            <w:tcW w:w="680" w:type="dxa"/>
            <w:vAlign w:val="bottom"/>
          </w:tcPr>
          <w:p>
            <w:pPr>
              <w:spacing w:after="0"/>
              <w:rPr>
                <w:sz w:val="20"/>
                <w:szCs w:val="20"/>
                <w:color w:val="auto"/>
              </w:rPr>
            </w:pPr>
            <w:r>
              <w:rPr>
                <w:rFonts w:ascii="Arial" w:cs="Arial" w:eastAsia="Arial" w:hAnsi="Arial"/>
                <w:sz w:val="18"/>
                <w:szCs w:val="18"/>
                <w:color w:val="auto"/>
              </w:rPr>
              <w:t>Name:</w:t>
            </w:r>
          </w:p>
        </w:tc>
        <w:tc>
          <w:tcPr>
            <w:tcW w:w="220" w:type="dxa"/>
            <w:vAlign w:val="bottom"/>
          </w:tcPr>
          <w:p>
            <w:pPr>
              <w:spacing w:after="0"/>
              <w:rPr>
                <w:sz w:val="19"/>
                <w:szCs w:val="19"/>
                <w:color w:val="auto"/>
              </w:rPr>
            </w:pPr>
          </w:p>
        </w:tc>
        <w:tc>
          <w:tcPr>
            <w:tcW w:w="2860" w:type="dxa"/>
            <w:vAlign w:val="bottom"/>
            <w:gridSpan w:val="2"/>
          </w:tcPr>
          <w:p>
            <w:pPr>
              <w:jc w:val="right"/>
              <w:ind w:right="920"/>
              <w:spacing w:after="0"/>
              <w:rPr>
                <w:sz w:val="20"/>
                <w:szCs w:val="20"/>
                <w:color w:val="auto"/>
              </w:rPr>
            </w:pPr>
            <w:r>
              <w:rPr>
                <w:rFonts w:ascii="Arial" w:cs="Arial" w:eastAsia="Arial" w:hAnsi="Arial"/>
                <w:sz w:val="18"/>
                <w:szCs w:val="18"/>
                <w:color w:val="auto"/>
              </w:rPr>
              <w:t>Kenneth A. Gunderman</w:t>
            </w:r>
          </w:p>
        </w:tc>
      </w:tr>
      <w:tr>
        <w:trPr>
          <w:trHeight w:val="230"/>
        </w:trPr>
        <w:tc>
          <w:tcPr>
            <w:tcW w:w="680" w:type="dxa"/>
            <w:vAlign w:val="bottom"/>
          </w:tcPr>
          <w:p>
            <w:pPr>
              <w:spacing w:after="0"/>
              <w:rPr>
                <w:sz w:val="20"/>
                <w:szCs w:val="20"/>
                <w:color w:val="auto"/>
              </w:rPr>
            </w:pPr>
            <w:r>
              <w:rPr>
                <w:rFonts w:ascii="Arial" w:cs="Arial" w:eastAsia="Arial" w:hAnsi="Arial"/>
                <w:sz w:val="18"/>
                <w:szCs w:val="18"/>
                <w:color w:val="auto"/>
              </w:rPr>
              <w:t>Title:</w:t>
            </w:r>
          </w:p>
        </w:tc>
        <w:tc>
          <w:tcPr>
            <w:tcW w:w="220" w:type="dxa"/>
            <w:vAlign w:val="bottom"/>
          </w:tcPr>
          <w:p>
            <w:pPr>
              <w:spacing w:after="0"/>
              <w:rPr>
                <w:sz w:val="20"/>
                <w:szCs w:val="20"/>
                <w:color w:val="auto"/>
              </w:rPr>
            </w:pPr>
          </w:p>
        </w:tc>
        <w:tc>
          <w:tcPr>
            <w:tcW w:w="2860" w:type="dxa"/>
            <w:vAlign w:val="bottom"/>
            <w:gridSpan w:val="2"/>
          </w:tcPr>
          <w:p>
            <w:pPr>
              <w:jc w:val="right"/>
              <w:spacing w:after="0"/>
              <w:rPr>
                <w:sz w:val="20"/>
                <w:szCs w:val="20"/>
                <w:color w:val="auto"/>
              </w:rPr>
            </w:pPr>
            <w:r>
              <w:rPr>
                <w:rFonts w:ascii="Arial" w:cs="Arial" w:eastAsia="Arial" w:hAnsi="Arial"/>
                <w:sz w:val="18"/>
                <w:szCs w:val="18"/>
                <w:color w:val="auto"/>
                <w:w w:val="94"/>
              </w:rPr>
              <w:t>President and Chief Executive Officer</w:t>
            </w: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5200"/>
        <w:spacing w:after="0"/>
        <w:rPr>
          <w:sz w:val="20"/>
          <w:szCs w:val="20"/>
          <w:color w:val="auto"/>
        </w:rPr>
      </w:pPr>
      <w:r>
        <w:rPr>
          <w:rFonts w:ascii="Arial" w:cs="Arial" w:eastAsia="Arial" w:hAnsi="Arial"/>
          <w:sz w:val="18"/>
          <w:szCs w:val="18"/>
          <w:color w:val="auto"/>
        </w:rPr>
        <w:t>EXECUTIVE</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5200"/>
        <w:spacing w:after="0"/>
        <w:rPr>
          <w:sz w:val="20"/>
          <w:szCs w:val="20"/>
          <w:color w:val="auto"/>
        </w:rPr>
      </w:pPr>
      <w:r>
        <w:rPr>
          <w:rFonts w:ascii="Arial" w:cs="Arial" w:eastAsia="Arial" w:hAnsi="Arial"/>
          <w:sz w:val="18"/>
          <w:szCs w:val="18"/>
          <w:u w:val="single" w:color="auto"/>
          <w:color w:val="auto"/>
        </w:rPr>
        <w:t>/s/ Michael Firloux</w:t>
      </w:r>
    </w:p>
    <w:p>
      <w:pPr>
        <w:spacing w:after="0" w:line="23" w:lineRule="exact"/>
        <w:rPr>
          <w:sz w:val="20"/>
          <w:szCs w:val="20"/>
          <w:color w:val="auto"/>
        </w:rPr>
      </w:pPr>
    </w:p>
    <w:p>
      <w:pPr>
        <w:ind w:left="5200"/>
        <w:spacing w:after="0"/>
        <w:rPr>
          <w:sz w:val="20"/>
          <w:szCs w:val="20"/>
          <w:color w:val="auto"/>
        </w:rPr>
      </w:pPr>
      <w:r>
        <w:rPr>
          <w:rFonts w:ascii="Arial" w:cs="Arial" w:eastAsia="Arial" w:hAnsi="Arial"/>
          <w:sz w:val="18"/>
          <w:szCs w:val="18"/>
          <w:color w:val="auto"/>
        </w:rPr>
        <w:t>Michael Friloux</w:t>
      </w:r>
    </w:p>
    <w:p>
      <w:pPr>
        <w:spacing w:after="0" w:line="200" w:lineRule="exact"/>
        <w:rPr>
          <w:sz w:val="20"/>
          <w:szCs w:val="20"/>
          <w:color w:val="auto"/>
        </w:rPr>
      </w:pPr>
    </w:p>
    <w:p>
      <w:pPr>
        <w:spacing w:after="0" w:line="386" w:lineRule="exact"/>
        <w:rPr>
          <w:sz w:val="20"/>
          <w:szCs w:val="20"/>
          <w:color w:val="auto"/>
        </w:rPr>
      </w:pPr>
    </w:p>
    <w:p>
      <w:pPr>
        <w:ind w:left="880"/>
        <w:spacing w:after="0"/>
        <w:rPr>
          <w:sz w:val="20"/>
          <w:szCs w:val="20"/>
          <w:color w:val="auto"/>
        </w:rPr>
      </w:pPr>
      <w:r>
        <w:rPr>
          <w:rFonts w:ascii="Arial" w:cs="Arial" w:eastAsia="Arial" w:hAnsi="Arial"/>
          <w:sz w:val="22"/>
          <w:szCs w:val="22"/>
          <w:color w:val="auto"/>
        </w:rPr>
        <w:t>12</w:t>
      </w:r>
    </w:p>
    <w:p>
      <w:pPr>
        <w:spacing w:after="0"/>
        <w:rPr>
          <w:sz w:val="20"/>
          <w:szCs w:val="20"/>
          <w:color w:val="auto"/>
        </w:rPr>
      </w:pPr>
      <w:r>
        <w:rPr>
          <w:rFonts w:ascii="Arial" w:cs="Arial" w:eastAsia="Arial" w:hAnsi="Arial"/>
          <w:sz w:val="14"/>
          <w:szCs w:val="14"/>
          <w:color w:val="auto"/>
        </w:rPr>
        <w:t>4871-5083-7000.3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60960</wp:posOffset>
            </wp:positionV>
            <wp:extent cx="7174865" cy="425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0139"/>
          </w:cols>
          <w:pgMar w:left="320" w:top="584" w:right="1440" w:bottom="1440" w:gutter="0" w:footer="0" w:header="0"/>
        </w:sectPr>
      </w:pPr>
    </w:p>
    <w:bookmarkStart w:id="58" w:name="page59"/>
    <w:bookmarkEnd w:id="58"/>
    <w:p>
      <w:pPr>
        <w:jc w:val="center"/>
        <w:spacing w:after="0"/>
        <w:rPr>
          <w:sz w:val="20"/>
          <w:szCs w:val="20"/>
          <w:color w:val="auto"/>
        </w:rPr>
      </w:pPr>
      <w:r>
        <w:rPr>
          <w:rFonts w:ascii="Arial" w:cs="Arial" w:eastAsia="Arial" w:hAnsi="Arial"/>
          <w:sz w:val="18"/>
          <w:szCs w:val="18"/>
          <w:color w:val="auto"/>
        </w:rPr>
        <w:t>EXHIBIT A</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WAIVER AND RELEASE AGREEMENT</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880"/>
        <w:spacing w:after="0"/>
        <w:rPr>
          <w:sz w:val="20"/>
          <w:szCs w:val="20"/>
          <w:color w:val="auto"/>
        </w:rPr>
      </w:pPr>
      <w:r>
        <w:rPr>
          <w:rFonts w:ascii="Arial" w:cs="Arial" w:eastAsia="Arial" w:hAnsi="Arial"/>
          <w:sz w:val="16"/>
          <w:szCs w:val="16"/>
          <w:color w:val="auto"/>
        </w:rPr>
        <w:t>THIS WAIVER AND RELEASE AGREEMENT (this “</w:t>
      </w:r>
      <w:r>
        <w:rPr>
          <w:rFonts w:ascii="Arial" w:cs="Arial" w:eastAsia="Arial" w:hAnsi="Arial"/>
          <w:sz w:val="16"/>
          <w:szCs w:val="16"/>
          <w:u w:val="single" w:color="auto"/>
          <w:color w:val="auto"/>
        </w:rPr>
        <w:t>Waiver and Release</w:t>
      </w:r>
      <w:r>
        <w:rPr>
          <w:rFonts w:ascii="Arial" w:cs="Arial" w:eastAsia="Arial" w:hAnsi="Arial"/>
          <w:sz w:val="16"/>
          <w:szCs w:val="16"/>
          <w:color w:val="auto"/>
        </w:rPr>
        <w:t>”) is entered into by and between ____________(“</w:t>
      </w:r>
      <w:r>
        <w:rPr>
          <w:rFonts w:ascii="Arial" w:cs="Arial" w:eastAsia="Arial" w:hAnsi="Arial"/>
          <w:sz w:val="16"/>
          <w:szCs w:val="16"/>
          <w:u w:val="single" w:color="auto"/>
          <w:color w:val="auto"/>
        </w:rPr>
        <w:t>Executive</w:t>
      </w:r>
      <w:r>
        <w:rPr>
          <w:rFonts w:ascii="Arial" w:cs="Arial" w:eastAsia="Arial" w:hAnsi="Arial"/>
          <w:sz w:val="16"/>
          <w:szCs w:val="16"/>
          <w:color w:val="auto"/>
        </w:rPr>
        <w:t>”)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Uniti Group Inc. (the “</w:t>
      </w:r>
      <w:r>
        <w:rPr>
          <w:rFonts w:ascii="Arial" w:cs="Arial" w:eastAsia="Arial" w:hAnsi="Arial"/>
          <w:sz w:val="18"/>
          <w:szCs w:val="18"/>
          <w:u w:val="single" w:color="auto"/>
          <w:color w:val="auto"/>
        </w:rPr>
        <w:t>Company</w:t>
      </w:r>
      <w:r>
        <w:rPr>
          <w:rFonts w:ascii="Arial" w:cs="Arial" w:eastAsia="Arial" w:hAnsi="Arial"/>
          <w:sz w:val="18"/>
          <w:szCs w:val="18"/>
          <w:color w:val="auto"/>
        </w:rPr>
        <w:t>”) (collectively, the “</w:t>
      </w:r>
      <w:r>
        <w:rPr>
          <w:rFonts w:ascii="Arial" w:cs="Arial" w:eastAsia="Arial" w:hAnsi="Arial"/>
          <w:sz w:val="18"/>
          <w:szCs w:val="18"/>
          <w:u w:val="single" w:color="auto"/>
          <w:color w:val="auto"/>
        </w:rPr>
        <w:t>Parties</w:t>
      </w:r>
      <w:r>
        <w:rPr>
          <w:rFonts w:ascii="Arial" w:cs="Arial" w:eastAsia="Arial" w:hAnsi="Arial"/>
          <w:sz w:val="18"/>
          <w:szCs w:val="18"/>
          <w:color w:val="auto"/>
        </w:rPr>
        <w:t>”).</w:t>
      </w:r>
    </w:p>
    <w:p>
      <w:pPr>
        <w:spacing w:after="0" w:line="211" w:lineRule="exact"/>
        <w:rPr>
          <w:sz w:val="20"/>
          <w:szCs w:val="20"/>
          <w:color w:val="auto"/>
        </w:rPr>
      </w:pPr>
    </w:p>
    <w:p>
      <w:pPr>
        <w:ind w:left="880"/>
        <w:spacing w:after="0"/>
        <w:rPr>
          <w:sz w:val="20"/>
          <w:szCs w:val="20"/>
          <w:color w:val="auto"/>
        </w:rPr>
      </w:pPr>
      <w:r>
        <w:rPr>
          <w:rFonts w:ascii="Arial" w:cs="Arial" w:eastAsia="Arial" w:hAnsi="Arial"/>
          <w:sz w:val="18"/>
          <w:szCs w:val="18"/>
          <w:color w:val="auto"/>
        </w:rPr>
        <w:t>WHEREAS, the Parties have entered into a Severance Agreement dated as of ____, 20__ (the “</w:t>
      </w:r>
      <w:r>
        <w:rPr>
          <w:rFonts w:ascii="Arial" w:cs="Arial" w:eastAsia="Arial" w:hAnsi="Arial"/>
          <w:sz w:val="18"/>
          <w:szCs w:val="18"/>
          <w:u w:val="single" w:color="auto"/>
          <w:color w:val="auto"/>
        </w:rPr>
        <w:t>Agreement</w:t>
      </w:r>
      <w:r>
        <w:rPr>
          <w:rFonts w:ascii="Arial" w:cs="Arial" w:eastAsia="Arial" w:hAnsi="Arial"/>
          <w:sz w:val="18"/>
          <w:szCs w:val="18"/>
          <w:color w:val="auto"/>
        </w:rPr>
        <w:t>”);</w:t>
      </w:r>
    </w:p>
    <w:p>
      <w:pPr>
        <w:spacing w:after="0" w:line="225" w:lineRule="exact"/>
        <w:rPr>
          <w:sz w:val="20"/>
          <w:szCs w:val="20"/>
          <w:color w:val="auto"/>
        </w:rPr>
      </w:pPr>
    </w:p>
    <w:p>
      <w:pPr>
        <w:ind w:firstLine="864"/>
        <w:spacing w:after="0" w:line="277" w:lineRule="auto"/>
        <w:rPr>
          <w:sz w:val="20"/>
          <w:szCs w:val="20"/>
          <w:color w:val="auto"/>
        </w:rPr>
      </w:pPr>
      <w:r>
        <w:rPr>
          <w:rFonts w:ascii="Arial" w:cs="Arial" w:eastAsia="Arial" w:hAnsi="Arial"/>
          <w:sz w:val="18"/>
          <w:szCs w:val="18"/>
          <w:color w:val="auto"/>
        </w:rPr>
        <w:t>WHEREAS, Executive’s employment has been or will be terminated in accordance with the Agreement as of [DATE] (the “</w:t>
      </w:r>
      <w:r>
        <w:rPr>
          <w:rFonts w:ascii="Arial" w:cs="Arial" w:eastAsia="Arial" w:hAnsi="Arial"/>
          <w:sz w:val="18"/>
          <w:szCs w:val="18"/>
          <w:u w:val="single" w:color="auto"/>
          <w:color w:val="auto"/>
        </w:rPr>
        <w:t>Date of</w:t>
      </w:r>
      <w:r>
        <w:rPr>
          <w:rFonts w:ascii="Arial" w:cs="Arial" w:eastAsia="Arial" w:hAnsi="Arial"/>
          <w:sz w:val="18"/>
          <w:szCs w:val="18"/>
          <w:color w:val="auto"/>
        </w:rPr>
        <w:t xml:space="preserve"> </w:t>
      </w:r>
      <w:r>
        <w:rPr>
          <w:rFonts w:ascii="Arial" w:cs="Arial" w:eastAsia="Arial" w:hAnsi="Arial"/>
          <w:sz w:val="18"/>
          <w:szCs w:val="18"/>
          <w:u w:val="single" w:color="auto"/>
          <w:color w:val="auto"/>
        </w:rPr>
        <w:t>Termination</w:t>
      </w:r>
      <w:r>
        <w:rPr>
          <w:rFonts w:ascii="Arial" w:cs="Arial" w:eastAsia="Arial" w:hAnsi="Arial"/>
          <w:sz w:val="18"/>
          <w:szCs w:val="18"/>
          <w:color w:val="auto"/>
        </w:rPr>
        <w:t>”); and</w:t>
      </w:r>
    </w:p>
    <w:p>
      <w:pPr>
        <w:spacing w:after="0" w:line="170" w:lineRule="exact"/>
        <w:rPr>
          <w:sz w:val="20"/>
          <w:szCs w:val="20"/>
          <w:color w:val="auto"/>
        </w:rPr>
      </w:pPr>
    </w:p>
    <w:p>
      <w:pPr>
        <w:ind w:right="20" w:firstLine="864"/>
        <w:spacing w:after="0" w:line="277" w:lineRule="auto"/>
        <w:rPr>
          <w:sz w:val="20"/>
          <w:szCs w:val="20"/>
          <w:color w:val="auto"/>
        </w:rPr>
      </w:pPr>
      <w:r>
        <w:rPr>
          <w:rFonts w:ascii="Arial" w:cs="Arial" w:eastAsia="Arial" w:hAnsi="Arial"/>
          <w:sz w:val="18"/>
          <w:szCs w:val="18"/>
          <w:color w:val="auto"/>
        </w:rPr>
        <w:t>WHEREAS, the Parties seek to fully and finally settle all existing claims, whether or not now known, arising out of Executive’s employment and termination of employment on the terms set forth herein.</w:t>
      </w:r>
    </w:p>
    <w:p>
      <w:pPr>
        <w:spacing w:after="0" w:line="170" w:lineRule="exact"/>
        <w:rPr>
          <w:sz w:val="20"/>
          <w:szCs w:val="20"/>
          <w:color w:val="auto"/>
        </w:rPr>
      </w:pPr>
    </w:p>
    <w:p>
      <w:pPr>
        <w:ind w:firstLine="864"/>
        <w:spacing w:after="0" w:line="277" w:lineRule="auto"/>
        <w:rPr>
          <w:sz w:val="20"/>
          <w:szCs w:val="20"/>
          <w:color w:val="auto"/>
        </w:rPr>
      </w:pPr>
      <w:r>
        <w:rPr>
          <w:rFonts w:ascii="Arial" w:cs="Arial" w:eastAsia="Arial" w:hAnsi="Arial"/>
          <w:sz w:val="18"/>
          <w:szCs w:val="18"/>
          <w:color w:val="auto"/>
        </w:rPr>
        <w:t>NOW, THEREFORE, in consideration of the promises and agreements contained herein and other good and valuable consideration, the sufficiency and receipt of which are hereby acknowledged, and intending to be legally bound, the Parties agree as follows:</w:t>
      </w:r>
    </w:p>
    <w:p>
      <w:pPr>
        <w:spacing w:after="0" w:line="170" w:lineRule="exact"/>
        <w:rPr>
          <w:sz w:val="20"/>
          <w:szCs w:val="20"/>
          <w:color w:val="auto"/>
        </w:rPr>
      </w:pPr>
    </w:p>
    <w:p>
      <w:pPr>
        <w:jc w:val="both"/>
        <w:ind w:left="860" w:hanging="784"/>
        <w:spacing w:after="0" w:line="257" w:lineRule="auto"/>
        <w:tabs>
          <w:tab w:leader="none" w:pos="840" w:val="left"/>
        </w:tabs>
        <w:rPr>
          <w:sz w:val="20"/>
          <w:szCs w:val="20"/>
          <w:color w:val="auto"/>
        </w:rPr>
      </w:pPr>
      <w:r>
        <w:rPr>
          <w:rFonts w:ascii="Arial" w:cs="Arial" w:eastAsia="Arial" w:hAnsi="Arial"/>
          <w:sz w:val="18"/>
          <w:szCs w:val="18"/>
          <w:color w:val="auto"/>
        </w:rPr>
        <w:t>1.</w:t>
      </w:r>
      <w:r>
        <w:rPr>
          <w:sz w:val="20"/>
          <w:szCs w:val="20"/>
          <w:color w:val="auto"/>
        </w:rPr>
        <w:tab/>
      </w:r>
      <w:r>
        <w:rPr>
          <w:rFonts w:ascii="Arial" w:cs="Arial" w:eastAsia="Arial" w:hAnsi="Arial"/>
          <w:sz w:val="18"/>
          <w:szCs w:val="18"/>
          <w:color w:val="auto"/>
        </w:rPr>
        <w:t>In consideration of the payments to be made and the benefits to be received by Executive pursuant to Paragraphs (A)(ii), (B)(ii)(c), (B)(ii)(d), (B)(ii)(e) and (B)(ii)(f) of Section 4 of the Agreement (the “</w:t>
      </w:r>
      <w:r>
        <w:rPr>
          <w:rFonts w:ascii="Arial" w:cs="Arial" w:eastAsia="Arial" w:hAnsi="Arial"/>
          <w:sz w:val="18"/>
          <w:szCs w:val="18"/>
          <w:u w:val="single" w:color="auto"/>
          <w:color w:val="auto"/>
        </w:rPr>
        <w:t>Severance Benefits</w:t>
      </w:r>
      <w:r>
        <w:rPr>
          <w:rFonts w:ascii="Arial" w:cs="Arial" w:eastAsia="Arial" w:hAnsi="Arial"/>
          <w:sz w:val="18"/>
          <w:szCs w:val="18"/>
          <w:color w:val="auto"/>
        </w:rPr>
        <w:t>”) which Executive acknowledges are in addition to payments and benefits to which Executive would otherwise be entitled upon termination of employment without providing a release of claims under the normal operation of the Company’s benefit plans, policies, and/or practices Executive hereby agrees to provide the waiver and release set forth in Section 2 below.</w:t>
      </w:r>
    </w:p>
    <w:p>
      <w:pPr>
        <w:spacing w:after="0" w:line="188" w:lineRule="exact"/>
        <w:rPr>
          <w:sz w:val="20"/>
          <w:szCs w:val="20"/>
          <w:color w:val="auto"/>
        </w:rPr>
      </w:pPr>
    </w:p>
    <w:p>
      <w:pPr>
        <w:jc w:val="both"/>
        <w:ind w:left="860" w:hanging="784"/>
        <w:spacing w:after="0" w:line="291" w:lineRule="auto"/>
        <w:tabs>
          <w:tab w:leader="none" w:pos="840" w:val="left"/>
        </w:tabs>
        <w:rPr>
          <w:sz w:val="20"/>
          <w:szCs w:val="20"/>
          <w:color w:val="auto"/>
        </w:rPr>
      </w:pPr>
      <w:r>
        <w:rPr>
          <w:rFonts w:ascii="Arial" w:cs="Arial" w:eastAsia="Arial" w:hAnsi="Arial"/>
          <w:sz w:val="18"/>
          <w:szCs w:val="18"/>
          <w:color w:val="auto"/>
        </w:rPr>
        <w:t>2.</w:t>
      </w:r>
      <w:r>
        <w:rPr>
          <w:sz w:val="20"/>
          <w:szCs w:val="20"/>
          <w:color w:val="auto"/>
        </w:rPr>
        <w:tab/>
      </w:r>
      <w:r>
        <w:rPr>
          <w:rFonts w:ascii="Arial" w:cs="Arial" w:eastAsia="Arial" w:hAnsi="Arial"/>
          <w:sz w:val="16"/>
          <w:szCs w:val="16"/>
          <w:color w:val="auto"/>
        </w:rPr>
        <w:t>For valuable consideration from the Company, receipt of which is hereby acknowledged, Executive waives, releases, and forever discharges the Company and its current and former parents, subsidiaries, affiliates, divisions, shareholders, owners, members, officers, directors, attorneys, agents, employees, successors, and assigns, and the Company’s parents’, subsidiaries’, and affiliates’ divisions, shareholders, owners, members, officers, directors, attorneys, agents, employees, successors, and assigns (collectively referred to as the “Company Releasees”) from any and all rights, causes of action, claims or demands, whether express or implied, known or unknown, that arise on or before the date that Executive executes this Waiver and Release, which Executive has or may have against the Company and/or the Company Releasees, including, but not limited to, any rights, causes of action, claims, or demands relating to or arising out of the following:</w:t>
      </w:r>
    </w:p>
    <w:p>
      <w:pPr>
        <w:spacing w:after="0" w:line="166" w:lineRule="exact"/>
        <w:rPr>
          <w:sz w:val="20"/>
          <w:szCs w:val="20"/>
          <w:color w:val="auto"/>
        </w:rPr>
      </w:pPr>
    </w:p>
    <w:p>
      <w:pPr>
        <w:jc w:val="both"/>
        <w:ind w:left="860" w:hanging="784"/>
        <w:spacing w:after="0" w:line="254" w:lineRule="auto"/>
        <w:tabs>
          <w:tab w:leader="none" w:pos="840" w:val="left"/>
        </w:tabs>
        <w:rPr>
          <w:sz w:val="20"/>
          <w:szCs w:val="20"/>
          <w:color w:val="auto"/>
        </w:rPr>
      </w:pPr>
      <w:r>
        <w:rPr>
          <w:rFonts w:ascii="Arial" w:cs="Arial" w:eastAsia="Arial" w:hAnsi="Arial"/>
          <w:sz w:val="18"/>
          <w:szCs w:val="18"/>
          <w:color w:val="auto"/>
        </w:rPr>
        <w:t>a.</w:t>
      </w:r>
      <w:r>
        <w:rPr>
          <w:sz w:val="20"/>
          <w:szCs w:val="20"/>
          <w:color w:val="auto"/>
        </w:rPr>
        <w:tab/>
      </w:r>
      <w:r>
        <w:rPr>
          <w:rFonts w:ascii="Arial" w:cs="Arial" w:eastAsia="Arial" w:hAnsi="Arial"/>
          <w:sz w:val="18"/>
          <w:szCs w:val="18"/>
          <w:color w:val="auto"/>
        </w:rPr>
        <w:t>anti-discrimination, anti-harassment, and anti-retaliation laws, such as the Age Discrimination in Employment Act, the Older Workers Benefit Protection Act, and Executive Order 11141, which prohibit employment discrimination based on age; Title VII of the Civil Rights Act of 1964, the Civil Rights Act of 1866 (42 U.S.C. § 1981), the Equal Pay Act, and Executive Order 11246, which prohibit discrimination based on race, color, national origin, religion, or sex; the Genetic Information Nondiscrimination Act, which prohibits discrimination on the basis of genetic information; the Americans With Disabilities Act and Sections 503 and 504 of the Rehabilitation Act of 1973, which prohibit discrimination based on disability; and any other federal, state, or local laws prohibiting employment or wage discrimination; and</w:t>
      </w:r>
    </w:p>
    <w:p>
      <w:pPr>
        <w:spacing w:after="0" w:line="195" w:lineRule="exact"/>
        <w:rPr>
          <w:sz w:val="20"/>
          <w:szCs w:val="20"/>
          <w:color w:val="auto"/>
        </w:rPr>
      </w:pPr>
    </w:p>
    <w:p>
      <w:pPr>
        <w:jc w:val="both"/>
        <w:ind w:left="860" w:hanging="784"/>
        <w:spacing w:after="0" w:line="257" w:lineRule="auto"/>
        <w:tabs>
          <w:tab w:leader="none" w:pos="840" w:val="left"/>
        </w:tabs>
        <w:rPr>
          <w:sz w:val="20"/>
          <w:szCs w:val="20"/>
          <w:color w:val="auto"/>
        </w:rPr>
      </w:pPr>
      <w:r>
        <w:rPr>
          <w:rFonts w:ascii="Arial" w:cs="Arial" w:eastAsia="Arial" w:hAnsi="Arial"/>
          <w:sz w:val="18"/>
          <w:szCs w:val="18"/>
          <w:color w:val="auto"/>
        </w:rPr>
        <w:t>b.</w:t>
      </w:r>
      <w:r>
        <w:rPr>
          <w:sz w:val="20"/>
          <w:szCs w:val="20"/>
          <w:color w:val="auto"/>
        </w:rPr>
        <w:tab/>
      </w:r>
      <w:r>
        <w:rPr>
          <w:rFonts w:ascii="Arial" w:cs="Arial" w:eastAsia="Arial" w:hAnsi="Arial"/>
          <w:sz w:val="18"/>
          <w:szCs w:val="18"/>
          <w:color w:val="auto"/>
        </w:rPr>
        <w:t>other employment laws, such as the Worker Adjustment and Retraining Notification Act, which requires that advance notice be given of certain workforce reductions; the Employee Retirement Income Security Act of 1974, which, among other things, protects employee benefits; the Family and Medical Leave Act, which requires employers to provide leaves of absence under certain circumstances; state laws which regulate wage and hour matters, including all forms of compensation, vacation pay, sick pay, compensatory time, overtime, commissions, bonuses, and meal and break periods; state family, medical, and</w:t>
      </w:r>
    </w:p>
    <w:p>
      <w:pPr>
        <w:spacing w:after="0" w:line="131" w:lineRule="exact"/>
        <w:rPr>
          <w:sz w:val="20"/>
          <w:szCs w:val="20"/>
          <w:color w:val="auto"/>
        </w:rPr>
      </w:pPr>
    </w:p>
    <w:p>
      <w:pPr>
        <w:ind w:left="880"/>
        <w:spacing w:after="0"/>
        <w:rPr>
          <w:sz w:val="20"/>
          <w:szCs w:val="20"/>
          <w:color w:val="auto"/>
        </w:rPr>
      </w:pPr>
      <w:r>
        <w:rPr>
          <w:rFonts w:ascii="Arial" w:cs="Arial" w:eastAsia="Arial" w:hAnsi="Arial"/>
          <w:sz w:val="22"/>
          <w:szCs w:val="22"/>
          <w:color w:val="auto"/>
        </w:rPr>
        <w:t>A-1</w:t>
      </w:r>
    </w:p>
    <w:p>
      <w:pPr>
        <w:spacing w:after="0"/>
        <w:rPr>
          <w:sz w:val="20"/>
          <w:szCs w:val="20"/>
          <w:color w:val="auto"/>
        </w:rPr>
      </w:pPr>
      <w:r>
        <w:rPr>
          <w:rFonts w:ascii="Arial" w:cs="Arial" w:eastAsia="Arial" w:hAnsi="Arial"/>
          <w:sz w:val="14"/>
          <w:szCs w:val="14"/>
          <w:color w:val="auto"/>
        </w:rPr>
        <w:t>4871-5083-7000.3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60960</wp:posOffset>
            </wp:positionV>
            <wp:extent cx="7174865" cy="425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59" w:name="page60"/>
    <w:bookmarkEnd w:id="59"/>
    <w:p>
      <w:pPr>
        <w:jc w:val="both"/>
        <w:ind w:left="860" w:firstLine="798"/>
        <w:spacing w:after="0" w:line="279" w:lineRule="auto"/>
        <w:rPr>
          <w:sz w:val="20"/>
          <w:szCs w:val="20"/>
          <w:color w:val="auto"/>
        </w:rPr>
      </w:pPr>
      <w:r>
        <w:rPr>
          <w:rFonts w:ascii="Arial" w:cs="Arial" w:eastAsia="Arial" w:hAnsi="Arial"/>
          <w:sz w:val="17"/>
          <w:szCs w:val="17"/>
          <w:color w:val="auto"/>
        </w:rPr>
        <w:t>military leave laws, which require employers to provide leaves of absence under certain circumstances; the Sarbanes Oxley Act; and any other federal, state, or local laws relating to employment which—to the extent Employee performed work for the Company in West Virginia—would include, without limitation, the West Virginia Human Rights Act, and—to the extent Employee performed work for the Company in New Jersey—would include, without limitation, the New Jersey Conscientious Employee Protection Act; and</w:t>
      </w:r>
    </w:p>
    <w:p>
      <w:pPr>
        <w:sectPr>
          <w:pgSz w:w="11900" w:h="16838" w:orient="portrait"/>
          <w:cols w:equalWidth="0" w:num="1">
            <w:col w:w="11240"/>
          </w:cols>
          <w:pgMar w:left="320" w:top="355" w:right="339" w:bottom="1440" w:gutter="0" w:footer="0" w:header="0"/>
        </w:sectPr>
      </w:pPr>
    </w:p>
    <w:p>
      <w:pPr>
        <w:spacing w:after="0" w:line="171" w:lineRule="exact"/>
        <w:rPr>
          <w:sz w:val="20"/>
          <w:szCs w:val="20"/>
          <w:color w:val="auto"/>
        </w:rPr>
      </w:pPr>
    </w:p>
    <w:p>
      <w:pPr>
        <w:ind w:left="80"/>
        <w:spacing w:after="0"/>
        <w:rPr>
          <w:sz w:val="20"/>
          <w:szCs w:val="20"/>
          <w:color w:val="auto"/>
        </w:rPr>
      </w:pPr>
      <w:r>
        <w:rPr>
          <w:rFonts w:ascii="Arial" w:cs="Arial" w:eastAsia="Arial" w:hAnsi="Arial"/>
          <w:sz w:val="15"/>
          <w:szCs w:val="15"/>
          <w:color w:val="auto"/>
        </w:rPr>
        <w:t>c.</w:t>
      </w:r>
    </w:p>
    <w:p>
      <w:pPr>
        <w:spacing w:after="0" w:line="20" w:lineRule="exact"/>
        <w:rPr>
          <w:sz w:val="20"/>
          <w:szCs w:val="20"/>
          <w:color w:val="auto"/>
        </w:rPr>
      </w:pPr>
      <w:r>
        <w:rPr>
          <w:sz w:val="20"/>
          <w:szCs w:val="20"/>
          <w:color w:val="auto"/>
        </w:rPr>
        <w:br w:type="column"/>
      </w:r>
    </w:p>
    <w:p>
      <w:pPr>
        <w:spacing w:after="0" w:line="151" w:lineRule="exact"/>
        <w:rPr>
          <w:sz w:val="20"/>
          <w:szCs w:val="20"/>
          <w:color w:val="auto"/>
        </w:rPr>
      </w:pPr>
    </w:p>
    <w:p>
      <w:pPr>
        <w:jc w:val="both"/>
        <w:ind w:firstLine="798"/>
        <w:spacing w:after="0" w:line="301" w:lineRule="auto"/>
        <w:rPr>
          <w:sz w:val="20"/>
          <w:szCs w:val="20"/>
          <w:color w:val="auto"/>
        </w:rPr>
      </w:pPr>
      <w:r>
        <w:rPr>
          <w:rFonts w:ascii="Arial" w:cs="Arial" w:eastAsia="Arial" w:hAnsi="Arial"/>
          <w:sz w:val="16"/>
          <w:szCs w:val="16"/>
          <w:color w:val="auto"/>
        </w:rPr>
        <w:t>tort, contract, and quasi-contract claims, such as claims for wrongful discharge, physical or personal injury, intentional or negligent infliction of emotional distress, fraud, fraud in the inducement, negligent misrepresentation, defamation, invasion of privacy, interference with contract or with prospective economic advantage, breach of express or implied contract, unjust enrichment, promissory estoppel, breach of covenants of good faith and fair dealing, negligent hiring, negligent supervision, negligent retention, and similar or related claims; and</w:t>
      </w:r>
    </w:p>
    <w:p>
      <w:pPr>
        <w:spacing w:after="0" w:line="157" w:lineRule="exact"/>
        <w:rPr>
          <w:sz w:val="20"/>
          <w:szCs w:val="20"/>
          <w:color w:val="auto"/>
        </w:rPr>
      </w:pPr>
    </w:p>
    <w:p>
      <w:pPr>
        <w:sectPr>
          <w:pgSz w:w="11900" w:h="16838" w:orient="portrait"/>
          <w:cols w:equalWidth="0" w:num="2">
            <w:col w:w="200" w:space="660"/>
            <w:col w:w="10380"/>
          </w:cols>
          <w:pgMar w:left="320" w:top="355" w:right="339" w:bottom="1440" w:gutter="0" w:footer="0" w:header="0"/>
          <w:type w:val="continuous"/>
        </w:sectPr>
      </w:pPr>
    </w:p>
    <w:p>
      <w:pPr>
        <w:ind w:left="80"/>
        <w:spacing w:after="0"/>
        <w:rPr>
          <w:sz w:val="20"/>
          <w:szCs w:val="20"/>
          <w:color w:val="auto"/>
        </w:rPr>
      </w:pPr>
      <w:r>
        <w:rPr>
          <w:rFonts w:ascii="Arial" w:cs="Arial" w:eastAsia="Arial" w:hAnsi="Arial"/>
          <w:sz w:val="13"/>
          <w:szCs w:val="13"/>
          <w:color w:val="auto"/>
        </w:rPr>
        <w:t>d.</w:t>
      </w:r>
    </w:p>
    <w:p>
      <w:pPr>
        <w:spacing w:after="0" w:line="20" w:lineRule="exact"/>
        <w:rPr>
          <w:sz w:val="20"/>
          <w:szCs w:val="20"/>
          <w:color w:val="auto"/>
        </w:rPr>
      </w:pPr>
      <w:r>
        <w:rPr>
          <w:sz w:val="20"/>
          <w:szCs w:val="20"/>
          <w:color w:val="auto"/>
        </w:rPr>
        <w:br w:type="column"/>
      </w:r>
    </w:p>
    <w:p>
      <w:pPr>
        <w:ind w:firstLine="798"/>
        <w:spacing w:after="0" w:line="277" w:lineRule="auto"/>
        <w:rPr>
          <w:sz w:val="20"/>
          <w:szCs w:val="20"/>
          <w:color w:val="auto"/>
        </w:rPr>
      </w:pPr>
      <w:r>
        <w:rPr>
          <w:rFonts w:ascii="Arial" w:cs="Arial" w:eastAsia="Arial" w:hAnsi="Arial"/>
          <w:sz w:val="18"/>
          <w:szCs w:val="18"/>
          <w:color w:val="auto"/>
        </w:rPr>
        <w:t>all remedies of any type, including, but not limited to, damages and injunctive relief, in any action that may be brought on Executive’s behalf against the Company and/or the Company Releasees by any government agency or other entity or person.</w:t>
      </w:r>
    </w:p>
    <w:p>
      <w:pPr>
        <w:spacing w:after="0" w:line="170" w:lineRule="exact"/>
        <w:rPr>
          <w:sz w:val="20"/>
          <w:szCs w:val="20"/>
          <w:color w:val="auto"/>
        </w:rPr>
      </w:pPr>
    </w:p>
    <w:p>
      <w:pPr>
        <w:sectPr>
          <w:pgSz w:w="11900" w:h="16838" w:orient="portrait"/>
          <w:cols w:equalWidth="0" w:num="2">
            <w:col w:w="200" w:space="660"/>
            <w:col w:w="10380"/>
          </w:cols>
          <w:pgMar w:left="320" w:top="355" w:right="339" w:bottom="1440" w:gutter="0" w:footer="0" w:header="0"/>
          <w:type w:val="continuous"/>
        </w:sectPr>
      </w:pPr>
    </w:p>
    <w:p>
      <w:pPr>
        <w:jc w:val="both"/>
        <w:ind w:firstLine="864"/>
        <w:spacing w:after="0" w:line="254" w:lineRule="auto"/>
        <w:rPr>
          <w:sz w:val="20"/>
          <w:szCs w:val="20"/>
          <w:color w:val="auto"/>
        </w:rPr>
      </w:pPr>
      <w:r>
        <w:rPr>
          <w:rFonts w:ascii="Arial" w:cs="Arial" w:eastAsia="Arial" w:hAnsi="Arial"/>
          <w:sz w:val="18"/>
          <w:szCs w:val="18"/>
          <w:color w:val="auto"/>
        </w:rPr>
        <w:t>Executive understands that Executive is releasing claims about which Executive may not know anything at the time Executive executes this Waiver and Release. Executive acknowledges that it is Executive’s intent to release such unknown claims, even though Executive recognizes that someday Executive might learn new facts relating to Executive’s employment or learn that some or all of the facts Executive currently believes to be true are untrue, and even though Executive might then regret having signed this Waiver and Release. Nevertheless, Executive acknowledges Executive’s awareness of that risk and agrees that this Waiver and Release shall remain effective in all respects in any such case. Executive expressly waives all rights Executive might have under any laws, including, without limitation, the laws set forth in Schedule I to this Waiver and Release, intended to protect Executive from waiving unknown claims.</w:t>
      </w:r>
    </w:p>
    <w:p>
      <w:pPr>
        <w:spacing w:after="0" w:line="195" w:lineRule="exact"/>
        <w:rPr>
          <w:sz w:val="20"/>
          <w:szCs w:val="20"/>
          <w:color w:val="auto"/>
        </w:rPr>
      </w:pPr>
    </w:p>
    <w:p>
      <w:pPr>
        <w:jc w:val="both"/>
        <w:ind w:left="860" w:hanging="784"/>
        <w:spacing w:after="0" w:line="268" w:lineRule="auto"/>
        <w:tabs>
          <w:tab w:leader="none" w:pos="840" w:val="left"/>
        </w:tabs>
        <w:rPr>
          <w:sz w:val="20"/>
          <w:szCs w:val="20"/>
          <w:color w:val="auto"/>
        </w:rPr>
      </w:pPr>
      <w:r>
        <w:rPr>
          <w:rFonts w:ascii="Arial" w:cs="Arial" w:eastAsia="Arial" w:hAnsi="Arial"/>
          <w:sz w:val="18"/>
          <w:szCs w:val="18"/>
          <w:color w:val="auto"/>
        </w:rPr>
        <w:t>3.</w:t>
      </w:r>
      <w:r>
        <w:rPr>
          <w:sz w:val="20"/>
          <w:szCs w:val="20"/>
          <w:color w:val="auto"/>
        </w:rPr>
        <w:tab/>
      </w:r>
      <w:r>
        <w:rPr>
          <w:rFonts w:ascii="Arial" w:cs="Arial" w:eastAsia="Arial" w:hAnsi="Arial"/>
          <w:sz w:val="17"/>
          <w:szCs w:val="17"/>
          <w:color w:val="auto"/>
        </w:rPr>
        <w:t>Notwithstanding anything to the contrary in this Waiver and Release, the waiver and release contained herein shall exclude any rights or claims (a) that may arise after the date on which Executive executes this Waiver and Release; (b) that cannot be released under applicable law (such as worker’s compensation and unemployment insurance claims); or (c) for indemnification or directors and officers liability insurance coverage, if any, to which s/he was entitled immediately prior to his or her Date of Termination with regard to his or her service as an officer or director of the Company or any company(ies) controlled by, controlling or under common control with the Company, and any predecessors, successors or assigns to the foregoing (the “</w:t>
      </w:r>
      <w:r>
        <w:rPr>
          <w:rFonts w:ascii="Arial" w:cs="Arial" w:eastAsia="Arial" w:hAnsi="Arial"/>
          <w:sz w:val="17"/>
          <w:szCs w:val="17"/>
          <w:u w:val="single" w:color="auto"/>
          <w:color w:val="auto"/>
        </w:rPr>
        <w:t>UNIT Group</w:t>
      </w:r>
      <w:r>
        <w:rPr>
          <w:rFonts w:ascii="Arial" w:cs="Arial" w:eastAsia="Arial" w:hAnsi="Arial"/>
          <w:sz w:val="17"/>
          <w:szCs w:val="17"/>
          <w:color w:val="auto"/>
        </w:rPr>
        <w:t>”). In addition, the Parties agree that this Waiver and Release shall not adversely affect, alter, or extinguish (i) any vested right that Executive may have with respect to any pension or other retirement benefits to which Executive is or will be entitled by virtue of Executive’s employment with the UNIT Group; (ii) Executive’s rights under the Consolidated Omnibus Budget Reconciliation Act of 1985; or (iii) Executive’s rights under Sections 4 and 5 of the Agreement which are intended to survive termination of employment, and nothing in this Waiver and Release shall prohibit Executive from enforcing such rights. Moreover, nothing in this Waiver and Release shall prevent or preclude Executive from challenging in good faith the validity of this Waiver and Release, nor does it impose any conditions precedent, penalties, or costs for doing so, unless specifically authorized by applicable law.</w:t>
      </w:r>
    </w:p>
    <w:p>
      <w:pPr>
        <w:spacing w:after="0" w:line="186" w:lineRule="exact"/>
        <w:rPr>
          <w:sz w:val="20"/>
          <w:szCs w:val="20"/>
          <w:color w:val="auto"/>
        </w:rPr>
      </w:pPr>
    </w:p>
    <w:p>
      <w:pPr>
        <w:jc w:val="both"/>
        <w:ind w:left="860" w:hanging="784"/>
        <w:spacing w:after="0" w:line="253" w:lineRule="auto"/>
        <w:tabs>
          <w:tab w:leader="none" w:pos="840" w:val="left"/>
        </w:tabs>
        <w:rPr>
          <w:sz w:val="20"/>
          <w:szCs w:val="20"/>
          <w:color w:val="auto"/>
        </w:rPr>
      </w:pPr>
      <w:r>
        <w:rPr>
          <w:rFonts w:ascii="Arial" w:cs="Arial" w:eastAsia="Arial" w:hAnsi="Arial"/>
          <w:sz w:val="18"/>
          <w:szCs w:val="18"/>
          <w:color w:val="auto"/>
        </w:rPr>
        <w:t>4.</w:t>
      </w:r>
      <w:r>
        <w:rPr>
          <w:sz w:val="20"/>
          <w:szCs w:val="20"/>
          <w:color w:val="auto"/>
        </w:rPr>
        <w:tab/>
      </w:r>
      <w:r>
        <w:rPr>
          <w:rFonts w:ascii="Arial" w:cs="Arial" w:eastAsia="Arial" w:hAnsi="Arial"/>
          <w:sz w:val="18"/>
          <w:szCs w:val="18"/>
          <w:color w:val="auto"/>
        </w:rPr>
        <w:t>Except to the extent previously disclosed by Executive in writing to the Company, Executive represents and warrants that Executive has (a) filed no claims, lawsuits, charges, grievances, or causes of action of any kind against the Company and/or the Company Releasees and, to the best of Executive’s knowledge, Executive possesses no claims (including Fair Labor Standards Act (“</w:t>
      </w:r>
      <w:r>
        <w:rPr>
          <w:rFonts w:ascii="Arial" w:cs="Arial" w:eastAsia="Arial" w:hAnsi="Arial"/>
          <w:sz w:val="18"/>
          <w:szCs w:val="18"/>
          <w:u w:val="single" w:color="auto"/>
          <w:color w:val="auto"/>
        </w:rPr>
        <w:t>FLSA</w:t>
      </w:r>
      <w:r>
        <w:rPr>
          <w:rFonts w:ascii="Arial" w:cs="Arial" w:eastAsia="Arial" w:hAnsi="Arial"/>
          <w:sz w:val="18"/>
          <w:szCs w:val="18"/>
          <w:color w:val="auto"/>
        </w:rPr>
        <w:t>”) and worker’s compensation claims); (b) received any and all compensation (including overtime compensation), meal periods, and rest periods to which Executive may have been entitled, and Executive is not currently aware of any facts or circumstances constituting a violation by the Company and/or the Company Releasees of the FLSA or other applicable wage, hour, meal period, and/or rest period laws; and (c) not suffered any work-related injury or illness within the twelve (12) months preceding Executive’s execution of this Waiver and Release, and Executive is not currently aware of any facts or circumstances that would give rise to a worker’s compensation claim against the Company and/or the Company Releasees.</w:t>
      </w:r>
    </w:p>
    <w:p>
      <w:pPr>
        <w:spacing w:after="0" w:line="196" w:lineRule="exact"/>
        <w:rPr>
          <w:sz w:val="20"/>
          <w:szCs w:val="20"/>
          <w:color w:val="auto"/>
        </w:rPr>
      </w:pPr>
    </w:p>
    <w:p>
      <w:pPr>
        <w:jc w:val="both"/>
        <w:ind w:left="860" w:hanging="784"/>
        <w:spacing w:after="0" w:line="277" w:lineRule="auto"/>
        <w:tabs>
          <w:tab w:leader="none" w:pos="840" w:val="left"/>
        </w:tabs>
        <w:rPr>
          <w:sz w:val="20"/>
          <w:szCs w:val="20"/>
          <w:color w:val="auto"/>
        </w:rPr>
      </w:pPr>
      <w:r>
        <w:rPr>
          <w:rFonts w:ascii="Arial" w:cs="Arial" w:eastAsia="Arial" w:hAnsi="Arial"/>
          <w:sz w:val="18"/>
          <w:szCs w:val="18"/>
          <w:color w:val="auto"/>
        </w:rPr>
        <w:t>5.</w:t>
      </w:r>
      <w:r>
        <w:rPr>
          <w:sz w:val="20"/>
          <w:szCs w:val="20"/>
          <w:color w:val="auto"/>
        </w:rPr>
        <w:tab/>
      </w:r>
      <w:r>
        <w:rPr>
          <w:rFonts w:ascii="Arial" w:cs="Arial" w:eastAsia="Arial" w:hAnsi="Arial"/>
          <w:sz w:val="18"/>
          <w:szCs w:val="18"/>
          <w:color w:val="auto"/>
        </w:rPr>
        <w:t>Executive agrees that Executive will remain reasonably available to the Company as needed to assist in the smooth transition of Executive’s duties to one or more other employees of the Company and without additional</w:t>
      </w:r>
    </w:p>
    <w:p>
      <w:pPr>
        <w:spacing w:after="0" w:line="114" w:lineRule="exact"/>
        <w:rPr>
          <w:sz w:val="20"/>
          <w:szCs w:val="20"/>
          <w:color w:val="auto"/>
        </w:rPr>
      </w:pPr>
    </w:p>
    <w:p>
      <w:pPr>
        <w:ind w:left="880"/>
        <w:spacing w:after="0"/>
        <w:rPr>
          <w:sz w:val="20"/>
          <w:szCs w:val="20"/>
          <w:color w:val="auto"/>
        </w:rPr>
      </w:pPr>
      <w:r>
        <w:rPr>
          <w:rFonts w:ascii="Arial" w:cs="Arial" w:eastAsia="Arial" w:hAnsi="Arial"/>
          <w:sz w:val="22"/>
          <w:szCs w:val="22"/>
          <w:color w:val="auto"/>
        </w:rPr>
        <w:t>A-2</w:t>
      </w:r>
    </w:p>
    <w:p>
      <w:pPr>
        <w:spacing w:after="0"/>
        <w:rPr>
          <w:sz w:val="20"/>
          <w:szCs w:val="20"/>
          <w:color w:val="auto"/>
        </w:rPr>
      </w:pPr>
      <w:r>
        <w:rPr>
          <w:rFonts w:ascii="Arial" w:cs="Arial" w:eastAsia="Arial" w:hAnsi="Arial"/>
          <w:sz w:val="14"/>
          <w:szCs w:val="14"/>
          <w:color w:val="auto"/>
        </w:rPr>
        <w:t>4871-5083-7000.3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60960</wp:posOffset>
            </wp:positionV>
            <wp:extent cx="7174865" cy="425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355" w:right="339" w:bottom="1440" w:gutter="0" w:footer="0" w:header="0"/>
          <w:type w:val="continuous"/>
        </w:sectPr>
      </w:pPr>
    </w:p>
    <w:bookmarkStart w:id="60" w:name="page61"/>
    <w:bookmarkEnd w:id="60"/>
    <w:tbl>
      <w:tblPr>
        <w:tblLayout w:type="fixed"/>
        <w:tblInd w:w="80" w:type="dxa"/>
        <w:tblCellMar>
          <w:top w:w="0" w:type="dxa"/>
          <w:left w:w="0" w:type="dxa"/>
          <w:bottom w:w="0" w:type="dxa"/>
          <w:right w:w="0" w:type="dxa"/>
        </w:tblCellMar>
      </w:tblPr>
      <w:tr>
        <w:trPr>
          <w:trHeight w:val="216"/>
        </w:trPr>
        <w:tc>
          <w:tcPr>
            <w:tcW w:w="500" w:type="dxa"/>
            <w:vAlign w:val="bottom"/>
          </w:tcPr>
          <w:p>
            <w:pPr>
              <w:spacing w:after="0"/>
              <w:rPr>
                <w:sz w:val="18"/>
                <w:szCs w:val="18"/>
                <w:color w:val="auto"/>
              </w:rPr>
            </w:pPr>
          </w:p>
        </w:tc>
        <w:tc>
          <w:tcPr>
            <w:tcW w:w="10660" w:type="dxa"/>
            <w:vAlign w:val="bottom"/>
          </w:tcPr>
          <w:p>
            <w:pPr>
              <w:ind w:left="1080"/>
              <w:spacing w:after="0"/>
              <w:rPr>
                <w:sz w:val="20"/>
                <w:szCs w:val="20"/>
                <w:color w:val="auto"/>
              </w:rPr>
            </w:pPr>
            <w:r>
              <w:rPr>
                <w:rFonts w:ascii="Arial" w:cs="Arial" w:eastAsia="Arial" w:hAnsi="Arial"/>
                <w:sz w:val="18"/>
                <w:szCs w:val="18"/>
                <w:color w:val="auto"/>
                <w:w w:val="91"/>
              </w:rPr>
              <w:t>compensation to Executive and to assist in the defense of the Company’s interests in pending or threatened litigation and any other</w:t>
            </w:r>
          </w:p>
        </w:tc>
      </w:tr>
      <w:tr>
        <w:trPr>
          <w:trHeight w:val="216"/>
        </w:trPr>
        <w:tc>
          <w:tcPr>
            <w:tcW w:w="500" w:type="dxa"/>
            <w:vAlign w:val="bottom"/>
          </w:tcPr>
          <w:p>
            <w:pPr>
              <w:spacing w:after="0"/>
              <w:rPr>
                <w:sz w:val="18"/>
                <w:szCs w:val="18"/>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4"/>
              </w:rPr>
              <w:t>administrative and regulatory proceedings which currently exist or which may arise in the future and involve the conduct of the Company’s</w:t>
            </w:r>
          </w:p>
        </w:tc>
      </w:tr>
      <w:tr>
        <w:trPr>
          <w:trHeight w:val="216"/>
        </w:trPr>
        <w:tc>
          <w:tcPr>
            <w:tcW w:w="500" w:type="dxa"/>
            <w:vAlign w:val="bottom"/>
          </w:tcPr>
          <w:p>
            <w:pPr>
              <w:spacing w:after="0"/>
              <w:rPr>
                <w:sz w:val="18"/>
                <w:szCs w:val="18"/>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3"/>
              </w:rPr>
              <w:t>business activities during the period of Executive’s employment with the Company.  Executive’s obligations with respect to transition duties</w:t>
            </w:r>
          </w:p>
        </w:tc>
      </w:tr>
      <w:tr>
        <w:trPr>
          <w:trHeight w:val="216"/>
        </w:trPr>
        <w:tc>
          <w:tcPr>
            <w:tcW w:w="500" w:type="dxa"/>
            <w:vAlign w:val="bottom"/>
          </w:tcPr>
          <w:p>
            <w:pPr>
              <w:spacing w:after="0"/>
              <w:rPr>
                <w:sz w:val="18"/>
                <w:szCs w:val="18"/>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3"/>
              </w:rPr>
              <w:t>under this Section 5 shall terminate eight (8) weeks following the Date of Termination; however, Executive’s obligations under this Section 5</w:t>
            </w:r>
          </w:p>
        </w:tc>
      </w:tr>
      <w:tr>
        <w:trPr>
          <w:trHeight w:val="230"/>
        </w:trPr>
        <w:tc>
          <w:tcPr>
            <w:tcW w:w="500" w:type="dxa"/>
            <w:vAlign w:val="bottom"/>
          </w:tcPr>
          <w:p>
            <w:pPr>
              <w:spacing w:after="0"/>
              <w:rPr>
                <w:sz w:val="20"/>
                <w:szCs w:val="20"/>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2"/>
              </w:rPr>
              <w:t>with respect to the defense of the Company’s interests shall survive the Date of Termination and the termination of this Waiver and Release.</w:t>
            </w:r>
          </w:p>
        </w:tc>
      </w:tr>
      <w:tr>
        <w:trPr>
          <w:trHeight w:val="418"/>
        </w:trPr>
        <w:tc>
          <w:tcPr>
            <w:tcW w:w="500" w:type="dxa"/>
            <w:vAlign w:val="bottom"/>
          </w:tcPr>
          <w:p>
            <w:pPr>
              <w:spacing w:after="0"/>
              <w:rPr>
                <w:sz w:val="20"/>
                <w:szCs w:val="20"/>
                <w:color w:val="auto"/>
              </w:rPr>
            </w:pPr>
            <w:r>
              <w:rPr>
                <w:rFonts w:ascii="Arial" w:cs="Arial" w:eastAsia="Arial" w:hAnsi="Arial"/>
                <w:sz w:val="18"/>
                <w:szCs w:val="18"/>
                <w:color w:val="auto"/>
              </w:rPr>
              <w:t>6.</w:t>
            </w:r>
          </w:p>
        </w:tc>
        <w:tc>
          <w:tcPr>
            <w:tcW w:w="10660" w:type="dxa"/>
            <w:vAlign w:val="bottom"/>
          </w:tcPr>
          <w:p>
            <w:pPr>
              <w:ind w:left="1080"/>
              <w:spacing w:after="0"/>
              <w:rPr>
                <w:sz w:val="20"/>
                <w:szCs w:val="20"/>
                <w:color w:val="auto"/>
              </w:rPr>
            </w:pPr>
            <w:r>
              <w:rPr>
                <w:rFonts w:ascii="Arial" w:cs="Arial" w:eastAsia="Arial" w:hAnsi="Arial"/>
                <w:sz w:val="18"/>
                <w:szCs w:val="18"/>
                <w:color w:val="auto"/>
                <w:w w:val="91"/>
              </w:rPr>
              <w:t>Executive specifically agrees and understands that the existence and terms of this Waiver and Release are strictly CONFIDENTIAL</w:t>
            </w:r>
          </w:p>
        </w:tc>
      </w:tr>
      <w:tr>
        <w:trPr>
          <w:trHeight w:val="216"/>
        </w:trPr>
        <w:tc>
          <w:tcPr>
            <w:tcW w:w="500" w:type="dxa"/>
            <w:vAlign w:val="bottom"/>
          </w:tcPr>
          <w:p>
            <w:pPr>
              <w:spacing w:after="0"/>
              <w:rPr>
                <w:sz w:val="18"/>
                <w:szCs w:val="18"/>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6"/>
              </w:rPr>
              <w:t>and that such confidentiality is a material term of this Waiver and Release.  Accordingly, except as required by applicable law or unless</w:t>
            </w:r>
          </w:p>
        </w:tc>
      </w:tr>
      <w:tr>
        <w:trPr>
          <w:trHeight w:val="216"/>
        </w:trPr>
        <w:tc>
          <w:tcPr>
            <w:tcW w:w="500" w:type="dxa"/>
            <w:vAlign w:val="bottom"/>
          </w:tcPr>
          <w:p>
            <w:pPr>
              <w:spacing w:after="0"/>
              <w:rPr>
                <w:sz w:val="18"/>
                <w:szCs w:val="18"/>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6"/>
              </w:rPr>
              <w:t>authorized to do so by the Company in writing, Executive agrees that s/he shall not communicate, display or otherwise reveal any of the</w:t>
            </w:r>
          </w:p>
        </w:tc>
      </w:tr>
      <w:tr>
        <w:trPr>
          <w:trHeight w:val="216"/>
        </w:trPr>
        <w:tc>
          <w:tcPr>
            <w:tcW w:w="500" w:type="dxa"/>
            <w:vAlign w:val="bottom"/>
          </w:tcPr>
          <w:p>
            <w:pPr>
              <w:spacing w:after="0"/>
              <w:rPr>
                <w:sz w:val="18"/>
                <w:szCs w:val="18"/>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1"/>
              </w:rPr>
              <w:t>contents of this Waiver and Release to anyone other than his or her spouse, attorney or financial advisor, provided, however, that they are first</w:t>
            </w:r>
          </w:p>
        </w:tc>
      </w:tr>
      <w:tr>
        <w:trPr>
          <w:trHeight w:val="216"/>
        </w:trPr>
        <w:tc>
          <w:tcPr>
            <w:tcW w:w="500" w:type="dxa"/>
            <w:vAlign w:val="bottom"/>
          </w:tcPr>
          <w:p>
            <w:pPr>
              <w:spacing w:after="0"/>
              <w:rPr>
                <w:sz w:val="18"/>
                <w:szCs w:val="18"/>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2"/>
              </w:rPr>
              <w:t>advised of the confidential nature of this Waiver and Release and Executive obtains their agreement to be bound by the same. The Company</w:t>
            </w:r>
          </w:p>
        </w:tc>
      </w:tr>
      <w:tr>
        <w:trPr>
          <w:trHeight w:val="216"/>
        </w:trPr>
        <w:tc>
          <w:tcPr>
            <w:tcW w:w="500" w:type="dxa"/>
            <w:vAlign w:val="bottom"/>
          </w:tcPr>
          <w:p>
            <w:pPr>
              <w:spacing w:after="0"/>
              <w:rPr>
                <w:sz w:val="18"/>
                <w:szCs w:val="18"/>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6"/>
              </w:rPr>
              <w:t>agrees that Executive may respond to legitimate inquiries regarding his or her employment with the Company by stating that the Parties</w:t>
            </w:r>
          </w:p>
        </w:tc>
      </w:tr>
      <w:tr>
        <w:trPr>
          <w:trHeight w:val="216"/>
        </w:trPr>
        <w:tc>
          <w:tcPr>
            <w:tcW w:w="500" w:type="dxa"/>
            <w:vAlign w:val="bottom"/>
          </w:tcPr>
          <w:p>
            <w:pPr>
              <w:spacing w:after="0"/>
              <w:rPr>
                <w:sz w:val="18"/>
                <w:szCs w:val="18"/>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0"/>
              </w:rPr>
              <w:t>terminated their relationship on an amicable basis and that the Parties have entered into a confidential Waiver and Release that prohibits him or</w:t>
            </w:r>
          </w:p>
        </w:tc>
      </w:tr>
      <w:tr>
        <w:trPr>
          <w:trHeight w:val="216"/>
        </w:trPr>
        <w:tc>
          <w:tcPr>
            <w:tcW w:w="500" w:type="dxa"/>
            <w:vAlign w:val="bottom"/>
          </w:tcPr>
          <w:p>
            <w:pPr>
              <w:spacing w:after="0"/>
              <w:rPr>
                <w:sz w:val="18"/>
                <w:szCs w:val="18"/>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5"/>
              </w:rPr>
              <w:t>her from further discussing the specifics of his or her separation.  Nothing contained herein shall be construed to prevent Executive from</w:t>
            </w:r>
          </w:p>
        </w:tc>
      </w:tr>
      <w:tr>
        <w:trPr>
          <w:trHeight w:val="216"/>
        </w:trPr>
        <w:tc>
          <w:tcPr>
            <w:tcW w:w="500" w:type="dxa"/>
            <w:vAlign w:val="bottom"/>
          </w:tcPr>
          <w:p>
            <w:pPr>
              <w:spacing w:after="0"/>
              <w:rPr>
                <w:sz w:val="18"/>
                <w:szCs w:val="18"/>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3"/>
              </w:rPr>
              <w:t>discussing or otherwise advising subsequent employers of the existence of any obligations as set forth in the Agreement or this Waiver and</w:t>
            </w:r>
          </w:p>
        </w:tc>
      </w:tr>
      <w:tr>
        <w:trPr>
          <w:trHeight w:val="216"/>
        </w:trPr>
        <w:tc>
          <w:tcPr>
            <w:tcW w:w="500" w:type="dxa"/>
            <w:vAlign w:val="bottom"/>
          </w:tcPr>
          <w:p>
            <w:pPr>
              <w:spacing w:after="0"/>
              <w:rPr>
                <w:sz w:val="18"/>
                <w:szCs w:val="18"/>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3"/>
              </w:rPr>
              <w:t>Release. Further, nothing contained herein shall be construed to limit or otherwise restrict the UNIT Group’s ability to disclose the terms and</w:t>
            </w:r>
          </w:p>
        </w:tc>
      </w:tr>
      <w:tr>
        <w:trPr>
          <w:trHeight w:val="230"/>
        </w:trPr>
        <w:tc>
          <w:tcPr>
            <w:tcW w:w="500" w:type="dxa"/>
            <w:vAlign w:val="bottom"/>
          </w:tcPr>
          <w:p>
            <w:pPr>
              <w:spacing w:after="0"/>
              <w:rPr>
                <w:sz w:val="20"/>
                <w:szCs w:val="20"/>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rPr>
              <w:t>conditions of this Waiver and Release as may be required by applicable law or business necessity.</w:t>
            </w:r>
          </w:p>
        </w:tc>
      </w:tr>
      <w:tr>
        <w:trPr>
          <w:trHeight w:val="418"/>
        </w:trPr>
        <w:tc>
          <w:tcPr>
            <w:tcW w:w="500" w:type="dxa"/>
            <w:vAlign w:val="bottom"/>
          </w:tcPr>
          <w:p>
            <w:pPr>
              <w:spacing w:after="0"/>
              <w:rPr>
                <w:sz w:val="20"/>
                <w:szCs w:val="20"/>
                <w:color w:val="auto"/>
              </w:rPr>
            </w:pPr>
            <w:r>
              <w:rPr>
                <w:rFonts w:ascii="Arial" w:cs="Arial" w:eastAsia="Arial" w:hAnsi="Arial"/>
                <w:sz w:val="18"/>
                <w:szCs w:val="18"/>
                <w:color w:val="auto"/>
              </w:rPr>
              <w:t>7.</w:t>
            </w:r>
          </w:p>
        </w:tc>
        <w:tc>
          <w:tcPr>
            <w:tcW w:w="10660" w:type="dxa"/>
            <w:vAlign w:val="bottom"/>
          </w:tcPr>
          <w:p>
            <w:pPr>
              <w:ind w:left="1080"/>
              <w:spacing w:after="0"/>
              <w:rPr>
                <w:sz w:val="20"/>
                <w:szCs w:val="20"/>
                <w:color w:val="auto"/>
              </w:rPr>
            </w:pPr>
            <w:r>
              <w:rPr>
                <w:rFonts w:ascii="Arial" w:cs="Arial" w:eastAsia="Arial" w:hAnsi="Arial"/>
                <w:sz w:val="18"/>
                <w:szCs w:val="18"/>
                <w:color w:val="auto"/>
                <w:w w:val="93"/>
              </w:rPr>
              <w:t>In the event that Executive breaches or threatens to breach any provision of this Waiver and Release, s/he agrees that the UNIT</w:t>
            </w:r>
          </w:p>
        </w:tc>
      </w:tr>
      <w:tr>
        <w:trPr>
          <w:trHeight w:val="216"/>
        </w:trPr>
        <w:tc>
          <w:tcPr>
            <w:tcW w:w="500" w:type="dxa"/>
            <w:vAlign w:val="bottom"/>
          </w:tcPr>
          <w:p>
            <w:pPr>
              <w:spacing w:after="0"/>
              <w:rPr>
                <w:sz w:val="18"/>
                <w:szCs w:val="18"/>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1"/>
              </w:rPr>
              <w:t>Group shall be entitled to seek any and all equitable and legal relief provided by law, specifically including immediate and permanent injunctive</w:t>
            </w:r>
          </w:p>
        </w:tc>
      </w:tr>
      <w:tr>
        <w:trPr>
          <w:trHeight w:val="216"/>
        </w:trPr>
        <w:tc>
          <w:tcPr>
            <w:tcW w:w="500" w:type="dxa"/>
            <w:vAlign w:val="bottom"/>
          </w:tcPr>
          <w:p>
            <w:pPr>
              <w:spacing w:after="0"/>
              <w:rPr>
                <w:sz w:val="18"/>
                <w:szCs w:val="18"/>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1"/>
              </w:rPr>
              <w:t>relief. Executive hereby waives any claim that the UNIT Group has an adequate remedy at law. In addition, and to the extent not prohibited by</w:t>
            </w:r>
          </w:p>
        </w:tc>
      </w:tr>
      <w:tr>
        <w:trPr>
          <w:trHeight w:val="216"/>
        </w:trPr>
        <w:tc>
          <w:tcPr>
            <w:tcW w:w="500" w:type="dxa"/>
            <w:vAlign w:val="bottom"/>
          </w:tcPr>
          <w:p>
            <w:pPr>
              <w:spacing w:after="0"/>
              <w:rPr>
                <w:sz w:val="18"/>
                <w:szCs w:val="18"/>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4"/>
              </w:rPr>
              <w:t>law, Executive agrees that the UNIT Group shall be entitled to an award of all costs and attorneys’ fees incurred by the UNIT Group in any</w:t>
            </w:r>
          </w:p>
        </w:tc>
      </w:tr>
      <w:tr>
        <w:trPr>
          <w:trHeight w:val="216"/>
        </w:trPr>
        <w:tc>
          <w:tcPr>
            <w:tcW w:w="500" w:type="dxa"/>
            <w:vAlign w:val="bottom"/>
          </w:tcPr>
          <w:p>
            <w:pPr>
              <w:spacing w:after="0"/>
              <w:rPr>
                <w:sz w:val="18"/>
                <w:szCs w:val="18"/>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3"/>
              </w:rPr>
              <w:t>successful effort to enforce the terms of this Waiver and Release. Executive agrees that the foregoing relief shall not be construed to limit or</w:t>
            </w:r>
          </w:p>
        </w:tc>
      </w:tr>
      <w:tr>
        <w:trPr>
          <w:trHeight w:val="216"/>
        </w:trPr>
        <w:tc>
          <w:tcPr>
            <w:tcW w:w="500" w:type="dxa"/>
            <w:vAlign w:val="bottom"/>
          </w:tcPr>
          <w:p>
            <w:pPr>
              <w:spacing w:after="0"/>
              <w:rPr>
                <w:sz w:val="18"/>
                <w:szCs w:val="18"/>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2"/>
              </w:rPr>
              <w:t>otherwise restrict the UNIT Group’s ability to pursue any other remedy provided by law, including the recovery of any actual, compensatory or</w:t>
            </w:r>
          </w:p>
        </w:tc>
      </w:tr>
      <w:tr>
        <w:trPr>
          <w:trHeight w:val="216"/>
        </w:trPr>
        <w:tc>
          <w:tcPr>
            <w:tcW w:w="500" w:type="dxa"/>
            <w:vAlign w:val="bottom"/>
          </w:tcPr>
          <w:p>
            <w:pPr>
              <w:spacing w:after="0"/>
              <w:rPr>
                <w:sz w:val="18"/>
                <w:szCs w:val="18"/>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2"/>
              </w:rPr>
              <w:t>punitive damages.  Moreover, if Executive pursues any claims against any Company Releasee subject to the foregoing Waiver and Release,</w:t>
            </w:r>
          </w:p>
        </w:tc>
      </w:tr>
      <w:tr>
        <w:trPr>
          <w:trHeight w:val="230"/>
        </w:trPr>
        <w:tc>
          <w:tcPr>
            <w:tcW w:w="500" w:type="dxa"/>
            <w:vAlign w:val="bottom"/>
          </w:tcPr>
          <w:p>
            <w:pPr>
              <w:spacing w:after="0"/>
              <w:rPr>
                <w:sz w:val="20"/>
                <w:szCs w:val="20"/>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1"/>
              </w:rPr>
              <w:t>Executive agrees to immediately reimburse the Company for the value of all Severance Benefits received to the fullest extent permitted by law.</w:t>
            </w:r>
          </w:p>
        </w:tc>
      </w:tr>
      <w:tr>
        <w:trPr>
          <w:trHeight w:val="418"/>
        </w:trPr>
        <w:tc>
          <w:tcPr>
            <w:tcW w:w="500" w:type="dxa"/>
            <w:vAlign w:val="bottom"/>
          </w:tcPr>
          <w:p>
            <w:pPr>
              <w:spacing w:after="0"/>
              <w:rPr>
                <w:sz w:val="20"/>
                <w:szCs w:val="20"/>
                <w:color w:val="auto"/>
              </w:rPr>
            </w:pPr>
            <w:r>
              <w:rPr>
                <w:rFonts w:ascii="Arial" w:cs="Arial" w:eastAsia="Arial" w:hAnsi="Arial"/>
                <w:sz w:val="18"/>
                <w:szCs w:val="18"/>
                <w:color w:val="auto"/>
              </w:rPr>
              <w:t>8.</w:t>
            </w:r>
          </w:p>
        </w:tc>
        <w:tc>
          <w:tcPr>
            <w:tcW w:w="10660" w:type="dxa"/>
            <w:vAlign w:val="bottom"/>
          </w:tcPr>
          <w:p>
            <w:pPr>
              <w:ind w:left="1080"/>
              <w:spacing w:after="0"/>
              <w:rPr>
                <w:sz w:val="20"/>
                <w:szCs w:val="20"/>
                <w:color w:val="auto"/>
              </w:rPr>
            </w:pPr>
            <w:r>
              <w:rPr>
                <w:rFonts w:ascii="Arial" w:cs="Arial" w:eastAsia="Arial" w:hAnsi="Arial"/>
                <w:sz w:val="18"/>
                <w:szCs w:val="18"/>
                <w:color w:val="auto"/>
                <w:w w:val="90"/>
              </w:rPr>
              <w:t>The Parties acknowledge that this Waiver and Release is entered into solely for the purpose of ending their employment relationship</w:t>
            </w:r>
          </w:p>
        </w:tc>
      </w:tr>
      <w:tr>
        <w:trPr>
          <w:trHeight w:val="216"/>
        </w:trPr>
        <w:tc>
          <w:tcPr>
            <w:tcW w:w="500" w:type="dxa"/>
            <w:vAlign w:val="bottom"/>
          </w:tcPr>
          <w:p>
            <w:pPr>
              <w:spacing w:after="0"/>
              <w:rPr>
                <w:sz w:val="18"/>
                <w:szCs w:val="18"/>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0"/>
              </w:rPr>
              <w:t>on an amicable basis and shall not be construed as, or used as evidence of, an admission of liability or wrongdoing by either Party and that both</w:t>
            </w:r>
          </w:p>
        </w:tc>
      </w:tr>
      <w:tr>
        <w:trPr>
          <w:trHeight w:val="216"/>
        </w:trPr>
        <w:tc>
          <w:tcPr>
            <w:tcW w:w="500" w:type="dxa"/>
            <w:vAlign w:val="bottom"/>
          </w:tcPr>
          <w:p>
            <w:pPr>
              <w:spacing w:after="0"/>
              <w:rPr>
                <w:sz w:val="18"/>
                <w:szCs w:val="18"/>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9"/>
              </w:rPr>
              <w:t>the UNIT Group and Executive have expressly denied any such liability or wrongdoing.  Executive agrees that s/he is eligible for re-</w:t>
            </w:r>
          </w:p>
        </w:tc>
      </w:tr>
      <w:tr>
        <w:trPr>
          <w:trHeight w:val="230"/>
        </w:trPr>
        <w:tc>
          <w:tcPr>
            <w:tcW w:w="500" w:type="dxa"/>
            <w:vAlign w:val="bottom"/>
          </w:tcPr>
          <w:p>
            <w:pPr>
              <w:spacing w:after="0"/>
              <w:rPr>
                <w:sz w:val="20"/>
                <w:szCs w:val="20"/>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rPr>
              <w:t>employment by the UNIT Group only by mutual agreement and consent of the Parties.</w:t>
            </w:r>
          </w:p>
        </w:tc>
      </w:tr>
      <w:tr>
        <w:trPr>
          <w:trHeight w:val="418"/>
        </w:trPr>
        <w:tc>
          <w:tcPr>
            <w:tcW w:w="500" w:type="dxa"/>
            <w:vAlign w:val="bottom"/>
          </w:tcPr>
          <w:p>
            <w:pPr>
              <w:spacing w:after="0"/>
              <w:rPr>
                <w:sz w:val="20"/>
                <w:szCs w:val="20"/>
                <w:color w:val="auto"/>
              </w:rPr>
            </w:pPr>
            <w:r>
              <w:rPr>
                <w:rFonts w:ascii="Arial" w:cs="Arial" w:eastAsia="Arial" w:hAnsi="Arial"/>
                <w:sz w:val="18"/>
                <w:szCs w:val="18"/>
                <w:color w:val="auto"/>
              </w:rPr>
              <w:t>9.</w:t>
            </w:r>
          </w:p>
        </w:tc>
        <w:tc>
          <w:tcPr>
            <w:tcW w:w="10660" w:type="dxa"/>
            <w:vAlign w:val="bottom"/>
          </w:tcPr>
          <w:p>
            <w:pPr>
              <w:ind w:left="1080"/>
              <w:spacing w:after="0"/>
              <w:rPr>
                <w:sz w:val="20"/>
                <w:szCs w:val="20"/>
                <w:color w:val="auto"/>
              </w:rPr>
            </w:pPr>
            <w:r>
              <w:rPr>
                <w:rFonts w:ascii="Arial" w:cs="Arial" w:eastAsia="Arial" w:hAnsi="Arial"/>
                <w:sz w:val="18"/>
                <w:szCs w:val="18"/>
                <w:color w:val="auto"/>
                <w:w w:val="90"/>
              </w:rPr>
              <w:t>Each of the promises and obligations contained in this Waiver and Release shall be binding upon and shall inure to the benefit of the</w:t>
            </w:r>
          </w:p>
        </w:tc>
      </w:tr>
      <w:tr>
        <w:trPr>
          <w:trHeight w:val="230"/>
        </w:trPr>
        <w:tc>
          <w:tcPr>
            <w:tcW w:w="500" w:type="dxa"/>
            <w:vAlign w:val="bottom"/>
          </w:tcPr>
          <w:p>
            <w:pPr>
              <w:spacing w:after="0"/>
              <w:rPr>
                <w:sz w:val="20"/>
                <w:szCs w:val="20"/>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rPr>
              <w:t>heirs, executors, administrators, assigns and successors in interest of each of the Parties.</w:t>
            </w:r>
          </w:p>
        </w:tc>
      </w:tr>
      <w:tr>
        <w:trPr>
          <w:trHeight w:val="418"/>
        </w:trPr>
        <w:tc>
          <w:tcPr>
            <w:tcW w:w="500" w:type="dxa"/>
            <w:vAlign w:val="bottom"/>
          </w:tcPr>
          <w:p>
            <w:pPr>
              <w:spacing w:after="0"/>
              <w:rPr>
                <w:sz w:val="20"/>
                <w:szCs w:val="20"/>
                <w:color w:val="auto"/>
              </w:rPr>
            </w:pPr>
            <w:r>
              <w:rPr>
                <w:rFonts w:ascii="Arial" w:cs="Arial" w:eastAsia="Arial" w:hAnsi="Arial"/>
                <w:sz w:val="18"/>
                <w:szCs w:val="18"/>
                <w:color w:val="auto"/>
              </w:rPr>
              <w:t>10.</w:t>
            </w:r>
          </w:p>
        </w:tc>
        <w:tc>
          <w:tcPr>
            <w:tcW w:w="10660" w:type="dxa"/>
            <w:vAlign w:val="bottom"/>
          </w:tcPr>
          <w:p>
            <w:pPr>
              <w:ind w:left="1080"/>
              <w:spacing w:after="0"/>
              <w:rPr>
                <w:sz w:val="20"/>
                <w:szCs w:val="20"/>
                <w:color w:val="auto"/>
              </w:rPr>
            </w:pPr>
            <w:r>
              <w:rPr>
                <w:rFonts w:ascii="Arial" w:cs="Arial" w:eastAsia="Arial" w:hAnsi="Arial"/>
                <w:sz w:val="18"/>
                <w:szCs w:val="18"/>
                <w:color w:val="auto"/>
                <w:w w:val="90"/>
              </w:rPr>
              <w:t>The Parties agree that each and every paragraph, sentence, clause, term and provision of this Waiver and Release is severable and</w:t>
            </w:r>
          </w:p>
        </w:tc>
      </w:tr>
      <w:tr>
        <w:trPr>
          <w:trHeight w:val="216"/>
        </w:trPr>
        <w:tc>
          <w:tcPr>
            <w:tcW w:w="500" w:type="dxa"/>
            <w:vAlign w:val="bottom"/>
          </w:tcPr>
          <w:p>
            <w:pPr>
              <w:spacing w:after="0"/>
              <w:rPr>
                <w:sz w:val="18"/>
                <w:szCs w:val="18"/>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7"/>
              </w:rPr>
              <w:t>that if any portion of this Waiver and Release should be deemed not enforceable for any reason, such portion shall be stricken and the</w:t>
            </w:r>
          </w:p>
        </w:tc>
      </w:tr>
      <w:tr>
        <w:trPr>
          <w:trHeight w:val="230"/>
        </w:trPr>
        <w:tc>
          <w:tcPr>
            <w:tcW w:w="500" w:type="dxa"/>
            <w:vAlign w:val="bottom"/>
          </w:tcPr>
          <w:p>
            <w:pPr>
              <w:spacing w:after="0"/>
              <w:rPr>
                <w:sz w:val="20"/>
                <w:szCs w:val="20"/>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rPr>
              <w:t>remaining portion(s) thereof should continue to be enforced to the fullest extent permitted by applicable law.</w:t>
            </w:r>
          </w:p>
        </w:tc>
      </w:tr>
      <w:tr>
        <w:trPr>
          <w:trHeight w:val="418"/>
        </w:trPr>
        <w:tc>
          <w:tcPr>
            <w:tcW w:w="500" w:type="dxa"/>
            <w:vAlign w:val="bottom"/>
          </w:tcPr>
          <w:p>
            <w:pPr>
              <w:spacing w:after="0"/>
              <w:rPr>
                <w:sz w:val="20"/>
                <w:szCs w:val="20"/>
                <w:color w:val="auto"/>
              </w:rPr>
            </w:pPr>
            <w:r>
              <w:rPr>
                <w:rFonts w:ascii="Arial" w:cs="Arial" w:eastAsia="Arial" w:hAnsi="Arial"/>
                <w:sz w:val="18"/>
                <w:szCs w:val="18"/>
                <w:color w:val="auto"/>
              </w:rPr>
              <w:t>11.</w:t>
            </w:r>
          </w:p>
        </w:tc>
        <w:tc>
          <w:tcPr>
            <w:tcW w:w="10660" w:type="dxa"/>
            <w:vAlign w:val="bottom"/>
          </w:tcPr>
          <w:p>
            <w:pPr>
              <w:ind w:left="1080"/>
              <w:spacing w:after="0"/>
              <w:rPr>
                <w:sz w:val="20"/>
                <w:szCs w:val="20"/>
                <w:color w:val="auto"/>
              </w:rPr>
            </w:pPr>
            <w:r>
              <w:rPr>
                <w:rFonts w:ascii="Arial" w:cs="Arial" w:eastAsia="Arial" w:hAnsi="Arial"/>
                <w:sz w:val="18"/>
                <w:szCs w:val="18"/>
                <w:color w:val="auto"/>
                <w:w w:val="90"/>
              </w:rPr>
              <w:t>This Waiver and Release shall be interpreted, enforced and governed under the laws of the State of Maryland, without regard to any</w:t>
            </w:r>
          </w:p>
        </w:tc>
      </w:tr>
      <w:tr>
        <w:trPr>
          <w:trHeight w:val="230"/>
        </w:trPr>
        <w:tc>
          <w:tcPr>
            <w:tcW w:w="500" w:type="dxa"/>
            <w:vAlign w:val="bottom"/>
          </w:tcPr>
          <w:p>
            <w:pPr>
              <w:spacing w:after="0"/>
              <w:rPr>
                <w:sz w:val="20"/>
                <w:szCs w:val="20"/>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rPr>
              <w:t>applicable state’s choice of law provisions.</w:t>
            </w:r>
          </w:p>
        </w:tc>
      </w:tr>
      <w:tr>
        <w:trPr>
          <w:trHeight w:val="418"/>
        </w:trPr>
        <w:tc>
          <w:tcPr>
            <w:tcW w:w="500" w:type="dxa"/>
            <w:vAlign w:val="bottom"/>
          </w:tcPr>
          <w:p>
            <w:pPr>
              <w:spacing w:after="0"/>
              <w:rPr>
                <w:sz w:val="20"/>
                <w:szCs w:val="20"/>
                <w:color w:val="auto"/>
              </w:rPr>
            </w:pPr>
            <w:r>
              <w:rPr>
                <w:rFonts w:ascii="Arial" w:cs="Arial" w:eastAsia="Arial" w:hAnsi="Arial"/>
                <w:sz w:val="18"/>
                <w:szCs w:val="18"/>
                <w:color w:val="auto"/>
              </w:rPr>
              <w:t>12.</w:t>
            </w:r>
          </w:p>
        </w:tc>
        <w:tc>
          <w:tcPr>
            <w:tcW w:w="10660" w:type="dxa"/>
            <w:vAlign w:val="bottom"/>
          </w:tcPr>
          <w:p>
            <w:pPr>
              <w:ind w:left="1080"/>
              <w:spacing w:after="0"/>
              <w:rPr>
                <w:sz w:val="20"/>
                <w:szCs w:val="20"/>
                <w:color w:val="auto"/>
              </w:rPr>
            </w:pPr>
            <w:r>
              <w:rPr>
                <w:rFonts w:ascii="Arial" w:cs="Arial" w:eastAsia="Arial" w:hAnsi="Arial"/>
                <w:sz w:val="18"/>
                <w:szCs w:val="18"/>
                <w:color w:val="auto"/>
                <w:w w:val="93"/>
              </w:rPr>
              <w:t>Executive represents and acknowledges that in signing this Waiver and Release s/he does not rely, and has not relied, upon any</w:t>
            </w:r>
          </w:p>
        </w:tc>
      </w:tr>
      <w:tr>
        <w:trPr>
          <w:trHeight w:val="216"/>
        </w:trPr>
        <w:tc>
          <w:tcPr>
            <w:tcW w:w="500" w:type="dxa"/>
            <w:vAlign w:val="bottom"/>
          </w:tcPr>
          <w:p>
            <w:pPr>
              <w:spacing w:after="0"/>
              <w:rPr>
                <w:sz w:val="18"/>
                <w:szCs w:val="18"/>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3"/>
              </w:rPr>
              <w:t>representation or statement made by the UNIT Group or by any of the UNIT Group’s employees, officers, agents, stockholders, directors or</w:t>
            </w:r>
          </w:p>
        </w:tc>
      </w:tr>
      <w:tr>
        <w:trPr>
          <w:trHeight w:val="230"/>
        </w:trPr>
        <w:tc>
          <w:tcPr>
            <w:tcW w:w="500" w:type="dxa"/>
            <w:vAlign w:val="bottom"/>
          </w:tcPr>
          <w:p>
            <w:pPr>
              <w:spacing w:after="0"/>
              <w:rPr>
                <w:sz w:val="20"/>
                <w:szCs w:val="20"/>
                <w:color w:val="auto"/>
              </w:rPr>
            </w:pPr>
          </w:p>
        </w:tc>
        <w:tc>
          <w:tcPr>
            <w:tcW w:w="10660" w:type="dxa"/>
            <w:vAlign w:val="bottom"/>
          </w:tcPr>
          <w:p>
            <w:pPr>
              <w:ind w:left="280"/>
              <w:spacing w:after="0"/>
              <w:rPr>
                <w:sz w:val="20"/>
                <w:szCs w:val="20"/>
                <w:color w:val="auto"/>
              </w:rPr>
            </w:pPr>
            <w:r>
              <w:rPr>
                <w:rFonts w:ascii="Arial" w:cs="Arial" w:eastAsia="Arial" w:hAnsi="Arial"/>
                <w:sz w:val="18"/>
                <w:szCs w:val="18"/>
                <w:color w:val="auto"/>
                <w:w w:val="98"/>
              </w:rPr>
              <w:t>attorneys with regard to the subject matter, basis or effect of this Waiver and Release other than those specifically contained herein.</w:t>
            </w:r>
          </w:p>
        </w:tc>
      </w:tr>
    </w:tbl>
    <w:p>
      <w:pPr>
        <w:spacing w:after="0" w:line="361" w:lineRule="exact"/>
        <w:rPr>
          <w:sz w:val="20"/>
          <w:szCs w:val="20"/>
          <w:color w:val="auto"/>
        </w:rPr>
      </w:pPr>
    </w:p>
    <w:p>
      <w:pPr>
        <w:ind w:left="880"/>
        <w:spacing w:after="0"/>
        <w:rPr>
          <w:sz w:val="20"/>
          <w:szCs w:val="20"/>
          <w:color w:val="auto"/>
        </w:rPr>
      </w:pPr>
      <w:r>
        <w:rPr>
          <w:rFonts w:ascii="Arial" w:cs="Arial" w:eastAsia="Arial" w:hAnsi="Arial"/>
          <w:sz w:val="22"/>
          <w:szCs w:val="22"/>
          <w:color w:val="auto"/>
        </w:rPr>
        <w:t>A-3</w:t>
      </w:r>
    </w:p>
    <w:p>
      <w:pPr>
        <w:spacing w:after="0"/>
        <w:rPr>
          <w:sz w:val="20"/>
          <w:szCs w:val="20"/>
          <w:color w:val="auto"/>
        </w:rPr>
      </w:pPr>
      <w:r>
        <w:rPr>
          <w:rFonts w:ascii="Arial" w:cs="Arial" w:eastAsia="Arial" w:hAnsi="Arial"/>
          <w:sz w:val="14"/>
          <w:szCs w:val="14"/>
          <w:color w:val="auto"/>
        </w:rPr>
        <w:t>4871-5083-7000.3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60960</wp:posOffset>
            </wp:positionV>
            <wp:extent cx="7174865" cy="425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355" w:right="339" w:bottom="1440" w:gutter="0" w:footer="0" w:header="0"/>
        </w:sectPr>
      </w:pPr>
    </w:p>
    <w:bookmarkStart w:id="61" w:name="page62"/>
    <w:bookmarkEnd w:id="61"/>
    <w:p>
      <w:pPr>
        <w:jc w:val="both"/>
        <w:ind w:left="860" w:hanging="784"/>
        <w:spacing w:after="0" w:line="273" w:lineRule="auto"/>
        <w:tabs>
          <w:tab w:leader="none" w:pos="840" w:val="left"/>
        </w:tabs>
        <w:rPr>
          <w:sz w:val="20"/>
          <w:szCs w:val="20"/>
          <w:color w:val="auto"/>
        </w:rPr>
      </w:pPr>
      <w:r>
        <w:rPr>
          <w:rFonts w:ascii="Arial" w:cs="Arial" w:eastAsia="Arial" w:hAnsi="Arial"/>
          <w:sz w:val="18"/>
          <w:szCs w:val="18"/>
          <w:color w:val="auto"/>
        </w:rPr>
        <w:t>13.</w:t>
      </w:r>
      <w:r>
        <w:rPr>
          <w:sz w:val="20"/>
          <w:szCs w:val="20"/>
          <w:color w:val="auto"/>
        </w:rPr>
        <w:tab/>
      </w:r>
      <w:r>
        <w:rPr>
          <w:rFonts w:ascii="Arial" w:cs="Arial" w:eastAsia="Arial" w:hAnsi="Arial"/>
          <w:sz w:val="17"/>
          <w:szCs w:val="17"/>
          <w:color w:val="auto"/>
        </w:rPr>
        <w:t>Executive acknowledges that Executive has been given at least forty-five (45) days to consider this Waiver and Release from the date that it was first given to Executive. Executive agrees that changes in the terms of this Waiver and Release, whether material or immaterial, do not restart the running of the forty-five (45)-day consideration period. Executive may accept this Waiver and Release by executing this Waiver and Release within the designated time period, but no sooner than the first day after the Date of Termination. Executive shall have seven (7) days from the date that Executive executes this Waiver and Release to revoke Executive’s acceptance of this Waiver and Release by delivering written notice of revocation within the seven (7)-day period to the following Company contact:</w:t>
      </w:r>
    </w:p>
    <w:p>
      <w:pPr>
        <w:spacing w:after="0" w:line="178" w:lineRule="exact"/>
        <w:rPr>
          <w:sz w:val="20"/>
          <w:szCs w:val="20"/>
          <w:color w:val="auto"/>
        </w:rPr>
      </w:pPr>
    </w:p>
    <w:p>
      <w:pPr>
        <w:ind w:left="2460"/>
        <w:spacing w:after="0"/>
        <w:rPr>
          <w:sz w:val="20"/>
          <w:szCs w:val="20"/>
          <w:color w:val="auto"/>
        </w:rPr>
      </w:pPr>
      <w:r>
        <w:rPr>
          <w:rFonts w:ascii="Arial" w:cs="Arial" w:eastAsia="Arial" w:hAnsi="Arial"/>
          <w:sz w:val="18"/>
          <w:szCs w:val="18"/>
          <w:color w:val="auto"/>
        </w:rPr>
        <w:t>Uniti Group Inc.</w:t>
      </w:r>
    </w:p>
    <w:p>
      <w:pPr>
        <w:spacing w:after="0" w:line="23" w:lineRule="exact"/>
        <w:rPr>
          <w:sz w:val="20"/>
          <w:szCs w:val="20"/>
          <w:color w:val="auto"/>
        </w:rPr>
      </w:pPr>
    </w:p>
    <w:p>
      <w:pPr>
        <w:ind w:left="2460"/>
        <w:spacing w:after="0"/>
        <w:rPr>
          <w:sz w:val="20"/>
          <w:szCs w:val="20"/>
          <w:color w:val="auto"/>
        </w:rPr>
      </w:pPr>
      <w:r>
        <w:rPr>
          <w:rFonts w:ascii="Arial" w:cs="Arial" w:eastAsia="Arial" w:hAnsi="Arial"/>
          <w:sz w:val="18"/>
          <w:szCs w:val="18"/>
          <w:color w:val="auto"/>
        </w:rPr>
        <w:t>2101 Riverfront Drive, Suite A</w:t>
      </w:r>
    </w:p>
    <w:p>
      <w:pPr>
        <w:spacing w:after="0" w:line="9" w:lineRule="exact"/>
        <w:rPr>
          <w:sz w:val="20"/>
          <w:szCs w:val="20"/>
          <w:color w:val="auto"/>
        </w:rPr>
      </w:pPr>
    </w:p>
    <w:p>
      <w:pPr>
        <w:ind w:left="2460"/>
        <w:spacing w:after="0"/>
        <w:rPr>
          <w:sz w:val="20"/>
          <w:szCs w:val="20"/>
          <w:color w:val="auto"/>
        </w:rPr>
      </w:pPr>
      <w:r>
        <w:rPr>
          <w:rFonts w:ascii="Arial" w:cs="Arial" w:eastAsia="Arial" w:hAnsi="Arial"/>
          <w:sz w:val="18"/>
          <w:szCs w:val="18"/>
          <w:color w:val="auto"/>
        </w:rPr>
        <w:t>Little Rock, AR 72202</w:t>
      </w:r>
    </w:p>
    <w:p>
      <w:pPr>
        <w:spacing w:after="0" w:line="9" w:lineRule="exact"/>
        <w:rPr>
          <w:sz w:val="20"/>
          <w:szCs w:val="20"/>
          <w:color w:val="auto"/>
        </w:rPr>
      </w:pPr>
    </w:p>
    <w:p>
      <w:pPr>
        <w:ind w:left="2460"/>
        <w:spacing w:after="0"/>
        <w:rPr>
          <w:sz w:val="20"/>
          <w:szCs w:val="20"/>
          <w:color w:val="auto"/>
        </w:rPr>
      </w:pPr>
      <w:r>
        <w:rPr>
          <w:rFonts w:ascii="Arial" w:cs="Arial" w:eastAsia="Arial" w:hAnsi="Arial"/>
          <w:sz w:val="18"/>
          <w:szCs w:val="18"/>
          <w:color w:val="auto"/>
        </w:rPr>
        <w:t>Attn: Human Resources Department</w:t>
      </w:r>
    </w:p>
    <w:p>
      <w:pPr>
        <w:spacing w:after="0" w:line="211" w:lineRule="exact"/>
        <w:rPr>
          <w:sz w:val="20"/>
          <w:szCs w:val="20"/>
          <w:color w:val="auto"/>
        </w:rPr>
      </w:pPr>
    </w:p>
    <w:p>
      <w:pPr>
        <w:ind w:firstLine="864"/>
        <w:spacing w:after="0" w:line="277" w:lineRule="auto"/>
        <w:rPr>
          <w:sz w:val="20"/>
          <w:szCs w:val="20"/>
          <w:color w:val="auto"/>
        </w:rPr>
      </w:pPr>
      <w:r>
        <w:rPr>
          <w:rFonts w:ascii="Arial" w:cs="Arial" w:eastAsia="Arial" w:hAnsi="Arial"/>
          <w:sz w:val="18"/>
          <w:szCs w:val="18"/>
          <w:color w:val="auto"/>
        </w:rPr>
        <w:t>If Executive does not revoke acceptance, this Waiver and Release will become effective and irrevocable by Executive on the eighth day after Executive has executed it.</w:t>
      </w:r>
    </w:p>
    <w:p>
      <w:pPr>
        <w:spacing w:after="0" w:line="170" w:lineRule="exact"/>
        <w:rPr>
          <w:sz w:val="20"/>
          <w:szCs w:val="20"/>
          <w:color w:val="auto"/>
        </w:rPr>
      </w:pPr>
    </w:p>
    <w:p>
      <w:pPr>
        <w:jc w:val="both"/>
        <w:ind w:left="860" w:hanging="784"/>
        <w:spacing w:after="0" w:line="259" w:lineRule="auto"/>
        <w:tabs>
          <w:tab w:leader="none" w:pos="840" w:val="left"/>
        </w:tabs>
        <w:rPr>
          <w:sz w:val="20"/>
          <w:szCs w:val="20"/>
          <w:color w:val="auto"/>
        </w:rPr>
      </w:pPr>
      <w:r>
        <w:rPr>
          <w:rFonts w:ascii="Arial" w:cs="Arial" w:eastAsia="Arial" w:hAnsi="Arial"/>
          <w:sz w:val="18"/>
          <w:szCs w:val="18"/>
          <w:color w:val="auto"/>
        </w:rPr>
        <w:t>14.</w:t>
      </w:r>
      <w:r>
        <w:rPr>
          <w:sz w:val="20"/>
          <w:szCs w:val="20"/>
          <w:color w:val="auto"/>
        </w:rPr>
        <w:tab/>
      </w:r>
      <w:r>
        <w:rPr>
          <w:rFonts w:ascii="Arial" w:cs="Arial" w:eastAsia="Arial" w:hAnsi="Arial"/>
          <w:sz w:val="18"/>
          <w:szCs w:val="18"/>
          <w:color w:val="auto"/>
        </w:rPr>
        <w:t>This Waiver and Release represents the entire agreement between the Parties concerning the subject matter hereof, shall supersede any and all prior agreements which may otherwise exist between them concerning the subject matter hereof (specifically excluding, however, the post-termination obligations contained in the Agreement), and shall not be altered, amended, modified or otherwise changed except by a writing executed by both Parties.</w:t>
      </w:r>
    </w:p>
    <w:p>
      <w:pPr>
        <w:spacing w:after="0" w:line="187" w:lineRule="exact"/>
        <w:rPr>
          <w:sz w:val="20"/>
          <w:szCs w:val="20"/>
          <w:color w:val="auto"/>
        </w:rPr>
      </w:pPr>
    </w:p>
    <w:p>
      <w:pPr>
        <w:jc w:val="both"/>
        <w:ind w:firstLine="864"/>
        <w:spacing w:after="0" w:line="257" w:lineRule="auto"/>
        <w:rPr>
          <w:sz w:val="20"/>
          <w:szCs w:val="20"/>
          <w:color w:val="auto"/>
        </w:rPr>
      </w:pPr>
      <w:r>
        <w:rPr>
          <w:rFonts w:ascii="Arial" w:cs="Arial" w:eastAsia="Arial" w:hAnsi="Arial"/>
          <w:sz w:val="18"/>
          <w:szCs w:val="18"/>
          <w:color w:val="auto"/>
        </w:rPr>
        <w:t>BY SIGNING BELOW, EXECUTIVE ACKNOWLEDGES THAT S/HE HAS READ THIS WAIVER AND RELEASE AND THAT IT INCLUDES A COMPLETE RELEASE OF ALL KNOWN AND UNKNOWN CLAIMS; THAT THE COMPANY HAS ADVISED EXECUTIVE TO CONSULT WITH AN ATTORNEY PRIOR TO SIGNING THIS WAIVER AND RELEASE; THAT S/HE HAS BEEN GIVEN SUFFICIENT TIME TO CONSULT WITH AN ATTORNEY AND CONSIDER THE TERMS OF THIS WAIVER AND RELEASE; THAT S/HE UNDERSTANDS EACH OF ITS TERMS; AND THAT S/HE HAS SIGNED THIS WAIVER AND RELEASE KNOWINGLY AND VOLUNTARILY.</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 follows]</w:t>
      </w:r>
    </w:p>
    <w:p>
      <w:pPr>
        <w:spacing w:after="0" w:line="38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A-4</w:t>
      </w:r>
    </w:p>
    <w:p>
      <w:pPr>
        <w:spacing w:after="0"/>
        <w:rPr>
          <w:sz w:val="20"/>
          <w:szCs w:val="20"/>
          <w:color w:val="auto"/>
        </w:rPr>
      </w:pPr>
      <w:r>
        <w:rPr>
          <w:rFonts w:ascii="Arial" w:cs="Arial" w:eastAsia="Arial" w:hAnsi="Arial"/>
          <w:sz w:val="14"/>
          <w:szCs w:val="14"/>
          <w:color w:val="auto"/>
        </w:rPr>
        <w:t>4871-5083-7000.3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60960</wp:posOffset>
            </wp:positionV>
            <wp:extent cx="7174865" cy="425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62" w:name="page63"/>
    <w:bookmarkEnd w:id="62"/>
    <w:p>
      <w:pPr>
        <w:ind w:firstLine="864"/>
        <w:spacing w:after="0" w:line="277" w:lineRule="auto"/>
        <w:rPr>
          <w:sz w:val="20"/>
          <w:szCs w:val="20"/>
          <w:color w:val="auto"/>
        </w:rPr>
      </w:pPr>
      <w:r>
        <w:rPr>
          <w:rFonts w:ascii="Arial" w:cs="Arial" w:eastAsia="Arial" w:hAnsi="Arial"/>
          <w:sz w:val="18"/>
          <w:szCs w:val="18"/>
          <w:color w:val="auto"/>
        </w:rPr>
        <w:t>IN WITNESS WHEREOF, the Parties have themselves signed, or caused a duly authorized agent thereof to sign, this Waiver and Release on their behalf and thereby acknowledge their intent to be bound by its terms and conditions.</w:t>
      </w:r>
    </w:p>
    <w:p>
      <w:pPr>
        <w:spacing w:after="0" w:line="170" w:lineRule="exact"/>
        <w:rPr>
          <w:sz w:val="20"/>
          <w:szCs w:val="20"/>
          <w:color w:val="auto"/>
        </w:rPr>
      </w:pPr>
    </w:p>
    <w:p>
      <w:pPr>
        <w:ind w:left="5200"/>
        <w:spacing w:after="0"/>
        <w:rPr>
          <w:sz w:val="20"/>
          <w:szCs w:val="20"/>
          <w:color w:val="auto"/>
        </w:rPr>
      </w:pPr>
      <w:r>
        <w:rPr>
          <w:rFonts w:ascii="Arial" w:cs="Arial" w:eastAsia="Arial" w:hAnsi="Arial"/>
          <w:sz w:val="18"/>
          <w:szCs w:val="18"/>
          <w:color w:val="auto"/>
        </w:rPr>
        <w:t>UNITI GROUP INC.</w:t>
      </w:r>
    </w:p>
    <w:p>
      <w:pPr>
        <w:spacing w:after="0" w:line="200" w:lineRule="exact"/>
        <w:rPr>
          <w:sz w:val="20"/>
          <w:szCs w:val="20"/>
          <w:color w:val="auto"/>
        </w:rPr>
      </w:pPr>
    </w:p>
    <w:p>
      <w:pPr>
        <w:spacing w:after="0" w:line="241" w:lineRule="exact"/>
        <w:rPr>
          <w:sz w:val="20"/>
          <w:szCs w:val="20"/>
          <w:color w:val="auto"/>
        </w:rPr>
      </w:pPr>
    </w:p>
    <w:p>
      <w:pPr>
        <w:ind w:left="5200"/>
        <w:spacing w:after="0"/>
        <w:rPr>
          <w:sz w:val="20"/>
          <w:szCs w:val="20"/>
          <w:color w:val="auto"/>
        </w:rPr>
      </w:pPr>
      <w:r>
        <w:rPr>
          <w:rFonts w:ascii="Arial" w:cs="Arial" w:eastAsia="Arial" w:hAnsi="Arial"/>
          <w:sz w:val="18"/>
          <w:szCs w:val="18"/>
          <w:color w:val="auto"/>
        </w:rPr>
        <w:t>Signed:</w:t>
      </w:r>
    </w:p>
    <w:p>
      <w:pPr>
        <w:spacing w:after="0" w:line="225" w:lineRule="exact"/>
        <w:rPr>
          <w:sz w:val="20"/>
          <w:szCs w:val="20"/>
          <w:color w:val="auto"/>
        </w:rPr>
      </w:pPr>
    </w:p>
    <w:p>
      <w:pPr>
        <w:ind w:left="5200"/>
        <w:spacing w:after="0"/>
        <w:rPr>
          <w:sz w:val="20"/>
          <w:szCs w:val="20"/>
          <w:color w:val="auto"/>
        </w:rPr>
      </w:pPr>
      <w:r>
        <w:rPr>
          <w:rFonts w:ascii="Arial" w:cs="Arial" w:eastAsia="Arial" w:hAnsi="Arial"/>
          <w:sz w:val="18"/>
          <w:szCs w:val="18"/>
          <w:color w:val="auto"/>
        </w:rPr>
        <w:t>Print Name:</w:t>
      </w:r>
    </w:p>
    <w:p>
      <w:pPr>
        <w:spacing w:after="0" w:line="225" w:lineRule="exact"/>
        <w:rPr>
          <w:sz w:val="20"/>
          <w:szCs w:val="20"/>
          <w:color w:val="auto"/>
        </w:rPr>
      </w:pPr>
    </w:p>
    <w:p>
      <w:pPr>
        <w:jc w:val="center"/>
        <w:ind w:right="480"/>
        <w:spacing w:after="0"/>
        <w:rPr>
          <w:sz w:val="20"/>
          <w:szCs w:val="20"/>
          <w:color w:val="auto"/>
        </w:rPr>
      </w:pPr>
      <w:r>
        <w:rPr>
          <w:rFonts w:ascii="Arial" w:cs="Arial" w:eastAsia="Arial" w:hAnsi="Arial"/>
          <w:sz w:val="18"/>
          <w:szCs w:val="18"/>
          <w:color w:val="auto"/>
        </w:rPr>
        <w:t>Date:</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EXECUTIVE</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5200"/>
        <w:spacing w:after="0"/>
        <w:rPr>
          <w:sz w:val="20"/>
          <w:szCs w:val="20"/>
          <w:color w:val="auto"/>
        </w:rPr>
      </w:pPr>
      <w:r>
        <w:rPr>
          <w:rFonts w:ascii="Arial" w:cs="Arial" w:eastAsia="Arial" w:hAnsi="Arial"/>
          <w:sz w:val="18"/>
          <w:szCs w:val="18"/>
          <w:color w:val="auto"/>
        </w:rPr>
        <w:t>Signed:</w:t>
      </w:r>
    </w:p>
    <w:p>
      <w:pPr>
        <w:spacing w:after="0" w:line="225" w:lineRule="exact"/>
        <w:rPr>
          <w:sz w:val="20"/>
          <w:szCs w:val="20"/>
          <w:color w:val="auto"/>
        </w:rPr>
      </w:pPr>
    </w:p>
    <w:p>
      <w:pPr>
        <w:ind w:left="5200"/>
        <w:spacing w:after="0"/>
        <w:rPr>
          <w:sz w:val="20"/>
          <w:szCs w:val="20"/>
          <w:color w:val="auto"/>
        </w:rPr>
      </w:pPr>
      <w:r>
        <w:rPr>
          <w:rFonts w:ascii="Arial" w:cs="Arial" w:eastAsia="Arial" w:hAnsi="Arial"/>
          <w:sz w:val="18"/>
          <w:szCs w:val="18"/>
          <w:color w:val="auto"/>
        </w:rPr>
        <w:t>Name:</w:t>
      </w:r>
    </w:p>
    <w:p>
      <w:pPr>
        <w:spacing w:after="0" w:line="225" w:lineRule="exact"/>
        <w:rPr>
          <w:sz w:val="20"/>
          <w:szCs w:val="20"/>
          <w:color w:val="auto"/>
        </w:rPr>
      </w:pPr>
    </w:p>
    <w:p>
      <w:pPr>
        <w:jc w:val="center"/>
        <w:ind w:right="480"/>
        <w:spacing w:after="0"/>
        <w:rPr>
          <w:sz w:val="20"/>
          <w:szCs w:val="20"/>
          <w:color w:val="auto"/>
        </w:rPr>
      </w:pPr>
      <w:r>
        <w:rPr>
          <w:rFonts w:ascii="Arial" w:cs="Arial" w:eastAsia="Arial" w:hAnsi="Arial"/>
          <w:sz w:val="18"/>
          <w:szCs w:val="18"/>
          <w:color w:val="auto"/>
        </w:rPr>
        <w:t>Date:</w:t>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880"/>
        <w:spacing w:after="0"/>
        <w:rPr>
          <w:sz w:val="20"/>
          <w:szCs w:val="20"/>
          <w:color w:val="auto"/>
        </w:rPr>
      </w:pPr>
      <w:r>
        <w:rPr>
          <w:rFonts w:ascii="Arial" w:cs="Arial" w:eastAsia="Arial" w:hAnsi="Arial"/>
          <w:sz w:val="22"/>
          <w:szCs w:val="22"/>
          <w:color w:val="auto"/>
        </w:rPr>
        <w:t>A-5</w:t>
      </w:r>
    </w:p>
    <w:p>
      <w:pPr>
        <w:spacing w:after="0"/>
        <w:rPr>
          <w:sz w:val="20"/>
          <w:szCs w:val="20"/>
          <w:color w:val="auto"/>
        </w:rPr>
      </w:pPr>
      <w:r>
        <w:rPr>
          <w:rFonts w:ascii="Arial" w:cs="Arial" w:eastAsia="Arial" w:hAnsi="Arial"/>
          <w:sz w:val="14"/>
          <w:szCs w:val="14"/>
          <w:color w:val="auto"/>
        </w:rPr>
        <w:t>4871-5083-7000.3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60960</wp:posOffset>
            </wp:positionV>
            <wp:extent cx="7174865" cy="425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63" w:name="page64"/>
    <w:bookmarkEnd w:id="63"/>
    <w:p>
      <w:pPr>
        <w:jc w:val="center"/>
        <w:spacing w:after="0"/>
        <w:rPr>
          <w:sz w:val="20"/>
          <w:szCs w:val="20"/>
          <w:color w:val="auto"/>
        </w:rPr>
      </w:pPr>
      <w:r>
        <w:rPr>
          <w:rFonts w:ascii="Arial" w:cs="Arial" w:eastAsia="Arial" w:hAnsi="Arial"/>
          <w:sz w:val="18"/>
          <w:szCs w:val="18"/>
          <w:color w:val="auto"/>
        </w:rPr>
        <w:t>[Schedule I to Waiver and Release</w:t>
      </w:r>
    </w:p>
    <w:p>
      <w:pPr>
        <w:spacing w:after="0" w:line="225" w:lineRule="exact"/>
        <w:rPr>
          <w:sz w:val="20"/>
          <w:szCs w:val="20"/>
          <w:color w:val="auto"/>
        </w:rPr>
      </w:pPr>
    </w:p>
    <w:p>
      <w:pPr>
        <w:jc w:val="both"/>
        <w:ind w:firstLine="864"/>
        <w:spacing w:after="0" w:line="259" w:lineRule="auto"/>
        <w:rPr>
          <w:sz w:val="20"/>
          <w:szCs w:val="20"/>
          <w:color w:val="auto"/>
        </w:rPr>
      </w:pPr>
      <w:r>
        <w:rPr>
          <w:rFonts w:ascii="Arial" w:cs="Arial" w:eastAsia="Arial" w:hAnsi="Arial"/>
          <w:sz w:val="18"/>
          <w:szCs w:val="18"/>
          <w:color w:val="auto"/>
        </w:rPr>
        <w:t>As emphasized in the Waiver and Release, Executive understands that Executive is releasing claims that Executive may not know about and that Executive expressly waives and relinquishes all rights and benefits which Executive may have under any state or federal statute or common law principle that would otherwise limit the effect of this release to claims known or suspected prior to the date Executive signs this Waiver and Release, including, but not limited to, the effect of protections afforded by the following laws:</w:t>
      </w:r>
    </w:p>
    <w:p>
      <w:pPr>
        <w:spacing w:after="0" w:line="187" w:lineRule="exact"/>
        <w:rPr>
          <w:sz w:val="20"/>
          <w:szCs w:val="20"/>
          <w:color w:val="auto"/>
        </w:rPr>
      </w:pPr>
    </w:p>
    <w:p>
      <w:pPr>
        <w:ind w:left="80"/>
        <w:spacing w:after="0"/>
        <w:tabs>
          <w:tab w:leader="none" w:pos="1640" w:val="left"/>
        </w:tabs>
        <w:rPr>
          <w:sz w:val="20"/>
          <w:szCs w:val="20"/>
          <w:color w:val="auto"/>
        </w:rPr>
      </w:pPr>
      <w:r>
        <w:rPr>
          <w:rFonts w:ascii="Arial" w:cs="Arial" w:eastAsia="Arial" w:hAnsi="Arial"/>
          <w:sz w:val="18"/>
          <w:szCs w:val="18"/>
          <w:color w:val="auto"/>
        </w:rPr>
        <w:t>1.</w:t>
      </w:r>
      <w:r>
        <w:rPr>
          <w:sz w:val="20"/>
          <w:szCs w:val="20"/>
          <w:color w:val="auto"/>
        </w:rPr>
        <w:tab/>
      </w:r>
      <w:r>
        <w:rPr>
          <w:rFonts w:ascii="Arial" w:cs="Arial" w:eastAsia="Arial" w:hAnsi="Arial"/>
          <w:sz w:val="18"/>
          <w:szCs w:val="18"/>
          <w:u w:val="single" w:color="auto"/>
          <w:color w:val="auto"/>
        </w:rPr>
        <w:t>California Employees</w:t>
      </w:r>
      <w:r>
        <w:rPr>
          <w:rFonts w:ascii="Arial" w:cs="Arial" w:eastAsia="Arial" w:hAnsi="Arial"/>
          <w:sz w:val="18"/>
          <w:szCs w:val="18"/>
          <w:color w:val="auto"/>
        </w:rPr>
        <w:t>. Section 1542 of the Civil Code of the State of California states as follows:</w:t>
      </w:r>
    </w:p>
    <w:p>
      <w:pPr>
        <w:spacing w:after="0" w:line="225" w:lineRule="exact"/>
        <w:rPr>
          <w:sz w:val="20"/>
          <w:szCs w:val="20"/>
          <w:color w:val="auto"/>
        </w:rPr>
      </w:pPr>
    </w:p>
    <w:p>
      <w:pPr>
        <w:jc w:val="both"/>
        <w:ind w:left="880" w:right="880" w:firstLine="731"/>
        <w:spacing w:after="0" w:line="342" w:lineRule="auto"/>
        <w:rPr>
          <w:sz w:val="20"/>
          <w:szCs w:val="20"/>
          <w:color w:val="auto"/>
        </w:rPr>
      </w:pPr>
      <w:r>
        <w:rPr>
          <w:rFonts w:ascii="Arial" w:cs="Arial" w:eastAsia="Arial" w:hAnsi="Arial"/>
          <w:sz w:val="16"/>
          <w:szCs w:val="16"/>
          <w:color w:val="auto"/>
        </w:rPr>
        <w:t>“A general release does not extend to claims which the creditor does not know or suspect to exist in his or her favor at the time of executing the release, which if known by him or her must have materially affected his or her settlement with the debtor.”</w:t>
      </w:r>
    </w:p>
    <w:p>
      <w:pPr>
        <w:spacing w:after="0" w:line="124" w:lineRule="exact"/>
        <w:rPr>
          <w:sz w:val="20"/>
          <w:szCs w:val="20"/>
          <w:color w:val="auto"/>
        </w:rPr>
      </w:pPr>
    </w:p>
    <w:p>
      <w:pPr>
        <w:ind w:left="80"/>
        <w:spacing w:after="0"/>
        <w:tabs>
          <w:tab w:leader="none" w:pos="1640" w:val="left"/>
        </w:tabs>
        <w:rPr>
          <w:sz w:val="20"/>
          <w:szCs w:val="20"/>
          <w:color w:val="auto"/>
        </w:rPr>
      </w:pPr>
      <w:r>
        <w:rPr>
          <w:rFonts w:ascii="Arial" w:cs="Arial" w:eastAsia="Arial" w:hAnsi="Arial"/>
          <w:sz w:val="18"/>
          <w:szCs w:val="18"/>
          <w:color w:val="auto"/>
        </w:rPr>
        <w:t>2.</w:t>
      </w:r>
      <w:r>
        <w:rPr>
          <w:sz w:val="20"/>
          <w:szCs w:val="20"/>
          <w:color w:val="auto"/>
        </w:rPr>
        <w:tab/>
      </w:r>
      <w:r>
        <w:rPr>
          <w:rFonts w:ascii="Arial" w:cs="Arial" w:eastAsia="Arial" w:hAnsi="Arial"/>
          <w:sz w:val="18"/>
          <w:szCs w:val="18"/>
          <w:u w:val="single" w:color="auto"/>
          <w:color w:val="auto"/>
        </w:rPr>
        <w:t>Montana Employees</w:t>
      </w:r>
      <w:r>
        <w:rPr>
          <w:rFonts w:ascii="Arial" w:cs="Arial" w:eastAsia="Arial" w:hAnsi="Arial"/>
          <w:sz w:val="18"/>
          <w:szCs w:val="18"/>
          <w:color w:val="auto"/>
        </w:rPr>
        <w:t>. Section 28-1-1602 of the Montana Code Annotated states as follows:</w:t>
      </w:r>
    </w:p>
    <w:p>
      <w:pPr>
        <w:spacing w:after="0" w:line="225" w:lineRule="exact"/>
        <w:rPr>
          <w:sz w:val="20"/>
          <w:szCs w:val="20"/>
          <w:color w:val="auto"/>
        </w:rPr>
      </w:pPr>
    </w:p>
    <w:p>
      <w:pPr>
        <w:jc w:val="both"/>
        <w:ind w:left="880" w:right="860" w:firstLine="731"/>
        <w:spacing w:after="0" w:line="263" w:lineRule="auto"/>
        <w:rPr>
          <w:sz w:val="20"/>
          <w:szCs w:val="20"/>
          <w:color w:val="auto"/>
        </w:rPr>
      </w:pPr>
      <w:r>
        <w:rPr>
          <w:rFonts w:ascii="Arial" w:cs="Arial" w:eastAsia="Arial" w:hAnsi="Arial"/>
          <w:sz w:val="18"/>
          <w:szCs w:val="18"/>
          <w:color w:val="auto"/>
        </w:rPr>
        <w:t>“A general release does not extend to claims which the creditor does not know or suspect to exist in the creditor’s favor at the time of executing the release, which, if known by the creditor, must have materially affected the creditor’s settlement with the debtor.”</w:t>
      </w:r>
    </w:p>
    <w:p>
      <w:pPr>
        <w:spacing w:after="0" w:line="184" w:lineRule="exact"/>
        <w:rPr>
          <w:sz w:val="20"/>
          <w:szCs w:val="20"/>
          <w:color w:val="auto"/>
        </w:rPr>
      </w:pPr>
    </w:p>
    <w:p>
      <w:pPr>
        <w:ind w:left="80"/>
        <w:spacing w:after="0"/>
        <w:tabs>
          <w:tab w:leader="none" w:pos="1640" w:val="left"/>
        </w:tabs>
        <w:rPr>
          <w:sz w:val="20"/>
          <w:szCs w:val="20"/>
          <w:color w:val="auto"/>
        </w:rPr>
      </w:pPr>
      <w:r>
        <w:rPr>
          <w:rFonts w:ascii="Arial" w:cs="Arial" w:eastAsia="Arial" w:hAnsi="Arial"/>
          <w:sz w:val="18"/>
          <w:szCs w:val="18"/>
          <w:color w:val="auto"/>
        </w:rPr>
        <w:t>3.</w:t>
      </w:r>
      <w:r>
        <w:rPr>
          <w:sz w:val="20"/>
          <w:szCs w:val="20"/>
          <w:color w:val="auto"/>
        </w:rPr>
        <w:tab/>
      </w:r>
      <w:r>
        <w:rPr>
          <w:rFonts w:ascii="Arial" w:cs="Arial" w:eastAsia="Arial" w:hAnsi="Arial"/>
          <w:sz w:val="18"/>
          <w:szCs w:val="18"/>
          <w:u w:val="single" w:color="auto"/>
          <w:color w:val="auto"/>
        </w:rPr>
        <w:t>North Dakota Employees</w:t>
      </w:r>
      <w:r>
        <w:rPr>
          <w:rFonts w:ascii="Arial" w:cs="Arial" w:eastAsia="Arial" w:hAnsi="Arial"/>
          <w:sz w:val="18"/>
          <w:szCs w:val="18"/>
          <w:color w:val="auto"/>
        </w:rPr>
        <w:t>. Section 9-13-02 of the North Dakota Century Code states as follows:</w:t>
      </w:r>
    </w:p>
    <w:p>
      <w:pPr>
        <w:spacing w:after="0" w:line="225" w:lineRule="exact"/>
        <w:rPr>
          <w:sz w:val="20"/>
          <w:szCs w:val="20"/>
          <w:color w:val="auto"/>
        </w:rPr>
      </w:pPr>
    </w:p>
    <w:p>
      <w:pPr>
        <w:jc w:val="both"/>
        <w:ind w:left="880" w:right="860" w:firstLine="731"/>
        <w:spacing w:after="0" w:line="263" w:lineRule="auto"/>
        <w:rPr>
          <w:sz w:val="20"/>
          <w:szCs w:val="20"/>
          <w:color w:val="auto"/>
        </w:rPr>
      </w:pPr>
      <w:r>
        <w:rPr>
          <w:rFonts w:ascii="Arial" w:cs="Arial" w:eastAsia="Arial" w:hAnsi="Arial"/>
          <w:sz w:val="18"/>
          <w:szCs w:val="18"/>
          <w:color w:val="auto"/>
        </w:rPr>
        <w:t>“A general release does not extend to claims which the creditor does not know or suspect to exist in the creditor’s favor at the time of executing the release, which if known by the creditor, must have materially affected the creditor’s settlement with the debtor.”</w:t>
      </w:r>
    </w:p>
    <w:p>
      <w:pPr>
        <w:spacing w:after="0" w:line="184" w:lineRule="exact"/>
        <w:rPr>
          <w:sz w:val="20"/>
          <w:szCs w:val="20"/>
          <w:color w:val="auto"/>
        </w:rPr>
      </w:pPr>
    </w:p>
    <w:p>
      <w:pPr>
        <w:ind w:left="80"/>
        <w:spacing w:after="0"/>
        <w:tabs>
          <w:tab w:leader="none" w:pos="1640" w:val="left"/>
        </w:tabs>
        <w:rPr>
          <w:sz w:val="20"/>
          <w:szCs w:val="20"/>
          <w:color w:val="auto"/>
        </w:rPr>
      </w:pPr>
      <w:r>
        <w:rPr>
          <w:rFonts w:ascii="Arial" w:cs="Arial" w:eastAsia="Arial" w:hAnsi="Arial"/>
          <w:sz w:val="18"/>
          <w:szCs w:val="18"/>
          <w:color w:val="auto"/>
        </w:rPr>
        <w:t>4.</w:t>
      </w:r>
      <w:r>
        <w:rPr>
          <w:sz w:val="20"/>
          <w:szCs w:val="20"/>
          <w:color w:val="auto"/>
        </w:rPr>
        <w:tab/>
      </w:r>
      <w:r>
        <w:rPr>
          <w:rFonts w:ascii="Arial" w:cs="Arial" w:eastAsia="Arial" w:hAnsi="Arial"/>
          <w:sz w:val="18"/>
          <w:szCs w:val="18"/>
          <w:u w:val="single" w:color="auto"/>
          <w:color w:val="auto"/>
        </w:rPr>
        <w:t>South Dakota Employees</w:t>
      </w:r>
      <w:r>
        <w:rPr>
          <w:rFonts w:ascii="Arial" w:cs="Arial" w:eastAsia="Arial" w:hAnsi="Arial"/>
          <w:sz w:val="18"/>
          <w:szCs w:val="18"/>
          <w:color w:val="auto"/>
        </w:rPr>
        <w:t>. Section 20-7-11 of the South Dakota Codified Laws states as follows:</w:t>
      </w:r>
    </w:p>
    <w:p>
      <w:pPr>
        <w:spacing w:after="0" w:line="225" w:lineRule="exact"/>
        <w:rPr>
          <w:sz w:val="20"/>
          <w:szCs w:val="20"/>
          <w:color w:val="auto"/>
        </w:rPr>
      </w:pPr>
    </w:p>
    <w:p>
      <w:pPr>
        <w:jc w:val="both"/>
        <w:ind w:left="880" w:right="860" w:firstLine="731"/>
        <w:spacing w:after="0" w:line="263" w:lineRule="auto"/>
        <w:rPr>
          <w:sz w:val="20"/>
          <w:szCs w:val="20"/>
          <w:color w:val="auto"/>
        </w:rPr>
      </w:pPr>
      <w:r>
        <w:rPr>
          <w:rFonts w:ascii="Arial" w:cs="Arial" w:eastAsia="Arial" w:hAnsi="Arial"/>
          <w:sz w:val="18"/>
          <w:szCs w:val="18"/>
          <w:color w:val="auto"/>
        </w:rPr>
        <w:t>“A general release does not extend to claims which the creditor does not know or suspect to exist in his [or her] favor at the time of executing the release, which if known by him [or her] must have materially affected his [or her] settlement with the debtor.”</w:t>
      </w:r>
    </w:p>
    <w:p>
      <w:pPr>
        <w:spacing w:after="0" w:line="184" w:lineRule="exact"/>
        <w:rPr>
          <w:sz w:val="20"/>
          <w:szCs w:val="20"/>
          <w:color w:val="auto"/>
        </w:rPr>
      </w:pPr>
    </w:p>
    <w:p>
      <w:pPr>
        <w:jc w:val="both"/>
        <w:ind w:firstLine="864"/>
        <w:spacing w:after="0" w:line="275" w:lineRule="auto"/>
        <w:rPr>
          <w:sz w:val="20"/>
          <w:szCs w:val="20"/>
          <w:color w:val="auto"/>
        </w:rPr>
      </w:pPr>
      <w:r>
        <w:rPr>
          <w:rFonts w:ascii="Arial" w:cs="Arial" w:eastAsia="Arial" w:hAnsi="Arial"/>
          <w:sz w:val="17"/>
          <w:szCs w:val="17"/>
          <w:color w:val="auto"/>
        </w:rPr>
        <w:t>Thus, notwithstanding the provisions of Section 1542 of the Civil Code of the State of California, Section 28-1-1602 of the Montana Code Annotated, Section 9-13-02 of the North Dakota Century Code, and Section 20-7-11 of the South Dakota Codified Laws, and for the purpose of implementing a full and complete release and discharge of the Company and the Company Releasees, Employee expressly acknowledges that this release is intended to include in its effect, without limitation, all claims which Employee does not know or suspect to exist in Employee’s favor at the time Employee executes this Agreement, and that this Agreement contemplates the extinguishment of any such claims.]</w:t>
      </w:r>
    </w:p>
    <w:p>
      <w:pPr>
        <w:spacing w:after="0" w:line="120" w:lineRule="exact"/>
        <w:rPr>
          <w:sz w:val="20"/>
          <w:szCs w:val="20"/>
          <w:color w:val="auto"/>
        </w:rPr>
      </w:pPr>
    </w:p>
    <w:p>
      <w:pPr>
        <w:ind w:left="880"/>
        <w:spacing w:after="0"/>
        <w:rPr>
          <w:sz w:val="20"/>
          <w:szCs w:val="20"/>
          <w:color w:val="auto"/>
        </w:rPr>
      </w:pPr>
      <w:r>
        <w:rPr>
          <w:rFonts w:ascii="Arial" w:cs="Arial" w:eastAsia="Arial" w:hAnsi="Arial"/>
          <w:sz w:val="22"/>
          <w:szCs w:val="22"/>
          <w:color w:val="auto"/>
        </w:rPr>
        <w:t>A-1-1</w:t>
      </w:r>
    </w:p>
    <w:p>
      <w:pPr>
        <w:spacing w:after="0"/>
        <w:rPr>
          <w:sz w:val="20"/>
          <w:szCs w:val="20"/>
          <w:color w:val="auto"/>
        </w:rPr>
      </w:pPr>
      <w:r>
        <w:rPr>
          <w:rFonts w:ascii="Arial" w:cs="Arial" w:eastAsia="Arial" w:hAnsi="Arial"/>
          <w:sz w:val="14"/>
          <w:szCs w:val="14"/>
          <w:color w:val="auto"/>
        </w:rPr>
        <w:t>4871-5083-7000.3</w:t>
      </w:r>
    </w:p>
    <w:p>
      <w:pPr>
        <w:sectPr>
          <w:pgSz w:w="11900" w:h="16838" w:orient="portrait"/>
          <w:cols w:equalWidth="0" w:num="1">
            <w:col w:w="11240"/>
          </w:cols>
          <w:pgMar w:left="320" w:top="584" w:right="339" w:bottom="1440" w:gutter="0" w:footer="0" w:header="0"/>
        </w:sectPr>
      </w:pPr>
    </w:p>
    <w:bookmarkStart w:id="64" w:name="page65"/>
    <w:bookmarkEnd w:id="64"/>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RULES 13a-14(a) AND 15d-14(a) UNDER THE SECURITIES EXCHANGE ACT OF 1934,</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Kenneth A. Gunderman, certify that:</w:t>
      </w:r>
    </w:p>
    <w:p>
      <w:pPr>
        <w:spacing w:after="0" w:line="117" w:lineRule="exact"/>
        <w:rPr>
          <w:sz w:val="20"/>
          <w:szCs w:val="20"/>
          <w:color w:val="auto"/>
        </w:rPr>
      </w:pPr>
    </w:p>
    <w:p>
      <w:pPr>
        <w:ind w:left="800" w:hanging="792"/>
        <w:spacing w:after="0"/>
        <w:tabs>
          <w:tab w:leader="none" w:pos="8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Uniti Group Inc.;</w:t>
      </w:r>
    </w:p>
    <w:p>
      <w:pPr>
        <w:spacing w:after="0" w:line="225" w:lineRule="exact"/>
        <w:rPr>
          <w:rFonts w:ascii="Arial" w:cs="Arial" w:eastAsia="Arial" w:hAnsi="Arial"/>
          <w:sz w:val="18"/>
          <w:szCs w:val="18"/>
          <w:color w:val="auto"/>
        </w:rPr>
      </w:pPr>
    </w:p>
    <w:p>
      <w:pPr>
        <w:jc w:val="both"/>
        <w:ind w:left="760" w:right="20" w:hanging="752"/>
        <w:spacing w:after="0" w:line="263" w:lineRule="auto"/>
        <w:tabs>
          <w:tab w:leader="none" w:pos="7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left="760" w:right="260" w:hanging="752"/>
        <w:spacing w:after="0" w:line="308" w:lineRule="auto"/>
        <w:tabs>
          <w:tab w:leader="none" w:pos="760" w:val="left"/>
        </w:tabs>
        <w:numPr>
          <w:ilvl w:val="0"/>
          <w:numId w:val="13"/>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jc w:val="both"/>
        <w:ind w:left="760" w:right="20" w:hanging="752"/>
        <w:spacing w:after="0" w:line="263" w:lineRule="auto"/>
        <w:tabs>
          <w:tab w:leader="none" w:pos="7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3" w:lineRule="exact"/>
        <w:rPr>
          <w:rFonts w:ascii="Arial" w:cs="Arial" w:eastAsia="Arial" w:hAnsi="Arial"/>
          <w:sz w:val="18"/>
          <w:szCs w:val="18"/>
          <w:color w:val="auto"/>
        </w:rPr>
      </w:pPr>
    </w:p>
    <w:p>
      <w:pPr>
        <w:ind w:left="1500" w:right="160" w:hanging="750"/>
        <w:spacing w:after="0" w:line="286" w:lineRule="auto"/>
        <w:tabs>
          <w:tab w:leader="none" w:pos="1500" w:val="left"/>
        </w:tabs>
        <w:numPr>
          <w:ilvl w:val="1"/>
          <w:numId w:val="13"/>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65" w:lineRule="exact"/>
        <w:rPr>
          <w:rFonts w:ascii="Arial" w:cs="Arial" w:eastAsia="Arial" w:hAnsi="Arial"/>
          <w:sz w:val="17"/>
          <w:szCs w:val="17"/>
          <w:color w:val="auto"/>
        </w:rPr>
      </w:pPr>
    </w:p>
    <w:p>
      <w:pPr>
        <w:ind w:left="1500" w:right="220" w:hanging="750"/>
        <w:spacing w:after="0" w:line="263" w:lineRule="auto"/>
        <w:tabs>
          <w:tab w:leader="none" w:pos="1500" w:val="left"/>
        </w:tabs>
        <w:numPr>
          <w:ilvl w:val="1"/>
          <w:numId w:val="13"/>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jc w:val="both"/>
        <w:ind w:left="1500" w:right="20" w:hanging="750"/>
        <w:spacing w:after="0" w:line="342" w:lineRule="auto"/>
        <w:tabs>
          <w:tab w:leader="none" w:pos="1500" w:val="left"/>
        </w:tabs>
        <w:numPr>
          <w:ilvl w:val="1"/>
          <w:numId w:val="13"/>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1500" w:right="20" w:hanging="750"/>
        <w:spacing w:after="0" w:line="263" w:lineRule="auto"/>
        <w:tabs>
          <w:tab w:leader="none" w:pos="1500" w:val="left"/>
        </w:tabs>
        <w:numPr>
          <w:ilvl w:val="1"/>
          <w:numId w:val="13"/>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3" w:lineRule="exact"/>
        <w:rPr>
          <w:rFonts w:ascii="Arial" w:cs="Arial" w:eastAsia="Arial" w:hAnsi="Arial"/>
          <w:sz w:val="18"/>
          <w:szCs w:val="18"/>
          <w:color w:val="auto"/>
        </w:rPr>
      </w:pPr>
    </w:p>
    <w:p>
      <w:pPr>
        <w:ind w:left="760" w:right="180" w:hanging="752"/>
        <w:spacing w:after="0" w:line="342" w:lineRule="auto"/>
        <w:tabs>
          <w:tab w:leader="none" w:pos="760" w:val="left"/>
        </w:tabs>
        <w:numPr>
          <w:ilvl w:val="0"/>
          <w:numId w:val="13"/>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500" w:right="260" w:hanging="750"/>
        <w:spacing w:after="0" w:line="342" w:lineRule="auto"/>
        <w:tabs>
          <w:tab w:leader="none" w:pos="1500" w:val="left"/>
        </w:tabs>
        <w:numPr>
          <w:ilvl w:val="1"/>
          <w:numId w:val="13"/>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left="1500" w:right="540" w:hanging="750"/>
        <w:spacing w:after="0" w:line="277" w:lineRule="auto"/>
        <w:tabs>
          <w:tab w:leader="none" w:pos="1500" w:val="left"/>
        </w:tabs>
        <w:numPr>
          <w:ilvl w:val="1"/>
          <w:numId w:val="13"/>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86" w:lineRule="exact"/>
        <w:rPr>
          <w:sz w:val="20"/>
          <w:szCs w:val="20"/>
          <w:color w:val="auto"/>
        </w:rPr>
      </w:pPr>
    </w:p>
    <w:p>
      <w:pPr>
        <w:spacing w:after="0"/>
        <w:tabs>
          <w:tab w:leader="none" w:pos="4800" w:val="left"/>
          <w:tab w:leader="none" w:pos="7200" w:val="left"/>
        </w:tabs>
        <w:rPr>
          <w:sz w:val="20"/>
          <w:szCs w:val="20"/>
          <w:color w:val="auto"/>
        </w:rPr>
      </w:pPr>
      <w:r>
        <w:rPr>
          <w:rFonts w:ascii="Arial" w:cs="Arial" w:eastAsia="Arial" w:hAnsi="Arial"/>
          <w:sz w:val="18"/>
          <w:szCs w:val="18"/>
          <w:color w:val="auto"/>
        </w:rPr>
        <w:t>Date: May 5, 2022</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/s/Kenneth A. Gunderman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3228340</wp:posOffset>
            </wp:positionH>
            <wp:positionV relativeFrom="paragraph">
              <wp:posOffset>14605</wp:posOffset>
            </wp:positionV>
            <wp:extent cx="3909060"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3909060" cy="8890"/>
                    </a:xfrm>
                    <a:prstGeom prst="rect">
                      <a:avLst/>
                    </a:prstGeom>
                    <a:noFill/>
                  </pic:spPr>
                </pic:pic>
              </a:graphicData>
            </a:graphic>
          </wp:anchor>
        </w:drawing>
      </w:r>
    </w:p>
    <w:p>
      <w:pPr>
        <w:spacing w:after="0" w:line="3" w:lineRule="exact"/>
        <w:rPr>
          <w:sz w:val="20"/>
          <w:szCs w:val="20"/>
          <w:color w:val="auto"/>
        </w:rPr>
      </w:pPr>
    </w:p>
    <w:p>
      <w:pPr>
        <w:jc w:val="center"/>
        <w:ind w:left="5060"/>
        <w:spacing w:after="0"/>
        <w:rPr>
          <w:sz w:val="20"/>
          <w:szCs w:val="20"/>
          <w:color w:val="auto"/>
        </w:rPr>
      </w:pPr>
      <w:r>
        <w:rPr>
          <w:rFonts w:ascii="Arial" w:cs="Arial" w:eastAsia="Arial" w:hAnsi="Arial"/>
          <w:sz w:val="18"/>
          <w:szCs w:val="18"/>
          <w:b w:val="1"/>
          <w:bCs w:val="1"/>
          <w:color w:val="auto"/>
        </w:rPr>
        <w:t>Kenneth A. Gunderman</w:t>
      </w:r>
    </w:p>
    <w:p>
      <w:pPr>
        <w:spacing w:after="0" w:line="23" w:lineRule="exact"/>
        <w:rPr>
          <w:sz w:val="20"/>
          <w:szCs w:val="20"/>
          <w:color w:val="auto"/>
        </w:rPr>
      </w:pPr>
    </w:p>
    <w:p>
      <w:pPr>
        <w:jc w:val="center"/>
        <w:ind w:left="5060"/>
        <w:spacing w:after="0"/>
        <w:rPr>
          <w:sz w:val="20"/>
          <w:szCs w:val="20"/>
          <w:color w:val="auto"/>
        </w:rPr>
      </w:pPr>
      <w:r>
        <w:rPr>
          <w:rFonts w:ascii="Arial" w:cs="Arial" w:eastAsia="Arial" w:hAnsi="Arial"/>
          <w:sz w:val="18"/>
          <w:szCs w:val="18"/>
          <w:b w:val="1"/>
          <w:bCs w:val="1"/>
          <w:color w:val="auto"/>
        </w:rPr>
        <w:t>President and Chief Executive Officer</w:t>
      </w:r>
    </w:p>
    <w:p>
      <w:pPr>
        <w:sectPr>
          <w:pgSz w:w="11900" w:h="16838" w:orient="portrait"/>
          <w:cols w:equalWidth="0" w:num="1">
            <w:col w:w="11240"/>
          </w:cols>
          <w:pgMar w:left="320" w:top="351" w:right="339" w:bottom="1440" w:gutter="0" w:footer="0" w:header="0"/>
        </w:sectPr>
      </w:pPr>
    </w:p>
    <w:bookmarkStart w:id="65" w:name="page66"/>
    <w:bookmarkEnd w:id="65"/>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RULES 13a-14(a) AND 15d-14(a) UNDER THE SECURITIES EXCHANGE ACT OF 1934,</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Paul E. Bullington, certify that:</w:t>
      </w:r>
    </w:p>
    <w:p>
      <w:pPr>
        <w:spacing w:after="0" w:line="225" w:lineRule="exact"/>
        <w:rPr>
          <w:sz w:val="20"/>
          <w:szCs w:val="20"/>
          <w:color w:val="auto"/>
        </w:rPr>
      </w:pPr>
    </w:p>
    <w:p>
      <w:pPr>
        <w:ind w:left="760" w:hanging="752"/>
        <w:spacing w:after="0"/>
        <w:tabs>
          <w:tab w:leader="none" w:pos="7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Uniti Group Inc.;</w:t>
      </w:r>
    </w:p>
    <w:p>
      <w:pPr>
        <w:spacing w:after="0" w:line="225" w:lineRule="exact"/>
        <w:rPr>
          <w:rFonts w:ascii="Arial" w:cs="Arial" w:eastAsia="Arial" w:hAnsi="Arial"/>
          <w:sz w:val="18"/>
          <w:szCs w:val="18"/>
          <w:color w:val="auto"/>
        </w:rPr>
      </w:pPr>
    </w:p>
    <w:p>
      <w:pPr>
        <w:jc w:val="both"/>
        <w:ind w:left="760" w:right="20" w:hanging="752"/>
        <w:spacing w:after="0" w:line="263" w:lineRule="auto"/>
        <w:tabs>
          <w:tab w:leader="none" w:pos="7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left="760" w:right="260" w:hanging="752"/>
        <w:spacing w:after="0" w:line="308" w:lineRule="auto"/>
        <w:tabs>
          <w:tab w:leader="none" w:pos="7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jc w:val="both"/>
        <w:ind w:left="760" w:right="20" w:hanging="752"/>
        <w:spacing w:after="0" w:line="263" w:lineRule="auto"/>
        <w:tabs>
          <w:tab w:leader="none" w:pos="7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3" w:lineRule="exact"/>
        <w:rPr>
          <w:rFonts w:ascii="Arial" w:cs="Arial" w:eastAsia="Arial" w:hAnsi="Arial"/>
          <w:sz w:val="18"/>
          <w:szCs w:val="18"/>
          <w:color w:val="auto"/>
        </w:rPr>
      </w:pPr>
    </w:p>
    <w:p>
      <w:pPr>
        <w:ind w:left="1500" w:right="160" w:hanging="750"/>
        <w:spacing w:after="0" w:line="286" w:lineRule="auto"/>
        <w:tabs>
          <w:tab w:leader="none" w:pos="1500" w:val="left"/>
        </w:tabs>
        <w:numPr>
          <w:ilvl w:val="1"/>
          <w:numId w:val="14"/>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65" w:lineRule="exact"/>
        <w:rPr>
          <w:rFonts w:ascii="Arial" w:cs="Arial" w:eastAsia="Arial" w:hAnsi="Arial"/>
          <w:sz w:val="17"/>
          <w:szCs w:val="17"/>
          <w:color w:val="auto"/>
        </w:rPr>
      </w:pPr>
    </w:p>
    <w:p>
      <w:pPr>
        <w:ind w:left="1500" w:right="220" w:hanging="750"/>
        <w:spacing w:after="0" w:line="263" w:lineRule="auto"/>
        <w:tabs>
          <w:tab w:leader="none" w:pos="1500" w:val="left"/>
        </w:tabs>
        <w:numPr>
          <w:ilvl w:val="1"/>
          <w:numId w:val="14"/>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jc w:val="both"/>
        <w:ind w:left="1500" w:right="20" w:hanging="750"/>
        <w:spacing w:after="0" w:line="342" w:lineRule="auto"/>
        <w:tabs>
          <w:tab w:leader="none" w:pos="1500" w:val="left"/>
        </w:tabs>
        <w:numPr>
          <w:ilvl w:val="1"/>
          <w:numId w:val="14"/>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1500" w:right="20" w:hanging="750"/>
        <w:spacing w:after="0" w:line="263" w:lineRule="auto"/>
        <w:tabs>
          <w:tab w:leader="none" w:pos="1500" w:val="left"/>
        </w:tabs>
        <w:numPr>
          <w:ilvl w:val="1"/>
          <w:numId w:val="14"/>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3" w:lineRule="exact"/>
        <w:rPr>
          <w:rFonts w:ascii="Arial" w:cs="Arial" w:eastAsia="Arial" w:hAnsi="Arial"/>
          <w:sz w:val="18"/>
          <w:szCs w:val="18"/>
          <w:color w:val="auto"/>
        </w:rPr>
      </w:pPr>
    </w:p>
    <w:p>
      <w:pPr>
        <w:ind w:left="760" w:right="180" w:hanging="752"/>
        <w:spacing w:after="0" w:line="342" w:lineRule="auto"/>
        <w:tabs>
          <w:tab w:leader="none" w:pos="760" w:val="left"/>
        </w:tabs>
        <w:numPr>
          <w:ilvl w:val="0"/>
          <w:numId w:val="14"/>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500" w:right="260" w:hanging="750"/>
        <w:spacing w:after="0" w:line="342" w:lineRule="auto"/>
        <w:tabs>
          <w:tab w:leader="none" w:pos="1500" w:val="left"/>
        </w:tabs>
        <w:numPr>
          <w:ilvl w:val="1"/>
          <w:numId w:val="14"/>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232" w:lineRule="exact"/>
        <w:rPr>
          <w:sz w:val="20"/>
          <w:szCs w:val="20"/>
          <w:color w:val="auto"/>
        </w:rPr>
      </w:pPr>
    </w:p>
    <w:p>
      <w:pPr>
        <w:ind w:left="1000" w:right="440" w:hanging="493"/>
        <w:spacing w:after="0" w:line="277" w:lineRule="auto"/>
        <w:tabs>
          <w:tab w:leader="none" w:pos="10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tabs>
          <w:tab w:leader="none" w:pos="4800" w:val="left"/>
          <w:tab w:leader="none" w:pos="7360" w:val="left"/>
        </w:tabs>
        <w:rPr>
          <w:sz w:val="20"/>
          <w:szCs w:val="20"/>
          <w:color w:val="auto"/>
        </w:rPr>
      </w:pPr>
      <w:r>
        <w:rPr>
          <w:rFonts w:ascii="Arial" w:cs="Arial" w:eastAsia="Arial" w:hAnsi="Arial"/>
          <w:sz w:val="18"/>
          <w:szCs w:val="18"/>
          <w:color w:val="auto"/>
        </w:rPr>
        <w:t>Date: May 5, 2022</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Paul E. Bullington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3228340</wp:posOffset>
            </wp:positionH>
            <wp:positionV relativeFrom="paragraph">
              <wp:posOffset>14605</wp:posOffset>
            </wp:positionV>
            <wp:extent cx="3909060" cy="825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3909060" cy="8255"/>
                    </a:xfrm>
                    <a:prstGeom prst="rect">
                      <a:avLst/>
                    </a:prstGeom>
                    <a:noFill/>
                  </pic:spPr>
                </pic:pic>
              </a:graphicData>
            </a:graphic>
          </wp:anchor>
        </w:drawing>
      </w:r>
    </w:p>
    <w:p>
      <w:pPr>
        <w:spacing w:after="0" w:line="3" w:lineRule="exact"/>
        <w:rPr>
          <w:sz w:val="20"/>
          <w:szCs w:val="20"/>
          <w:color w:val="auto"/>
        </w:rPr>
      </w:pPr>
    </w:p>
    <w:p>
      <w:pPr>
        <w:jc w:val="center"/>
        <w:ind w:left="5060"/>
        <w:spacing w:after="0"/>
        <w:rPr>
          <w:sz w:val="20"/>
          <w:szCs w:val="20"/>
          <w:color w:val="auto"/>
        </w:rPr>
      </w:pPr>
      <w:r>
        <w:rPr>
          <w:rFonts w:ascii="Arial" w:cs="Arial" w:eastAsia="Arial" w:hAnsi="Arial"/>
          <w:sz w:val="18"/>
          <w:szCs w:val="18"/>
          <w:b w:val="1"/>
          <w:bCs w:val="1"/>
          <w:color w:val="auto"/>
        </w:rPr>
        <w:t>Paul E. Bullington</w:t>
      </w:r>
    </w:p>
    <w:p>
      <w:pPr>
        <w:spacing w:after="0" w:line="23" w:lineRule="exact"/>
        <w:rPr>
          <w:sz w:val="20"/>
          <w:szCs w:val="20"/>
          <w:color w:val="auto"/>
        </w:rPr>
      </w:pPr>
    </w:p>
    <w:p>
      <w:pPr>
        <w:jc w:val="center"/>
        <w:ind w:left="5060"/>
        <w:spacing w:after="0"/>
        <w:rPr>
          <w:sz w:val="20"/>
          <w:szCs w:val="20"/>
          <w:color w:val="auto"/>
        </w:rPr>
      </w:pPr>
      <w:r>
        <w:rPr>
          <w:rFonts w:ascii="Arial" w:cs="Arial" w:eastAsia="Arial" w:hAnsi="Arial"/>
          <w:sz w:val="18"/>
          <w:szCs w:val="18"/>
          <w:b w:val="1"/>
          <w:bCs w:val="1"/>
          <w:color w:val="auto"/>
        </w:rPr>
        <w:t>Senior Vice President –Chief Financial Officer</w:t>
      </w:r>
    </w:p>
    <w:p>
      <w:pPr>
        <w:spacing w:after="0" w:line="9" w:lineRule="exact"/>
        <w:rPr>
          <w:sz w:val="20"/>
          <w:szCs w:val="20"/>
          <w:color w:val="auto"/>
        </w:rPr>
      </w:pPr>
    </w:p>
    <w:p>
      <w:pPr>
        <w:jc w:val="center"/>
        <w:ind w:left="5060"/>
        <w:spacing w:after="0"/>
        <w:rPr>
          <w:sz w:val="20"/>
          <w:szCs w:val="20"/>
          <w:color w:val="auto"/>
        </w:rPr>
      </w:pPr>
      <w:r>
        <w:rPr>
          <w:rFonts w:ascii="Arial" w:cs="Arial" w:eastAsia="Arial" w:hAnsi="Arial"/>
          <w:sz w:val="18"/>
          <w:szCs w:val="18"/>
          <w:b w:val="1"/>
          <w:bCs w:val="1"/>
          <w:color w:val="auto"/>
        </w:rPr>
        <w:t>and Treasurer</w:t>
      </w:r>
    </w:p>
    <w:p>
      <w:pPr>
        <w:sectPr>
          <w:pgSz w:w="11900" w:h="16838" w:orient="portrait"/>
          <w:cols w:equalWidth="0" w:num="1">
            <w:col w:w="11240"/>
          </w:cols>
          <w:pgMar w:left="320" w:top="351" w:right="339" w:bottom="1440" w:gutter="0" w:footer="0" w:header="0"/>
        </w:sectPr>
      </w:pPr>
    </w:p>
    <w:bookmarkStart w:id="66" w:name="page67"/>
    <w:bookmarkEnd w:id="66"/>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ind w:left="3340"/>
        <w:spacing w:after="0"/>
        <w:rPr>
          <w:sz w:val="20"/>
          <w:szCs w:val="20"/>
          <w:color w:val="auto"/>
        </w:rPr>
      </w:pPr>
      <w:r>
        <w:rPr>
          <w:rFonts w:ascii="Arial" w:cs="Arial" w:eastAsia="Arial" w:hAnsi="Arial"/>
          <w:sz w:val="18"/>
          <w:szCs w:val="18"/>
          <w:b w:val="1"/>
          <w:bCs w:val="1"/>
          <w:color w:val="auto"/>
        </w:rPr>
        <w:t>18 U.S.C. SECTION 1350, AS ADOPTED PURSUANT TO</w:t>
      </w:r>
    </w:p>
    <w:p>
      <w:pPr>
        <w:spacing w:after="0" w:line="9" w:lineRule="exact"/>
        <w:rPr>
          <w:sz w:val="20"/>
          <w:szCs w:val="20"/>
          <w:color w:val="auto"/>
        </w:rPr>
      </w:pPr>
    </w:p>
    <w:p>
      <w:pPr>
        <w:ind w:left="3280"/>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ind w:right="100" w:firstLine="510"/>
        <w:spacing w:after="0" w:line="263" w:lineRule="auto"/>
        <w:rPr>
          <w:sz w:val="20"/>
          <w:szCs w:val="20"/>
          <w:color w:val="auto"/>
        </w:rPr>
      </w:pPr>
      <w:r>
        <w:rPr>
          <w:rFonts w:ascii="Arial" w:cs="Arial" w:eastAsia="Arial" w:hAnsi="Arial"/>
          <w:sz w:val="18"/>
          <w:szCs w:val="18"/>
          <w:color w:val="auto"/>
        </w:rPr>
        <w:t>In connection with the Quarterly Report on Form 10-Q of Uniti Group Inc. (the “Company”) for the period ending March 31, 2022 as filed with the Securities and Exchange Commission on the date hereof (the “Report”), I certify, pursuant to 18 U.S.C. § 1350, as adopted pursuant to § 906 of the Sarbanes-Oxley Act of 2002, to my knowledge, that:</w:t>
      </w:r>
    </w:p>
    <w:p>
      <w:pPr>
        <w:spacing w:after="0" w:line="76" w:lineRule="exact"/>
        <w:rPr>
          <w:sz w:val="20"/>
          <w:szCs w:val="20"/>
          <w:color w:val="auto"/>
        </w:rPr>
      </w:pPr>
    </w:p>
    <w:p>
      <w:pPr>
        <w:ind w:left="1000" w:hanging="493"/>
        <w:spacing w:after="0"/>
        <w:tabs>
          <w:tab w:leader="none" w:pos="10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30" w:lineRule="exact"/>
        <w:rPr>
          <w:rFonts w:ascii="Arial" w:cs="Arial" w:eastAsia="Arial" w:hAnsi="Arial"/>
          <w:sz w:val="18"/>
          <w:szCs w:val="18"/>
          <w:color w:val="auto"/>
        </w:rPr>
      </w:pPr>
    </w:p>
    <w:p>
      <w:pPr>
        <w:ind w:left="1000" w:right="560" w:hanging="493"/>
        <w:spacing w:after="0" w:line="277" w:lineRule="auto"/>
        <w:tabs>
          <w:tab w:leader="none" w:pos="10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70" w:lineRule="exact"/>
        <w:rPr>
          <w:sz w:val="20"/>
          <w:szCs w:val="20"/>
          <w:color w:val="auto"/>
        </w:rPr>
      </w:pPr>
    </w:p>
    <w:p>
      <w:pPr>
        <w:spacing w:after="0"/>
        <w:tabs>
          <w:tab w:leader="none" w:pos="4800" w:val="left"/>
          <w:tab w:leader="none" w:pos="7180" w:val="left"/>
        </w:tabs>
        <w:rPr>
          <w:sz w:val="20"/>
          <w:szCs w:val="20"/>
          <w:color w:val="auto"/>
        </w:rPr>
      </w:pPr>
      <w:r>
        <w:rPr>
          <w:rFonts w:ascii="Arial" w:cs="Arial" w:eastAsia="Arial" w:hAnsi="Arial"/>
          <w:sz w:val="18"/>
          <w:szCs w:val="18"/>
          <w:color w:val="auto"/>
        </w:rPr>
        <w:t>Date: May 5, 2022</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Kenneth A. Gunderman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3228340</wp:posOffset>
            </wp:positionH>
            <wp:positionV relativeFrom="paragraph">
              <wp:posOffset>14605</wp:posOffset>
            </wp:positionV>
            <wp:extent cx="3909060"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3909060" cy="8890"/>
                    </a:xfrm>
                    <a:prstGeom prst="rect">
                      <a:avLst/>
                    </a:prstGeom>
                    <a:noFill/>
                  </pic:spPr>
                </pic:pic>
              </a:graphicData>
            </a:graphic>
          </wp:anchor>
        </w:drawing>
      </w:r>
    </w:p>
    <w:p>
      <w:pPr>
        <w:spacing w:after="0" w:line="3" w:lineRule="exact"/>
        <w:rPr>
          <w:sz w:val="20"/>
          <w:szCs w:val="20"/>
          <w:color w:val="auto"/>
        </w:rPr>
      </w:pPr>
    </w:p>
    <w:p>
      <w:pPr>
        <w:jc w:val="center"/>
        <w:ind w:left="5060"/>
        <w:spacing w:after="0"/>
        <w:rPr>
          <w:sz w:val="20"/>
          <w:szCs w:val="20"/>
          <w:color w:val="auto"/>
        </w:rPr>
      </w:pPr>
      <w:r>
        <w:rPr>
          <w:rFonts w:ascii="Arial" w:cs="Arial" w:eastAsia="Arial" w:hAnsi="Arial"/>
          <w:sz w:val="18"/>
          <w:szCs w:val="18"/>
          <w:b w:val="1"/>
          <w:bCs w:val="1"/>
          <w:color w:val="auto"/>
        </w:rPr>
        <w:t>Kenneth A. Gunderman</w:t>
      </w:r>
    </w:p>
    <w:p>
      <w:pPr>
        <w:spacing w:after="0" w:line="23" w:lineRule="exact"/>
        <w:rPr>
          <w:sz w:val="20"/>
          <w:szCs w:val="20"/>
          <w:color w:val="auto"/>
        </w:rPr>
      </w:pPr>
    </w:p>
    <w:p>
      <w:pPr>
        <w:jc w:val="center"/>
        <w:ind w:left="5060"/>
        <w:spacing w:after="0"/>
        <w:rPr>
          <w:sz w:val="20"/>
          <w:szCs w:val="20"/>
          <w:color w:val="auto"/>
        </w:rPr>
      </w:pPr>
      <w:r>
        <w:rPr>
          <w:rFonts w:ascii="Arial" w:cs="Arial" w:eastAsia="Arial" w:hAnsi="Arial"/>
          <w:sz w:val="18"/>
          <w:szCs w:val="18"/>
          <w:b w:val="1"/>
          <w:bCs w:val="1"/>
          <w:color w:val="auto"/>
        </w:rPr>
        <w:t>President and Chief Executive Officer</w:t>
      </w:r>
    </w:p>
    <w:p>
      <w:pPr>
        <w:sectPr>
          <w:pgSz w:w="11900" w:h="16838" w:orient="portrait"/>
          <w:cols w:equalWidth="0" w:num="1">
            <w:col w:w="11240"/>
          </w:cols>
          <w:pgMar w:left="320" w:top="351" w:right="339" w:bottom="1440" w:gutter="0" w:footer="0" w:header="0"/>
        </w:sectPr>
      </w:pPr>
    </w:p>
    <w:bookmarkStart w:id="67" w:name="page68"/>
    <w:bookmarkEnd w:id="67"/>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ind w:left="3340"/>
        <w:spacing w:after="0"/>
        <w:rPr>
          <w:sz w:val="20"/>
          <w:szCs w:val="20"/>
          <w:color w:val="auto"/>
        </w:rPr>
      </w:pPr>
      <w:r>
        <w:rPr>
          <w:rFonts w:ascii="Arial" w:cs="Arial" w:eastAsia="Arial" w:hAnsi="Arial"/>
          <w:sz w:val="18"/>
          <w:szCs w:val="18"/>
          <w:b w:val="1"/>
          <w:bCs w:val="1"/>
          <w:color w:val="auto"/>
        </w:rPr>
        <w:t>18 U.S.C. SECTION 1350, AS ADOPTED PURSUANT TO</w:t>
      </w:r>
    </w:p>
    <w:p>
      <w:pPr>
        <w:spacing w:after="0" w:line="9" w:lineRule="exact"/>
        <w:rPr>
          <w:sz w:val="20"/>
          <w:szCs w:val="20"/>
          <w:color w:val="auto"/>
        </w:rPr>
      </w:pPr>
    </w:p>
    <w:p>
      <w:pPr>
        <w:ind w:left="3280"/>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ind w:right="100" w:firstLine="510"/>
        <w:spacing w:after="0" w:line="263" w:lineRule="auto"/>
        <w:rPr>
          <w:sz w:val="20"/>
          <w:szCs w:val="20"/>
          <w:color w:val="auto"/>
        </w:rPr>
      </w:pPr>
      <w:r>
        <w:rPr>
          <w:rFonts w:ascii="Arial" w:cs="Arial" w:eastAsia="Arial" w:hAnsi="Arial"/>
          <w:sz w:val="18"/>
          <w:szCs w:val="18"/>
          <w:color w:val="auto"/>
        </w:rPr>
        <w:t>In connection with the Quarterly Report on Form 10-Q of Uniti Group Inc. (the “Company”) for the period ending March 31, 2022 as filed with the Securities and Exchange Commission on the date hereof (the “Report”), I certify, pursuant to 18 U.S.C. § 1350, as adopted pursuant to § 906 of the Sarbanes-Oxley Act of 2002, to my knowledge, that:</w:t>
      </w:r>
    </w:p>
    <w:p>
      <w:pPr>
        <w:spacing w:after="0" w:line="76" w:lineRule="exact"/>
        <w:rPr>
          <w:sz w:val="20"/>
          <w:szCs w:val="20"/>
          <w:color w:val="auto"/>
        </w:rPr>
      </w:pPr>
    </w:p>
    <w:p>
      <w:pPr>
        <w:ind w:left="1000" w:hanging="493"/>
        <w:spacing w:after="0"/>
        <w:tabs>
          <w:tab w:leader="none" w:pos="10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17" w:lineRule="exact"/>
        <w:rPr>
          <w:rFonts w:ascii="Arial" w:cs="Arial" w:eastAsia="Arial" w:hAnsi="Arial"/>
          <w:sz w:val="18"/>
          <w:szCs w:val="18"/>
          <w:color w:val="auto"/>
        </w:rPr>
      </w:pPr>
    </w:p>
    <w:p>
      <w:pPr>
        <w:ind w:left="1000" w:right="560" w:hanging="493"/>
        <w:spacing w:after="0" w:line="277" w:lineRule="auto"/>
        <w:tabs>
          <w:tab w:leader="none" w:pos="10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70" w:lineRule="exact"/>
        <w:rPr>
          <w:sz w:val="20"/>
          <w:szCs w:val="20"/>
          <w:color w:val="auto"/>
        </w:rPr>
      </w:pPr>
    </w:p>
    <w:p>
      <w:pPr>
        <w:spacing w:after="0"/>
        <w:tabs>
          <w:tab w:leader="none" w:pos="4800" w:val="left"/>
          <w:tab w:leader="none" w:pos="7360" w:val="left"/>
        </w:tabs>
        <w:rPr>
          <w:sz w:val="20"/>
          <w:szCs w:val="20"/>
          <w:color w:val="auto"/>
        </w:rPr>
      </w:pPr>
      <w:r>
        <w:rPr>
          <w:rFonts w:ascii="Arial" w:cs="Arial" w:eastAsia="Arial" w:hAnsi="Arial"/>
          <w:sz w:val="18"/>
          <w:szCs w:val="18"/>
          <w:color w:val="auto"/>
        </w:rPr>
        <w:t>Date: May 5, 2022</w:t>
      </w:r>
      <w:r>
        <w:rPr>
          <w:sz w:val="20"/>
          <w:szCs w:val="20"/>
          <w:color w:val="auto"/>
        </w:rPr>
        <w:tab/>
      </w:r>
      <w:r>
        <w:rPr>
          <w:rFonts w:ascii="Arial" w:cs="Arial" w:eastAsia="Arial" w:hAnsi="Arial"/>
          <w:sz w:val="18"/>
          <w:szCs w:val="18"/>
          <w:color w:val="auto"/>
        </w:rPr>
        <w:t>By</w:t>
      </w:r>
      <w:r>
        <w:rPr>
          <w:rFonts w:ascii="Arial" w:cs="Arial" w:eastAsia="Arial" w:hAnsi="Arial"/>
          <w:sz w:val="18"/>
          <w:szCs w:val="18"/>
          <w:color w:val="222222"/>
        </w:rPr>
        <w:t>:</w:t>
      </w:r>
      <w:r>
        <w:rPr>
          <w:sz w:val="20"/>
          <w:szCs w:val="20"/>
          <w:color w:val="auto"/>
        </w:rPr>
        <w:tab/>
      </w:r>
      <w:r>
        <w:rPr>
          <w:rFonts w:ascii="Arial" w:cs="Arial" w:eastAsia="Arial" w:hAnsi="Arial"/>
          <w:sz w:val="16"/>
          <w:szCs w:val="16"/>
          <w:color w:val="auto"/>
        </w:rPr>
        <w:t>/s/ Paul E. Bullington</w:t>
      </w:r>
    </w:p>
    <w:p>
      <w:pPr>
        <w:spacing w:after="0" w:line="32" w:lineRule="exact"/>
        <w:rPr>
          <w:sz w:val="20"/>
          <w:szCs w:val="20"/>
          <w:color w:val="auto"/>
        </w:rPr>
      </w:pPr>
    </w:p>
    <w:p>
      <w:pPr>
        <w:ind w:left="7460"/>
        <w:spacing w:after="0"/>
        <w:rPr>
          <w:sz w:val="20"/>
          <w:szCs w:val="20"/>
          <w:color w:val="auto"/>
        </w:rPr>
      </w:pPr>
      <w:r>
        <w:rPr>
          <w:rFonts w:ascii="Arial" w:cs="Arial" w:eastAsia="Arial" w:hAnsi="Arial"/>
          <w:sz w:val="18"/>
          <w:szCs w:val="18"/>
          <w:b w:val="1"/>
          <w:bCs w:val="1"/>
          <w:color w:val="auto"/>
        </w:rPr>
        <w:t>Paul E. Bullington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3228340</wp:posOffset>
            </wp:positionH>
            <wp:positionV relativeFrom="paragraph">
              <wp:posOffset>-127635</wp:posOffset>
            </wp:positionV>
            <wp:extent cx="3909060"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3909060" cy="8890"/>
                    </a:xfrm>
                    <a:prstGeom prst="rect">
                      <a:avLst/>
                    </a:prstGeom>
                    <a:noFill/>
                  </pic:spPr>
                </pic:pic>
              </a:graphicData>
            </a:graphic>
          </wp:anchor>
        </w:drawing>
      </w:r>
    </w:p>
    <w:p>
      <w:pPr>
        <w:spacing w:after="0" w:line="7" w:lineRule="exact"/>
        <w:rPr>
          <w:sz w:val="20"/>
          <w:szCs w:val="20"/>
          <w:color w:val="auto"/>
        </w:rPr>
      </w:pPr>
    </w:p>
    <w:p>
      <w:pPr>
        <w:ind w:left="6360"/>
        <w:spacing w:after="0"/>
        <w:rPr>
          <w:sz w:val="20"/>
          <w:szCs w:val="20"/>
          <w:color w:val="auto"/>
        </w:rPr>
      </w:pPr>
      <w:r>
        <w:rPr>
          <w:rFonts w:ascii="Arial" w:cs="Arial" w:eastAsia="Arial" w:hAnsi="Arial"/>
          <w:sz w:val="18"/>
          <w:szCs w:val="18"/>
          <w:b w:val="1"/>
          <w:bCs w:val="1"/>
          <w:color w:val="auto"/>
        </w:rPr>
        <w:t>Senior Vice President – Chief Financial Officer</w:t>
      </w:r>
    </w:p>
    <w:p>
      <w:pPr>
        <w:spacing w:after="0" w:line="23" w:lineRule="exact"/>
        <w:rPr>
          <w:sz w:val="20"/>
          <w:szCs w:val="20"/>
          <w:color w:val="auto"/>
        </w:rPr>
      </w:pPr>
    </w:p>
    <w:p>
      <w:pPr>
        <w:ind w:left="7620"/>
        <w:spacing w:after="0"/>
        <w:rPr>
          <w:sz w:val="20"/>
          <w:szCs w:val="20"/>
          <w:color w:val="auto"/>
        </w:rPr>
      </w:pPr>
      <w:r>
        <w:rPr>
          <w:rFonts w:ascii="Arial" w:cs="Arial" w:eastAsia="Arial" w:hAnsi="Arial"/>
          <w:sz w:val="18"/>
          <w:szCs w:val="18"/>
          <w:b w:val="1"/>
          <w:bCs w:val="1"/>
          <w:color w:val="auto"/>
        </w:rPr>
        <w:t>and Treasurer</w:t>
      </w:r>
    </w:p>
    <w:sectPr>
      <w:pgSz w:w="11900" w:h="16838" w:orient="portrait"/>
      <w:cols w:equalWidth="0" w:num="1">
        <w:col w:w="11240"/>
      </w:cols>
      <w:pgMar w:left="320" w:top="35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BD062C2"/>
    <w:multiLevelType w:val="hybridMultilevel"/>
    <w:lvl w:ilvl="0">
      <w:lvlJc w:val="left"/>
      <w:lvlText w:val="☒"/>
      <w:numFmt w:val="bullet"/>
      <w:start w:val="1"/>
    </w:lvl>
  </w:abstractNum>
  <w:abstractNum w:abstractNumId="1">
    <w:nsid w:val="12200854"/>
    <w:multiLevelType w:val="hybridMultilevel"/>
    <w:lvl w:ilvl="0">
      <w:lvlJc w:val="left"/>
      <w:lvlText w:val="☐"/>
      <w:numFmt w:val="bullet"/>
      <w:start w:val="1"/>
    </w:lvl>
  </w:abstractNum>
  <w:abstractNum w:abstractNumId="2">
    <w:nsid w:val="4DB127F8"/>
    <w:multiLevelType w:val="hybridMultilevel"/>
    <w:lvl w:ilvl="0">
      <w:lvlJc w:val="left"/>
      <w:lvlText w:val="•"/>
      <w:numFmt w:val="bullet"/>
      <w:start w:val="1"/>
    </w:lvl>
  </w:abstractNum>
  <w:abstractNum w:abstractNumId="3">
    <w:nsid w:val="216231B"/>
    <w:multiLevelType w:val="hybridMultilevel"/>
    <w:lvl w:ilvl="0">
      <w:lvlJc w:val="left"/>
      <w:lvlText w:val="•"/>
      <w:numFmt w:val="bullet"/>
      <w:start w:val="1"/>
    </w:lvl>
  </w:abstractNum>
  <w:abstractNum w:abstractNumId="4">
    <w:nsid w:val="1F16E9E8"/>
    <w:multiLevelType w:val="hybridMultilevel"/>
    <w:lvl w:ilvl="0">
      <w:lvlJc w:val="left"/>
      <w:lvlText w:val="(%1)"/>
      <w:numFmt w:val="decimal"/>
      <w:start w:val="1"/>
    </w:lvl>
  </w:abstractNum>
  <w:abstractNum w:abstractNumId="5">
    <w:nsid w:val="1190CDE7"/>
    <w:multiLevelType w:val="hybridMultilevel"/>
    <w:lvl w:ilvl="0">
      <w:lvlJc w:val="left"/>
      <w:lvlText w:val="(%1)"/>
      <w:numFmt w:val="lowerRoman"/>
      <w:start w:val="1"/>
    </w:lvl>
  </w:abstractNum>
  <w:abstractNum w:abstractNumId="6">
    <w:nsid w:val="66EF438D"/>
    <w:multiLevelType w:val="hybridMultilevel"/>
    <w:lvl w:ilvl="0">
      <w:lvlJc w:val="left"/>
      <w:lvlText w:val="(%1)"/>
      <w:numFmt w:val="decimal"/>
      <w:start w:val="1"/>
    </w:lvl>
  </w:abstractNum>
  <w:abstractNum w:abstractNumId="7">
    <w:nsid w:val="140E0F76"/>
    <w:multiLevelType w:val="hybridMultilevel"/>
    <w:lvl w:ilvl="0">
      <w:lvlJc w:val="left"/>
      <w:lvlText w:val="%1"/>
      <w:numFmt w:val="decimal"/>
      <w:start w:val="104"/>
    </w:lvl>
  </w:abstractNum>
  <w:abstractNum w:abstractNumId="8">
    <w:nsid w:val="3352255A"/>
    <w:multiLevelType w:val="hybridMultilevel"/>
    <w:lvl w:ilvl="0">
      <w:lvlJc w:val="left"/>
      <w:lvlText w:val="*"/>
      <w:numFmt w:val="bullet"/>
      <w:start w:val="1"/>
    </w:lvl>
  </w:abstractNum>
  <w:abstractNum w:abstractNumId="9">
    <w:nsid w:val="109CF92E"/>
    <w:multiLevelType w:val="hybridMultilevel"/>
    <w:lvl w:ilvl="0">
      <w:lvlJc w:val="left"/>
      <w:lvlText w:val="(%1)"/>
      <w:numFmt w:val="lowerRoman"/>
      <w:start w:val="4"/>
    </w:lvl>
  </w:abstractNum>
  <w:abstractNum w:abstractNumId="10">
    <w:nsid w:val="DED7263"/>
    <w:multiLevelType w:val="hybridMultilevel"/>
    <w:lvl w:ilvl="0">
      <w:lvlJc w:val="left"/>
      <w:lvlText w:val="(%1)"/>
      <w:numFmt w:val="upperLetter"/>
      <w:start w:val="1"/>
    </w:lvl>
  </w:abstractNum>
  <w:abstractNum w:abstractNumId="11">
    <w:nsid w:val="7FDCC233"/>
    <w:multiLevelType w:val="hybridMultilevel"/>
    <w:lvl w:ilvl="0">
      <w:lvlJc w:val="left"/>
      <w:lvlText w:val="(%1)"/>
      <w:numFmt w:val="lowerRoman"/>
      <w:start w:val="3"/>
    </w:lvl>
  </w:abstractNum>
  <w:abstractNum w:abstractNumId="12">
    <w:nsid w:val="1BEFD79F"/>
    <w:multiLevelType w:val="hybridMultilevel"/>
    <w:lvl w:ilvl="0">
      <w:lvlJc w:val="left"/>
      <w:lvlText w:val="%1."/>
      <w:numFmt w:val="decimal"/>
      <w:start w:val="1"/>
    </w:lvl>
    <w:lvl w:ilvl="1">
      <w:lvlJc w:val="left"/>
      <w:lvlText w:val="(%2)"/>
      <w:numFmt w:val="lowerLetter"/>
      <w:start w:val="1"/>
    </w:lvl>
  </w:abstractNum>
  <w:abstractNum w:abstractNumId="13">
    <w:nsid w:val="41A7C4C9"/>
    <w:multiLevelType w:val="hybridMultilevel"/>
    <w:lvl w:ilvl="0">
      <w:lvlJc w:val="left"/>
      <w:lvlText w:val="%1."/>
      <w:numFmt w:val="decimal"/>
      <w:start w:val="1"/>
    </w:lvl>
    <w:lvl w:ilvl="1">
      <w:lvlJc w:val="left"/>
      <w:lvlText w:val="(%2)"/>
      <w:numFmt w:val="lowerLetter"/>
      <w:start w:val="1"/>
    </w:lvl>
  </w:abstractNum>
  <w:abstractNum w:abstractNumId="14">
    <w:nsid w:val="6B68079A"/>
    <w:multiLevelType w:val="hybridMultilevel"/>
    <w:lvl w:ilvl="0">
      <w:lvlJc w:val="left"/>
      <w:lvlText w:val="(%1)"/>
      <w:numFmt w:val="lowerLetter"/>
      <w:start w:val="2"/>
    </w:lvl>
  </w:abstractNum>
  <w:abstractNum w:abstractNumId="15">
    <w:nsid w:val="4E6AFB66"/>
    <w:multiLevelType w:val="hybridMultilevel"/>
    <w:lvl w:ilvl="0">
      <w:lvlJc w:val="left"/>
      <w:lvlText w:val="(%1)"/>
      <w:numFmt w:val="decimal"/>
      <w:start w:val="1"/>
    </w:lvl>
  </w:abstractNum>
  <w:abstractNum w:abstractNumId="16">
    <w:nsid w:val="25E45D32"/>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2022-05-06T12:02:15Z</dcterms:created>
  <dcterms:modified xsi:type="dcterms:W3CDTF">2022-05-06T12:02:15Z</dcterms:modified>
</cp:coreProperties>
</file>