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t>UNITED STATES</w:t>
      </w:r>
    </w:p>
    <w:p>
      <w:pPr>
        <w:spacing w:after="0" w:line="32"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jc w:val="center"/>
        <w:ind w:right="-19"/>
        <w:spacing w:after="0"/>
        <w:rPr>
          <w:sz w:val="20"/>
          <w:szCs w:val="20"/>
          <w:color w:val="auto"/>
        </w:rPr>
      </w:pPr>
      <w:r>
        <w:rPr>
          <w:rFonts w:ascii="Arial" w:cs="Arial" w:eastAsia="Arial" w:hAnsi="Arial"/>
          <w:sz w:val="21"/>
          <w:szCs w:val="21"/>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204470</wp:posOffset>
            </wp:positionV>
            <wp:extent cx="713422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200" w:lineRule="exact"/>
        <w:rPr>
          <w:sz w:val="24"/>
          <w:szCs w:val="24"/>
          <w:color w:val="auto"/>
        </w:rPr>
      </w:pPr>
    </w:p>
    <w:p>
      <w:pPr>
        <w:spacing w:after="0" w:line="266"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154305</wp:posOffset>
            </wp:positionV>
            <wp:extent cx="713422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315" w:lineRule="exact"/>
        <w:rPr>
          <w:sz w:val="24"/>
          <w:szCs w:val="24"/>
          <w:color w:val="auto"/>
        </w:rPr>
      </w:pPr>
    </w:p>
    <w:p>
      <w:pPr>
        <w:jc w:val="center"/>
        <w:ind w:right="-19"/>
        <w:spacing w:after="0"/>
        <w:rPr>
          <w:sz w:val="20"/>
          <w:szCs w:val="20"/>
          <w:color w:val="auto"/>
        </w:rPr>
      </w:pPr>
      <w:r>
        <w:rPr>
          <w:rFonts w:ascii="Arial" w:cs="Arial" w:eastAsia="Arial" w:hAnsi="Arial"/>
          <w:sz w:val="21"/>
          <w:szCs w:val="21"/>
          <w:b w:val="1"/>
          <w:bCs w:val="1"/>
          <w:color w:val="auto"/>
        </w:rPr>
        <w:t>CURRENT REPORT</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21"/>
          <w:szCs w:val="21"/>
          <w:b w:val="1"/>
          <w:bCs w:val="1"/>
          <w:color w:val="auto"/>
        </w:rPr>
        <w:t>Pursuant to Section 13 or 15(d)</w:t>
      </w:r>
    </w:p>
    <w:p>
      <w:pPr>
        <w:jc w:val="center"/>
        <w:ind w:right="-19"/>
        <w:spacing w:after="0"/>
        <w:rPr>
          <w:sz w:val="20"/>
          <w:szCs w:val="20"/>
          <w:color w:val="auto"/>
        </w:rPr>
      </w:pPr>
      <w:r>
        <w:rPr>
          <w:rFonts w:ascii="Arial" w:cs="Arial" w:eastAsia="Arial" w:hAnsi="Arial"/>
          <w:sz w:val="21"/>
          <w:szCs w:val="21"/>
          <w:b w:val="1"/>
          <w:bCs w:val="1"/>
          <w:color w:val="auto"/>
        </w:rPr>
        <w:t>of the Securities Exchange Act of 1934</w:t>
      </w:r>
    </w:p>
    <w:p>
      <w:pPr>
        <w:spacing w:after="0" w:line="81" w:lineRule="exact"/>
        <w:rPr>
          <w:sz w:val="24"/>
          <w:szCs w:val="24"/>
          <w:color w:val="auto"/>
        </w:rPr>
      </w:pPr>
    </w:p>
    <w:p>
      <w:pPr>
        <w:jc w:val="center"/>
        <w:ind w:right="-19"/>
        <w:spacing w:after="0"/>
        <w:rPr>
          <w:sz w:val="20"/>
          <w:szCs w:val="20"/>
          <w:color w:val="auto"/>
        </w:rPr>
      </w:pPr>
      <w:r>
        <w:rPr>
          <w:rFonts w:ascii="Arial" w:cs="Arial" w:eastAsia="Arial" w:hAnsi="Arial"/>
          <w:sz w:val="19"/>
          <w:szCs w:val="19"/>
          <w:b w:val="1"/>
          <w:bCs w:val="1"/>
          <w:color w:val="auto"/>
        </w:rPr>
        <w:t>Date of Report (Date of earliest event reported): February 25,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167005</wp:posOffset>
            </wp:positionV>
            <wp:extent cx="713422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366" w:lineRule="exact"/>
        <w:rPr>
          <w:sz w:val="24"/>
          <w:szCs w:val="24"/>
          <w:color w:val="auto"/>
        </w:rPr>
      </w:pPr>
    </w:p>
    <w:p>
      <w:pPr>
        <w:jc w:val="center"/>
        <w:ind w:right="-19"/>
        <w:spacing w:after="0"/>
        <w:rPr>
          <w:sz w:val="20"/>
          <w:szCs w:val="20"/>
          <w:color w:val="auto"/>
        </w:rPr>
      </w:pPr>
      <w:r>
        <w:rPr>
          <w:rFonts w:ascii="Arial" w:cs="Arial" w:eastAsia="Arial" w:hAnsi="Arial"/>
          <w:sz w:val="36"/>
          <w:szCs w:val="36"/>
          <w:b w:val="1"/>
          <w:bCs w:val="1"/>
          <w:color w:val="auto"/>
        </w:rPr>
        <w:t>Uniti Group Inc.</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130175</wp:posOffset>
            </wp:positionV>
            <wp:extent cx="713422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ectPr>
          <w:pgSz w:w="11900" w:h="16838" w:orient="portrait"/>
          <w:cols w:equalWidth="0" w:num="1">
            <w:col w:w="11240"/>
          </w:cols>
          <w:pgMar w:left="320" w:top="450" w:right="339" w:bottom="1440" w:gutter="0" w:footer="0" w:header="0"/>
        </w:sectPr>
      </w:pPr>
    </w:p>
    <w:p>
      <w:pPr>
        <w:spacing w:after="0" w:line="200" w:lineRule="exact"/>
        <w:rPr>
          <w:sz w:val="24"/>
          <w:szCs w:val="24"/>
          <w:color w:val="auto"/>
        </w:rPr>
      </w:pPr>
    </w:p>
    <w:p>
      <w:pPr>
        <w:spacing w:after="0" w:line="280" w:lineRule="exact"/>
        <w:rPr>
          <w:sz w:val="24"/>
          <w:szCs w:val="24"/>
          <w:color w:val="auto"/>
        </w:rPr>
      </w:pPr>
    </w:p>
    <w:p>
      <w:pPr>
        <w:ind w:left="1460"/>
        <w:spacing w:after="0"/>
        <w:rPr>
          <w:sz w:val="20"/>
          <w:szCs w:val="20"/>
          <w:color w:val="auto"/>
        </w:rPr>
      </w:pPr>
      <w:r>
        <w:rPr>
          <w:rFonts w:ascii="Arial" w:cs="Arial" w:eastAsia="Arial" w:hAnsi="Arial"/>
          <w:sz w:val="17"/>
          <w:szCs w:val="17"/>
          <w:b w:val="1"/>
          <w:bCs w:val="1"/>
          <w:color w:val="auto"/>
        </w:rPr>
        <w:t>Maryland</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60" w:lineRule="exact"/>
        <w:rPr>
          <w:sz w:val="24"/>
          <w:szCs w:val="24"/>
          <w:color w:val="auto"/>
        </w:rPr>
      </w:pPr>
    </w:p>
    <w:p>
      <w:pPr>
        <w:jc w:val="center"/>
        <w:ind w:right="2260"/>
        <w:spacing w:after="0"/>
        <w:rPr>
          <w:sz w:val="20"/>
          <w:szCs w:val="20"/>
          <w:color w:val="auto"/>
        </w:rPr>
      </w:pPr>
      <w:r>
        <w:rPr>
          <w:rFonts w:ascii="Arial" w:cs="Arial" w:eastAsia="Arial" w:hAnsi="Arial"/>
          <w:sz w:val="14"/>
          <w:szCs w:val="14"/>
          <w:b w:val="1"/>
          <w:bCs w:val="1"/>
          <w:color w:val="auto"/>
        </w:rPr>
        <w:t>001-36708</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60"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46-5230630</w:t>
      </w:r>
    </w:p>
    <w:p>
      <w:pPr>
        <w:spacing w:after="0" w:line="26" w:lineRule="exact"/>
        <w:rPr>
          <w:sz w:val="24"/>
          <w:szCs w:val="24"/>
          <w:color w:val="auto"/>
        </w:rPr>
      </w:pPr>
    </w:p>
    <w:p>
      <w:pPr>
        <w:sectPr>
          <w:pgSz w:w="11900" w:h="16838" w:orient="portrait"/>
          <w:cols w:equalWidth="0" w:num="3">
            <w:col w:w="4620" w:space="720"/>
            <w:col w:w="3020" w:space="720"/>
            <w:col w:w="2160"/>
          </w:cols>
          <w:pgMar w:left="320" w:top="450" w:right="339" w:bottom="1440" w:gutter="0" w:footer="0" w:header="0"/>
          <w:type w:val="continuous"/>
        </w:sectPr>
      </w:pPr>
    </w:p>
    <w:p>
      <w:pPr>
        <w:spacing w:after="0" w:line="20" w:lineRule="exact"/>
        <w:rPr>
          <w:sz w:val="24"/>
          <w:szCs w:val="24"/>
          <w:color w:val="auto"/>
        </w:rPr>
      </w:pPr>
    </w:p>
    <w:p>
      <w:pPr>
        <w:jc w:val="center"/>
        <w:ind w:right="920"/>
        <w:spacing w:after="0"/>
        <w:rPr>
          <w:sz w:val="20"/>
          <w:szCs w:val="20"/>
          <w:color w:val="auto"/>
        </w:rPr>
      </w:pPr>
      <w:r>
        <w:rPr>
          <w:rFonts w:ascii="Arial" w:cs="Arial" w:eastAsia="Arial" w:hAnsi="Arial"/>
          <w:sz w:val="12"/>
          <w:szCs w:val="12"/>
          <w:b w:val="1"/>
          <w:bCs w:val="1"/>
          <w:color w:val="auto"/>
        </w:rPr>
        <w:t>(State or other jurisdiction</w:t>
      </w:r>
    </w:p>
    <w:p>
      <w:pPr>
        <w:spacing w:after="0" w:line="4" w:lineRule="exact"/>
        <w:rPr>
          <w:sz w:val="24"/>
          <w:szCs w:val="24"/>
          <w:color w:val="auto"/>
        </w:rPr>
      </w:pPr>
    </w:p>
    <w:p>
      <w:pPr>
        <w:jc w:val="center"/>
        <w:ind w:right="92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180"/>
        <w:spacing w:after="0"/>
        <w:rPr>
          <w:sz w:val="20"/>
          <w:szCs w:val="20"/>
          <w:color w:val="auto"/>
        </w:rPr>
      </w:pPr>
      <w:r>
        <w:rPr>
          <w:rFonts w:ascii="Arial" w:cs="Arial" w:eastAsia="Arial" w:hAnsi="Arial"/>
          <w:sz w:val="14"/>
          <w:szCs w:val="14"/>
          <w:b w:val="1"/>
          <w:bCs w:val="1"/>
          <w:color w:val="auto"/>
        </w:rPr>
        <w:t>(IRS Employer</w:t>
      </w:r>
    </w:p>
    <w:p>
      <w:pPr>
        <w:jc w:val="center"/>
        <w:ind w:right="118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580" w:space="720"/>
            <w:col w:w="2920" w:space="720"/>
            <w:col w:w="2300"/>
          </w:cols>
          <w:pgMar w:left="320" w:top="450" w:right="339" w:bottom="1440" w:gutter="0" w:footer="0" w:header="0"/>
          <w:type w:val="continuous"/>
        </w:sectPr>
      </w:pPr>
    </w:p>
    <w:p>
      <w:pPr>
        <w:spacing w:after="0" w:line="28" w:lineRule="exact"/>
        <w:rPr>
          <w:sz w:val="24"/>
          <w:szCs w:val="24"/>
          <w:color w:val="auto"/>
        </w:rPr>
      </w:pPr>
    </w:p>
    <w:p>
      <w:pPr>
        <w:jc w:val="center"/>
        <w:ind w:right="2220"/>
        <w:spacing w:after="0"/>
        <w:rPr>
          <w:sz w:val="20"/>
          <w:szCs w:val="20"/>
          <w:color w:val="auto"/>
        </w:rPr>
      </w:pPr>
      <w:r>
        <w:rPr>
          <w:rFonts w:ascii="Arial" w:cs="Arial" w:eastAsia="Arial" w:hAnsi="Arial"/>
          <w:sz w:val="16"/>
          <w:szCs w:val="16"/>
          <w:b w:val="1"/>
          <w:bCs w:val="1"/>
          <w:color w:val="auto"/>
        </w:rPr>
        <w:t>2101 Riverfront Drive</w:t>
      </w:r>
    </w:p>
    <w:p>
      <w:pPr>
        <w:spacing w:after="0" w:line="46" w:lineRule="exact"/>
        <w:rPr>
          <w:sz w:val="24"/>
          <w:szCs w:val="24"/>
          <w:color w:val="auto"/>
        </w:rPr>
      </w:pPr>
    </w:p>
    <w:p>
      <w:pPr>
        <w:jc w:val="center"/>
        <w:ind w:right="2220"/>
        <w:spacing w:after="0"/>
        <w:rPr>
          <w:sz w:val="20"/>
          <w:szCs w:val="20"/>
          <w:color w:val="auto"/>
        </w:rPr>
      </w:pPr>
      <w:r>
        <w:rPr>
          <w:rFonts w:ascii="Arial" w:cs="Arial" w:eastAsia="Arial" w:hAnsi="Arial"/>
          <w:sz w:val="18"/>
          <w:szCs w:val="18"/>
          <w:b w:val="1"/>
          <w:bCs w:val="1"/>
          <w:color w:val="auto"/>
        </w:rPr>
        <w:t>Suite A</w:t>
      </w:r>
    </w:p>
    <w:p>
      <w:pPr>
        <w:spacing w:after="0" w:line="6" w:lineRule="exact"/>
        <w:rPr>
          <w:sz w:val="24"/>
          <w:szCs w:val="24"/>
          <w:color w:val="auto"/>
        </w:rPr>
      </w:pPr>
    </w:p>
    <w:p>
      <w:pPr>
        <w:jc w:val="center"/>
        <w:ind w:right="2220"/>
        <w:spacing w:after="0"/>
        <w:rPr>
          <w:sz w:val="20"/>
          <w:szCs w:val="20"/>
          <w:color w:val="auto"/>
        </w:rPr>
      </w:pPr>
      <w:r>
        <w:rPr>
          <w:rFonts w:ascii="Arial" w:cs="Arial" w:eastAsia="Arial" w:hAnsi="Arial"/>
          <w:sz w:val="16"/>
          <w:szCs w:val="16"/>
          <w:b w:val="1"/>
          <w:bCs w:val="1"/>
          <w:color w:val="auto"/>
        </w:rPr>
        <w:t>Little Rock, Arkansas</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72202</w:t>
      </w:r>
    </w:p>
    <w:p>
      <w:pPr>
        <w:spacing w:after="0" w:line="495" w:lineRule="exact"/>
        <w:rPr>
          <w:sz w:val="24"/>
          <w:szCs w:val="24"/>
          <w:color w:val="auto"/>
        </w:rPr>
      </w:pPr>
    </w:p>
    <w:p>
      <w:pPr>
        <w:sectPr>
          <w:pgSz w:w="11900" w:h="16838" w:orient="portrait"/>
          <w:cols w:equalWidth="0" w:num="2">
            <w:col w:w="7680" w:space="720"/>
            <w:col w:w="2840"/>
          </w:cols>
          <w:pgMar w:left="320" w:top="450" w:right="339" w:bottom="1440" w:gutter="0" w:footer="0" w:header="0"/>
          <w:type w:val="continuous"/>
        </w:sectPr>
      </w:pPr>
    </w:p>
    <w:p>
      <w:pPr>
        <w:ind w:left="156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00" w:lineRule="exact"/>
        <w:rPr>
          <w:sz w:val="24"/>
          <w:szCs w:val="24"/>
          <w:color w:val="auto"/>
        </w:rPr>
      </w:pPr>
    </w:p>
    <w:p>
      <w:pPr>
        <w:sectPr>
          <w:pgSz w:w="11900" w:h="16838" w:orient="portrait"/>
          <w:cols w:equalWidth="0" w:num="2">
            <w:col w:w="7560" w:space="720"/>
            <w:col w:w="2960"/>
          </w:cols>
          <w:pgMar w:left="320" w:top="450" w:right="3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(501) 850-0820</w:t>
      </w:r>
    </w:p>
    <w:p>
      <w:pPr>
        <w:spacing w:after="0" w:line="11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122555</wp:posOffset>
            </wp:positionV>
            <wp:extent cx="71342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198" w:lineRule="exact"/>
        <w:rPr>
          <w:sz w:val="24"/>
          <w:szCs w:val="24"/>
          <w:color w:val="auto"/>
        </w:rPr>
      </w:pPr>
    </w:p>
    <w:p>
      <w:pPr>
        <w:spacing w:after="0" w:line="270"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81" w:lineRule="exact"/>
        <w:rPr>
          <w:sz w:val="24"/>
          <w:szCs w:val="24"/>
          <w:color w:val="auto"/>
        </w:rPr>
      </w:pPr>
    </w:p>
    <w:p>
      <w:pPr>
        <w:ind w:left="480" w:hanging="473"/>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26" w:lineRule="exact"/>
        <w:rPr>
          <w:rFonts w:ascii="MS PGothic" w:cs="MS PGothic" w:eastAsia="MS PGothic" w:hAnsi="MS PGothic"/>
          <w:sz w:val="18"/>
          <w:szCs w:val="18"/>
          <w:color w:val="auto"/>
        </w:rPr>
      </w:pPr>
    </w:p>
    <w:p>
      <w:pPr>
        <w:ind w:left="480" w:hanging="473"/>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26" w:lineRule="exact"/>
        <w:rPr>
          <w:rFonts w:ascii="MS PGothic" w:cs="MS PGothic" w:eastAsia="MS PGothic" w:hAnsi="MS PGothic"/>
          <w:sz w:val="18"/>
          <w:szCs w:val="18"/>
          <w:color w:val="auto"/>
        </w:rPr>
      </w:pPr>
    </w:p>
    <w:p>
      <w:pPr>
        <w:ind w:left="480" w:hanging="473"/>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26" w:lineRule="exact"/>
        <w:rPr>
          <w:rFonts w:ascii="MS PGothic" w:cs="MS PGothic" w:eastAsia="MS PGothic" w:hAnsi="MS PGothic"/>
          <w:sz w:val="18"/>
          <w:szCs w:val="18"/>
          <w:color w:val="auto"/>
        </w:rPr>
      </w:pPr>
    </w:p>
    <w:p>
      <w:pPr>
        <w:ind w:right="2800" w:firstLine="7"/>
        <w:spacing w:after="0" w:line="317" w:lineRule="auto"/>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21"/>
        </w:trPr>
        <w:tc>
          <w:tcPr>
            <w:tcW w:w="430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2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w:t>
            </w:r>
          </w:p>
        </w:tc>
        <w:tc>
          <w:tcPr>
            <w:tcW w:w="42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Name of each exchange on which registered</w:t>
            </w:r>
          </w:p>
        </w:tc>
      </w:tr>
      <w:tr>
        <w:trPr>
          <w:trHeight w:val="27"/>
        </w:trPr>
        <w:tc>
          <w:tcPr>
            <w:tcW w:w="4300" w:type="dxa"/>
            <w:vAlign w:val="bottom"/>
            <w:tcBorders>
              <w:left w:val="single" w:sz="8" w:color="auto"/>
              <w:bottom w:val="single" w:sz="8" w:color="auto"/>
              <w:right w:val="single" w:sz="8" w:color="auto"/>
            </w:tcBorders>
          </w:tcPr>
          <w:p>
            <w:pPr>
              <w:spacing w:after="0"/>
              <w:rPr>
                <w:sz w:val="2"/>
                <w:szCs w:val="2"/>
                <w:color w:val="auto"/>
              </w:rPr>
            </w:pPr>
          </w:p>
        </w:tc>
        <w:tc>
          <w:tcPr>
            <w:tcW w:w="2700" w:type="dxa"/>
            <w:vAlign w:val="bottom"/>
            <w:tcBorders>
              <w:bottom w:val="single" w:sz="8" w:color="auto"/>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r>
      <w:tr>
        <w:trPr>
          <w:trHeight w:val="220"/>
        </w:trPr>
        <w:tc>
          <w:tcPr>
            <w:tcW w:w="43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Common Stock</w:t>
            </w:r>
          </w:p>
        </w:tc>
        <w:tc>
          <w:tcPr>
            <w:tcW w:w="2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UNIT</w:t>
            </w:r>
          </w:p>
        </w:tc>
        <w:tc>
          <w:tcPr>
            <w:tcW w:w="42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2"/>
              </w:rPr>
              <w:t>The NASDAQ Global Select Market</w:t>
            </w:r>
          </w:p>
        </w:tc>
      </w:tr>
      <w:tr>
        <w:trPr>
          <w:trHeight w:val="27"/>
        </w:trPr>
        <w:tc>
          <w:tcPr>
            <w:tcW w:w="4300" w:type="dxa"/>
            <w:vAlign w:val="bottom"/>
            <w:tcBorders>
              <w:left w:val="single" w:sz="8" w:color="auto"/>
              <w:bottom w:val="single" w:sz="8" w:color="auto"/>
              <w:right w:val="single" w:sz="8" w:color="auto"/>
            </w:tcBorders>
          </w:tcPr>
          <w:p>
            <w:pPr>
              <w:spacing w:after="0"/>
              <w:rPr>
                <w:sz w:val="2"/>
                <w:szCs w:val="2"/>
                <w:color w:val="auto"/>
              </w:rPr>
            </w:pPr>
          </w:p>
        </w:tc>
        <w:tc>
          <w:tcPr>
            <w:tcW w:w="2700" w:type="dxa"/>
            <w:vAlign w:val="bottom"/>
            <w:tcBorders>
              <w:bottom w:val="single" w:sz="8" w:color="auto"/>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r>
    </w:tbl>
    <w:p>
      <w:pPr>
        <w:spacing w:after="0" w:line="39" w:lineRule="exact"/>
        <w:rPr>
          <w:sz w:val="24"/>
          <w:szCs w:val="24"/>
          <w:color w:val="auto"/>
        </w:rPr>
      </w:pPr>
    </w:p>
    <w:p>
      <w:pPr>
        <w:jc w:val="both"/>
        <w:ind w:right="20"/>
        <w:spacing w:after="0" w:line="259"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55" w:lineRule="exact"/>
        <w:rPr>
          <w:sz w:val="24"/>
          <w:szCs w:val="24"/>
          <w:color w:val="auto"/>
        </w:rPr>
      </w:pPr>
    </w:p>
    <w:p>
      <w:pPr>
        <w:jc w:val="both"/>
        <w:spacing w:after="0" w:line="222"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wp:posOffset>
            </wp:positionH>
            <wp:positionV relativeFrom="paragraph">
              <wp:posOffset>459105</wp:posOffset>
            </wp:positionV>
            <wp:extent cx="715962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450"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17" w:lineRule="exact"/>
        <w:rPr>
          <w:sz w:val="20"/>
          <w:szCs w:val="20"/>
          <w:color w:val="auto"/>
        </w:rPr>
      </w:pPr>
    </w:p>
    <w:p>
      <w:pPr>
        <w:jc w:val="both"/>
        <w:ind w:right="120" w:firstLine="769"/>
        <w:spacing w:after="0" w:line="258" w:lineRule="auto"/>
        <w:rPr>
          <w:sz w:val="20"/>
          <w:szCs w:val="20"/>
          <w:color w:val="auto"/>
        </w:rPr>
      </w:pPr>
      <w:r>
        <w:rPr>
          <w:rFonts w:ascii="Arial" w:cs="Arial" w:eastAsia="Arial" w:hAnsi="Arial"/>
          <w:sz w:val="18"/>
          <w:szCs w:val="18"/>
          <w:color w:val="auto"/>
        </w:rPr>
        <w:t>On February 25, 2022, Uniti Group Inc. (the “Company”) issued a press release announcing the Company’s results for its fiscal quarter and year ended December 31, 2021. A copy of the Company’s press release is attached to this Current Report on Form 8-K as Exhibit 99.1 and is incorporated herein solely for purposes of this Item 2.02 disclosure.</w:t>
      </w:r>
    </w:p>
    <w:p>
      <w:pPr>
        <w:spacing w:after="0" w:line="186" w:lineRule="exact"/>
        <w:rPr>
          <w:sz w:val="20"/>
          <w:szCs w:val="20"/>
          <w:color w:val="auto"/>
        </w:rPr>
      </w:pPr>
    </w:p>
    <w:p>
      <w:pPr>
        <w:ind w:right="140" w:firstLine="769"/>
        <w:spacing w:after="0" w:line="253" w:lineRule="auto"/>
        <w:rPr>
          <w:sz w:val="20"/>
          <w:szCs w:val="20"/>
          <w:color w:val="auto"/>
        </w:rPr>
      </w:pPr>
      <w:r>
        <w:rPr>
          <w:rFonts w:ascii="Arial" w:cs="Arial" w:eastAsia="Arial" w:hAnsi="Arial"/>
          <w:sz w:val="18"/>
          <w:szCs w:val="18"/>
          <w:color w:val="auto"/>
        </w:rPr>
        <w:t>The information contained in this Item 2.02, including the exhibit attached hereto, is being “furnished” and shall not be deemed “filed” for purposes of Section 18 of the Securities Exchange Act of 1934, as amended (the “Exchange Act”), or otherwise subject to the liabilities of Section 18 of the Exchange Act. The information in this Item 2.02 shall not be incorporated by reference into any registration statement or other document pursuant to the Securities Act of 1933, as amended, or into any filing or other document pursuant to the Exchange Act, except as otherwise expressly stated in any such filing.</w:t>
      </w:r>
    </w:p>
    <w:p>
      <w:pPr>
        <w:spacing w:after="0" w:line="186"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1100" w:type="dxa"/>
            <w:vAlign w:val="bottom"/>
          </w:tcPr>
          <w:p>
            <w:pPr>
              <w:jc w:val="center"/>
              <w:spacing w:after="0"/>
              <w:rPr>
                <w:sz w:val="20"/>
                <w:szCs w:val="20"/>
                <w:color w:val="auto"/>
              </w:rPr>
            </w:pPr>
            <w:r>
              <w:rPr>
                <w:rFonts w:ascii="Arial" w:cs="Arial" w:eastAsia="Arial" w:hAnsi="Arial"/>
                <w:sz w:val="18"/>
                <w:szCs w:val="18"/>
                <w:b w:val="1"/>
                <w:bCs w:val="1"/>
                <w:color w:val="auto"/>
                <w:w w:val="93"/>
              </w:rPr>
              <w:t>Exhibit</w:t>
            </w: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7000" w:type="dxa"/>
            <w:vAlign w:val="bottom"/>
          </w:tcPr>
          <w:p>
            <w:pPr>
              <w:spacing w:after="0"/>
              <w:rPr>
                <w:sz w:val="18"/>
                <w:szCs w:val="18"/>
                <w:color w:val="auto"/>
              </w:rPr>
            </w:pPr>
          </w:p>
        </w:tc>
      </w:tr>
      <w:tr>
        <w:trPr>
          <w:trHeight w:val="230"/>
        </w:trPr>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4"/>
              </w:rPr>
              <w:t>Number</w:t>
            </w:r>
          </w:p>
        </w:tc>
        <w:tc>
          <w:tcPr>
            <w:tcW w:w="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0" w:type="dxa"/>
            <w:vAlign w:val="bottom"/>
            <w:tcBorders>
              <w:bottom w:val="single" w:sz="8" w:color="auto"/>
            </w:tcBorders>
          </w:tcPr>
          <w:p>
            <w:pPr>
              <w:spacing w:after="0"/>
              <w:rPr>
                <w:sz w:val="20"/>
                <w:szCs w:val="20"/>
                <w:color w:val="auto"/>
              </w:rPr>
            </w:pPr>
          </w:p>
        </w:tc>
        <w:tc>
          <w:tcPr>
            <w:tcW w:w="7000" w:type="dxa"/>
            <w:vAlign w:val="bottom"/>
            <w:tcBorders>
              <w:bottom w:val="single" w:sz="8" w:color="auto"/>
            </w:tcBorders>
          </w:tcPr>
          <w:p>
            <w:pPr>
              <w:ind w:left="1660"/>
              <w:spacing w:after="0"/>
              <w:rPr>
                <w:sz w:val="20"/>
                <w:szCs w:val="20"/>
                <w:color w:val="auto"/>
              </w:rPr>
            </w:pPr>
            <w:r>
              <w:rPr>
                <w:rFonts w:ascii="Arial" w:cs="Arial" w:eastAsia="Arial" w:hAnsi="Arial"/>
                <w:sz w:val="18"/>
                <w:szCs w:val="18"/>
                <w:b w:val="1"/>
                <w:bCs w:val="1"/>
                <w:color w:val="auto"/>
              </w:rPr>
              <w:t>Description</w:t>
            </w:r>
          </w:p>
        </w:tc>
      </w:tr>
      <w:tr>
        <w:trPr>
          <w:trHeight w:val="168"/>
        </w:trPr>
        <w:tc>
          <w:tcPr>
            <w:tcW w:w="1100" w:type="dxa"/>
            <w:vAlign w:val="bottom"/>
          </w:tcPr>
          <w:p>
            <w:pPr>
              <w:jc w:val="right"/>
              <w:ind w:right="311"/>
              <w:spacing w:after="0" w:line="168" w:lineRule="exact"/>
              <w:rPr>
                <w:sz w:val="20"/>
                <w:szCs w:val="20"/>
                <w:color w:val="auto"/>
              </w:rPr>
            </w:pPr>
            <w:r>
              <w:rPr>
                <w:rFonts w:ascii="Arial" w:cs="Arial" w:eastAsia="Arial" w:hAnsi="Arial"/>
                <w:sz w:val="18"/>
                <w:szCs w:val="18"/>
                <w:color w:val="auto"/>
              </w:rPr>
              <w:t>99.1</w:t>
            </w:r>
          </w:p>
        </w:tc>
        <w:tc>
          <w:tcPr>
            <w:tcW w:w="320" w:type="dxa"/>
            <w:vAlign w:val="bottom"/>
          </w:tcPr>
          <w:p>
            <w:pPr>
              <w:spacing w:after="0"/>
              <w:rPr>
                <w:sz w:val="14"/>
                <w:szCs w:val="14"/>
                <w:color w:val="auto"/>
              </w:rPr>
            </w:pPr>
          </w:p>
        </w:tc>
        <w:tc>
          <w:tcPr>
            <w:tcW w:w="20" w:type="dxa"/>
            <w:vAlign w:val="bottom"/>
            <w:tcBorders>
              <w:bottom w:val="single" w:sz="8" w:color="0000EE"/>
            </w:tcBorders>
          </w:tcPr>
          <w:p>
            <w:pPr>
              <w:spacing w:after="0"/>
              <w:rPr>
                <w:sz w:val="14"/>
                <w:szCs w:val="14"/>
                <w:color w:val="auto"/>
              </w:rPr>
            </w:pPr>
          </w:p>
        </w:tc>
        <w:tc>
          <w:tcPr>
            <w:tcW w:w="2800" w:type="dxa"/>
            <w:vAlign w:val="bottom"/>
            <w:tcBorders>
              <w:bottom w:val="single" w:sz="8" w:color="0000EE"/>
            </w:tcBorders>
          </w:tcPr>
          <w:p>
            <w:pPr>
              <w:spacing w:after="0" w:line="168" w:lineRule="exact"/>
              <w:rPr>
                <w:rFonts w:ascii="Arial" w:cs="Arial" w:eastAsia="Arial" w:hAnsi="Arial"/>
                <w:sz w:val="18"/>
                <w:szCs w:val="18"/>
                <w:color w:val="0000EE"/>
                <w:w w:val="85"/>
              </w:rPr>
            </w:pPr>
            <w:hyperlink w:anchor="page4">
              <w:r>
                <w:rPr>
                  <w:rFonts w:ascii="Arial" w:cs="Arial" w:eastAsia="Arial" w:hAnsi="Arial"/>
                  <w:sz w:val="18"/>
                  <w:szCs w:val="18"/>
                  <w:color w:val="0000EE"/>
                  <w:w w:val="85"/>
                </w:rPr>
                <w:t>Press Release issued February 25, 2022</w:t>
              </w:r>
            </w:hyperlink>
          </w:p>
        </w:tc>
        <w:tc>
          <w:tcPr>
            <w:tcW w:w="7000" w:type="dxa"/>
            <w:vAlign w:val="bottom"/>
          </w:tcPr>
          <w:p>
            <w:pPr>
              <w:spacing w:after="0"/>
              <w:rPr>
                <w:sz w:val="14"/>
                <w:szCs w:val="14"/>
                <w:color w:val="auto"/>
              </w:rPr>
            </w:pPr>
          </w:p>
        </w:tc>
      </w:tr>
      <w:tr>
        <w:trPr>
          <w:trHeight w:val="446"/>
        </w:trPr>
        <w:tc>
          <w:tcPr>
            <w:tcW w:w="1100" w:type="dxa"/>
            <w:vAlign w:val="bottom"/>
          </w:tcPr>
          <w:p>
            <w:pPr>
              <w:jc w:val="right"/>
              <w:ind w:right="331"/>
              <w:spacing w:after="0"/>
              <w:rPr>
                <w:sz w:val="20"/>
                <w:szCs w:val="20"/>
                <w:color w:val="auto"/>
              </w:rPr>
            </w:pPr>
            <w:r>
              <w:rPr>
                <w:rFonts w:ascii="Arial" w:cs="Arial" w:eastAsia="Arial" w:hAnsi="Arial"/>
                <w:sz w:val="18"/>
                <w:szCs w:val="18"/>
                <w:color w:val="auto"/>
              </w:rPr>
              <w:t>104</w:t>
            </w:r>
          </w:p>
        </w:tc>
        <w:tc>
          <w:tcPr>
            <w:tcW w:w="320" w:type="dxa"/>
            <w:vAlign w:val="bottom"/>
          </w:tcPr>
          <w:p>
            <w:pPr>
              <w:spacing w:after="0"/>
              <w:rPr>
                <w:sz w:val="24"/>
                <w:szCs w:val="24"/>
                <w:color w:val="auto"/>
              </w:rPr>
            </w:pPr>
          </w:p>
        </w:tc>
        <w:tc>
          <w:tcPr>
            <w:tcW w:w="9820" w:type="dxa"/>
            <w:vAlign w:val="bottom"/>
            <w:gridSpan w:val="3"/>
          </w:tcPr>
          <w:p>
            <w:pPr>
              <w:spacing w:after="0"/>
              <w:rPr>
                <w:sz w:val="20"/>
                <w:szCs w:val="20"/>
                <w:color w:val="auto"/>
              </w:rPr>
            </w:pPr>
            <w:r>
              <w:rPr>
                <w:rFonts w:ascii="Arial" w:cs="Arial" w:eastAsia="Arial" w:hAnsi="Arial"/>
                <w:sz w:val="18"/>
                <w:szCs w:val="18"/>
                <w:color w:val="auto"/>
              </w:rPr>
              <w:t>Cover Page Interactive Data File (embedded within the Inline XBRL document)</w:t>
            </w:r>
          </w:p>
        </w:tc>
      </w:tr>
      <w:tr>
        <w:trPr>
          <w:trHeight w:val="1409"/>
        </w:trPr>
        <w:tc>
          <w:tcPr>
            <w:tcW w:w="110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2800" w:type="dxa"/>
            <w:vAlign w:val="bottom"/>
            <w:tcBorders>
              <w:bottom w:val="single" w:sz="8" w:color="9A9A9A"/>
            </w:tcBorders>
          </w:tcPr>
          <w:p>
            <w:pPr>
              <w:spacing w:after="0"/>
              <w:rPr>
                <w:sz w:val="24"/>
                <w:szCs w:val="24"/>
                <w:color w:val="auto"/>
              </w:rPr>
            </w:pPr>
          </w:p>
        </w:tc>
        <w:tc>
          <w:tcPr>
            <w:tcW w:w="70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-29210</wp:posOffset>
            </wp:positionV>
            <wp:extent cx="33655"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575"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4" w:lineRule="exact"/>
        <w:rPr>
          <w:sz w:val="20"/>
          <w:szCs w:val="20"/>
          <w:color w:val="auto"/>
        </w:rPr>
      </w:pPr>
    </w:p>
    <w:p>
      <w:pPr>
        <w:ind w:firstLine="432"/>
        <w:spacing w:after="0" w:line="270"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5" w:lineRule="exact"/>
        <w:rPr>
          <w:sz w:val="20"/>
          <w:szCs w:val="20"/>
          <w:color w:val="auto"/>
        </w:rPr>
      </w:pPr>
    </w:p>
    <w:p>
      <w:pPr>
        <w:spacing w:after="0"/>
        <w:tabs>
          <w:tab w:leader="none" w:pos="6060" w:val="left"/>
        </w:tabs>
        <w:rPr>
          <w:sz w:val="20"/>
          <w:szCs w:val="20"/>
          <w:color w:val="auto"/>
        </w:rPr>
      </w:pPr>
      <w:r>
        <w:rPr>
          <w:rFonts w:ascii="Arial" w:cs="Arial" w:eastAsia="Arial" w:hAnsi="Arial"/>
          <w:sz w:val="18"/>
          <w:szCs w:val="18"/>
          <w:color w:val="auto"/>
        </w:rPr>
        <w:t>Date: February 25, 2022</w:t>
      </w:r>
      <w:r>
        <w:rPr>
          <w:sz w:val="20"/>
          <w:szCs w:val="20"/>
          <w:color w:val="auto"/>
        </w:rPr>
        <w:tab/>
      </w:r>
      <w:r>
        <w:rPr>
          <w:rFonts w:ascii="Arial" w:cs="Arial" w:eastAsia="Arial" w:hAnsi="Arial"/>
          <w:sz w:val="17"/>
          <w:szCs w:val="17"/>
          <w:color w:val="auto"/>
        </w:rPr>
        <w:t>UNITI GROUP INC.</w:t>
      </w:r>
    </w:p>
    <w:p>
      <w:pPr>
        <w:spacing w:after="0" w:line="220" w:lineRule="exact"/>
        <w:rPr>
          <w:sz w:val="20"/>
          <w:szCs w:val="20"/>
          <w:color w:val="auto"/>
        </w:rPr>
      </w:pPr>
    </w:p>
    <w:tbl>
      <w:tblPr>
        <w:tblLayout w:type="fixed"/>
        <w:tblInd w:w="6080" w:type="dxa"/>
        <w:tblCellMar>
          <w:top w:w="0" w:type="dxa"/>
          <w:left w:w="0" w:type="dxa"/>
          <w:bottom w:w="0" w:type="dxa"/>
          <w:right w:w="0" w:type="dxa"/>
        </w:tblCellMar>
      </w:tblPr>
      <w:tr>
        <w:trPr>
          <w:trHeight w:val="226"/>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4600" w:type="dxa"/>
            <w:vAlign w:val="bottom"/>
            <w:gridSpan w:val="3"/>
          </w:tcPr>
          <w:p>
            <w:pPr>
              <w:spacing w:after="0"/>
              <w:rPr>
                <w:sz w:val="20"/>
                <w:szCs w:val="20"/>
                <w:color w:val="auto"/>
              </w:rPr>
            </w:pPr>
            <w:r>
              <w:rPr>
                <w:rFonts w:ascii="Arial" w:cs="Arial" w:eastAsia="Arial" w:hAnsi="Arial"/>
                <w:sz w:val="18"/>
                <w:szCs w:val="18"/>
                <w:color w:val="auto"/>
              </w:rPr>
              <w:t>/s/ Daniel L. Heard</w:t>
            </w:r>
          </w:p>
        </w:tc>
      </w:tr>
      <w:tr>
        <w:trPr>
          <w:trHeight w:val="194"/>
        </w:trPr>
        <w:tc>
          <w:tcPr>
            <w:tcW w:w="580" w:type="dxa"/>
            <w:vAlign w:val="bottom"/>
          </w:tcPr>
          <w:p>
            <w:pPr>
              <w:spacing w:after="0"/>
              <w:rPr>
                <w:sz w:val="16"/>
                <w:szCs w:val="16"/>
                <w:color w:val="auto"/>
              </w:rPr>
            </w:pPr>
          </w:p>
        </w:tc>
        <w:tc>
          <w:tcPr>
            <w:tcW w:w="560" w:type="dxa"/>
            <w:vAlign w:val="bottom"/>
            <w:tcBorders>
              <w:top w:val="single" w:sz="8" w:color="auto"/>
            </w:tcBorders>
          </w:tcPr>
          <w:p>
            <w:pPr>
              <w:spacing w:after="0" w:line="194" w:lineRule="exact"/>
              <w:rPr>
                <w:sz w:val="20"/>
                <w:szCs w:val="20"/>
                <w:color w:val="auto"/>
              </w:rPr>
            </w:pPr>
            <w:r>
              <w:rPr>
                <w:rFonts w:ascii="Arial" w:cs="Arial" w:eastAsia="Arial" w:hAnsi="Arial"/>
                <w:sz w:val="18"/>
                <w:szCs w:val="18"/>
                <w:color w:val="auto"/>
              </w:rPr>
              <w:t>Name:</w:t>
            </w:r>
          </w:p>
        </w:tc>
        <w:tc>
          <w:tcPr>
            <w:tcW w:w="4020" w:type="dxa"/>
            <w:vAlign w:val="bottom"/>
            <w:tcBorders>
              <w:top w:val="single" w:sz="8" w:color="auto"/>
            </w:tcBorders>
          </w:tcPr>
          <w:p>
            <w:pPr>
              <w:ind w:left="100"/>
              <w:spacing w:after="0" w:line="194" w:lineRule="exact"/>
              <w:rPr>
                <w:sz w:val="20"/>
                <w:szCs w:val="20"/>
                <w:color w:val="auto"/>
              </w:rPr>
            </w:pPr>
            <w:r>
              <w:rPr>
                <w:rFonts w:ascii="Arial" w:cs="Arial" w:eastAsia="Arial" w:hAnsi="Arial"/>
                <w:sz w:val="18"/>
                <w:szCs w:val="18"/>
                <w:color w:val="auto"/>
              </w:rPr>
              <w:t>Daniel L. Heard</w:t>
            </w:r>
          </w:p>
        </w:tc>
        <w:tc>
          <w:tcPr>
            <w:tcW w:w="20" w:type="dxa"/>
            <w:vAlign w:val="bottom"/>
          </w:tcPr>
          <w:p>
            <w:pPr>
              <w:spacing w:after="0"/>
              <w:rPr>
                <w:sz w:val="16"/>
                <w:szCs w:val="16"/>
                <w:color w:val="auto"/>
              </w:rPr>
            </w:pPr>
          </w:p>
        </w:tc>
      </w:tr>
      <w:tr>
        <w:trPr>
          <w:trHeight w:val="213"/>
        </w:trPr>
        <w:tc>
          <w:tcPr>
            <w:tcW w:w="580" w:type="dxa"/>
            <w:vAlign w:val="bottom"/>
          </w:tcPr>
          <w:p>
            <w:pPr>
              <w:spacing w:after="0"/>
              <w:rPr>
                <w:sz w:val="18"/>
                <w:szCs w:val="18"/>
                <w:color w:val="auto"/>
              </w:rPr>
            </w:pPr>
          </w:p>
        </w:tc>
        <w:tc>
          <w:tcPr>
            <w:tcW w:w="560" w:type="dxa"/>
            <w:vAlign w:val="bottom"/>
          </w:tcPr>
          <w:p>
            <w:pPr>
              <w:spacing w:after="0"/>
              <w:rPr>
                <w:sz w:val="20"/>
                <w:szCs w:val="20"/>
                <w:color w:val="auto"/>
              </w:rPr>
            </w:pPr>
            <w:r>
              <w:rPr>
                <w:rFonts w:ascii="Arial" w:cs="Arial" w:eastAsia="Arial" w:hAnsi="Arial"/>
                <w:sz w:val="18"/>
                <w:szCs w:val="18"/>
                <w:color w:val="auto"/>
              </w:rPr>
              <w:t>Title:</w:t>
            </w:r>
          </w:p>
        </w:tc>
        <w:tc>
          <w:tcPr>
            <w:tcW w:w="4040" w:type="dxa"/>
            <w:vAlign w:val="bottom"/>
            <w:gridSpan w:val="2"/>
          </w:tcPr>
          <w:p>
            <w:pPr>
              <w:ind w:left="100"/>
              <w:spacing w:after="0"/>
              <w:rPr>
                <w:sz w:val="20"/>
                <w:szCs w:val="20"/>
                <w:color w:val="auto"/>
              </w:rPr>
            </w:pPr>
            <w:r>
              <w:rPr>
                <w:rFonts w:ascii="Arial" w:cs="Arial" w:eastAsia="Arial" w:hAnsi="Arial"/>
                <w:sz w:val="18"/>
                <w:szCs w:val="18"/>
                <w:color w:val="auto"/>
                <w:w w:val="93"/>
              </w:rPr>
              <w:t>Executive  Vice  President  –  General  Counsel  and</w:t>
            </w:r>
          </w:p>
        </w:tc>
      </w:tr>
      <w:tr>
        <w:trPr>
          <w:trHeight w:val="226"/>
        </w:trPr>
        <w:tc>
          <w:tcPr>
            <w:tcW w:w="5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040" w:type="dxa"/>
            <w:vAlign w:val="bottom"/>
            <w:gridSpan w:val="2"/>
          </w:tcPr>
          <w:p>
            <w:pPr>
              <w:ind w:left="100"/>
              <w:spacing w:after="0"/>
              <w:rPr>
                <w:sz w:val="20"/>
                <w:szCs w:val="20"/>
                <w:color w:val="auto"/>
              </w:rPr>
            </w:pPr>
            <w:r>
              <w:rPr>
                <w:rFonts w:ascii="Arial" w:cs="Arial" w:eastAsia="Arial" w:hAnsi="Arial"/>
                <w:sz w:val="18"/>
                <w:szCs w:val="18"/>
                <w:color w:val="auto"/>
              </w:rPr>
              <w:t>Secretary</w:t>
            </w:r>
          </w:p>
        </w:tc>
      </w:tr>
    </w:tbl>
    <w:p>
      <w:pPr>
        <w:sectPr>
          <w:pgSz w:w="11900" w:h="16838" w:orient="portrait"/>
          <w:cols w:equalWidth="0" w:num="1">
            <w:col w:w="11240"/>
          </w:cols>
          <w:pgMar w:left="320" w:top="575" w:right="339" w:bottom="1440" w:gutter="0" w:footer="0" w:header="0"/>
        </w:sectPr>
      </w:pPr>
    </w:p>
    <w:bookmarkStart w:id="3" w:name="page4"/>
    <w:bookmarkEnd w:id="3"/>
    <w:p>
      <w:pPr>
        <w:jc w:val="right"/>
        <w:spacing w:after="0"/>
        <w:rPr>
          <w:sz w:val="20"/>
          <w:szCs w:val="20"/>
          <w:color w:val="auto"/>
        </w:rPr>
      </w:pPr>
      <w:r>
        <w:rPr>
          <w:sz w:val="1"/>
          <w:szCs w:val="1"/>
          <w:color w:val="auto"/>
        </w:rPr>
        <w:drawing>
          <wp:inline distT="0" distB="0" distL="0" distR="0">
            <wp:extent cx="1728470" cy="720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728470" cy="720090"/>
                    </a:xfrm>
                    <a:prstGeom prst="rect">
                      <a:avLst/>
                    </a:prstGeom>
                    <a:noFill/>
                    <a:ln>
                      <a:noFill/>
                    </a:ln>
                  </pic:spPr>
                </pic:pic>
              </a:graphicData>
            </a:graphic>
          </wp:inline>
        </w:drawing>
      </w:r>
      <w:r>
        <w:rPr>
          <w:rFonts w:ascii="Arial" w:cs="Arial" w:eastAsia="Arial" w:hAnsi="Arial"/>
          <w:sz w:val="18"/>
          <w:szCs w:val="18"/>
          <w:color w:val="auto"/>
        </w:rPr>
        <w:t>Exhibit 99.1</w:t>
      </w:r>
    </w:p>
    <w:p>
      <w:pPr>
        <w:spacing w:after="0" w:line="200" w:lineRule="exact"/>
        <w:rPr>
          <w:sz w:val="20"/>
          <w:szCs w:val="20"/>
          <w:color w:val="auto"/>
        </w:rPr>
      </w:pPr>
    </w:p>
    <w:p>
      <w:pPr>
        <w:spacing w:after="0" w:line="214" w:lineRule="exact"/>
        <w:rPr>
          <w:sz w:val="20"/>
          <w:szCs w:val="20"/>
          <w:color w:val="auto"/>
        </w:rPr>
      </w:pPr>
    </w:p>
    <w:p>
      <w:pPr>
        <w:jc w:val="right"/>
        <w:spacing w:after="0"/>
        <w:rPr>
          <w:sz w:val="20"/>
          <w:szCs w:val="20"/>
          <w:color w:val="auto"/>
        </w:rPr>
      </w:pPr>
      <w:r>
        <w:rPr>
          <w:rFonts w:ascii="Arial" w:cs="Arial" w:eastAsia="Arial" w:hAnsi="Arial"/>
          <w:sz w:val="25"/>
          <w:szCs w:val="25"/>
          <w:b w:val="1"/>
          <w:bCs w:val="1"/>
          <w:color w:val="auto"/>
        </w:rPr>
        <w:t>Press Release</w:t>
      </w:r>
    </w:p>
    <w:p>
      <w:pPr>
        <w:spacing w:after="0" w:line="162" w:lineRule="exact"/>
        <w:rPr>
          <w:sz w:val="20"/>
          <w:szCs w:val="20"/>
          <w:color w:val="auto"/>
        </w:rPr>
      </w:pPr>
    </w:p>
    <w:p>
      <w:pPr>
        <w:jc w:val="right"/>
        <w:spacing w:after="0"/>
        <w:rPr>
          <w:sz w:val="20"/>
          <w:szCs w:val="20"/>
          <w:color w:val="auto"/>
        </w:rPr>
      </w:pPr>
      <w:r>
        <w:rPr>
          <w:rFonts w:ascii="Arial" w:cs="Arial" w:eastAsia="Arial" w:hAnsi="Arial"/>
          <w:sz w:val="21"/>
          <w:szCs w:val="21"/>
          <w:color w:val="auto"/>
        </w:rPr>
        <w:t>Release date: February 25, 2022</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Uniti Group Inc. Provides 2022 Outlook and Reports Fourth Quarter and Full Year 2021 Results</w:t>
      </w:r>
    </w:p>
    <w:p>
      <w:pPr>
        <w:spacing w:after="0" w:line="220" w:lineRule="exact"/>
        <w:rPr>
          <w:sz w:val="20"/>
          <w:szCs w:val="20"/>
          <w:color w:val="auto"/>
        </w:rPr>
      </w:pPr>
    </w:p>
    <w:p>
      <w:pPr>
        <w:ind w:left="1260"/>
        <w:spacing w:after="0"/>
        <w:rPr>
          <w:sz w:val="20"/>
          <w:szCs w:val="20"/>
          <w:color w:val="auto"/>
        </w:rPr>
      </w:pPr>
      <w:r>
        <w:rPr>
          <w:rFonts w:ascii="Arial" w:cs="Arial" w:eastAsia="Arial" w:hAnsi="Arial"/>
          <w:sz w:val="20"/>
          <w:szCs w:val="20"/>
          <w:b w:val="1"/>
          <w:bCs w:val="1"/>
          <w:i w:val="1"/>
          <w:iCs w:val="1"/>
          <w:color w:val="auto"/>
        </w:rPr>
        <w:t>Third Consecutive Quarter of Consolidated Bookings of ~$1 Million in Monthly Recurring Revenue</w:t>
      </w:r>
    </w:p>
    <w:p>
      <w:pPr>
        <w:spacing w:after="0" w:line="224" w:lineRule="exact"/>
        <w:rPr>
          <w:sz w:val="20"/>
          <w:szCs w:val="20"/>
          <w:color w:val="auto"/>
        </w:rPr>
      </w:pPr>
    </w:p>
    <w:p>
      <w:pPr>
        <w:ind w:left="400" w:hanging="300"/>
        <w:spacing w:after="0"/>
        <w:tabs>
          <w:tab w:leader="none" w:pos="40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Net Income of $0.15 and $0.51 Per Diluted Common Share for the Fourth Quarter and Full Year</w:t>
      </w:r>
    </w:p>
    <w:p>
      <w:pPr>
        <w:spacing w:after="0" w:line="20" w:lineRule="exact"/>
        <w:rPr>
          <w:rFonts w:ascii="Arial" w:cs="Arial" w:eastAsia="Arial" w:hAnsi="Arial"/>
          <w:sz w:val="20"/>
          <w:szCs w:val="20"/>
          <w:color w:val="auto"/>
        </w:rPr>
      </w:pPr>
    </w:p>
    <w:p>
      <w:pPr>
        <w:ind w:left="400" w:hanging="300"/>
        <w:spacing w:after="0" w:line="236" w:lineRule="auto"/>
        <w:tabs>
          <w:tab w:leader="none" w:pos="40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Adjusted EBITDA and AFFO Grew 7% and 10% for the Full Year, Respectively, from the Prior Full Year</w:t>
      </w:r>
    </w:p>
    <w:p>
      <w:pPr>
        <w:ind w:left="400" w:hanging="300"/>
        <w:spacing w:after="0" w:line="236" w:lineRule="auto"/>
        <w:tabs>
          <w:tab w:leader="none" w:pos="40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AFFO Per Diluted Common Share of $0.44 and $1.68 for the Fourth Quarter and Full Year</w:t>
      </w:r>
    </w:p>
    <w:p>
      <w:pPr>
        <w:ind w:left="400" w:hanging="300"/>
        <w:spacing w:after="0"/>
        <w:tabs>
          <w:tab w:leader="none" w:pos="40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Introduces 2022 Outlook</w:t>
      </w:r>
    </w:p>
    <w:p>
      <w:pPr>
        <w:spacing w:after="0" w:line="290" w:lineRule="exact"/>
        <w:rPr>
          <w:sz w:val="20"/>
          <w:szCs w:val="20"/>
          <w:color w:val="auto"/>
        </w:rPr>
      </w:pPr>
    </w:p>
    <w:p>
      <w:pPr>
        <w:jc w:val="both"/>
        <w:ind w:right="20"/>
        <w:spacing w:after="0" w:line="234" w:lineRule="auto"/>
        <w:rPr>
          <w:sz w:val="20"/>
          <w:szCs w:val="20"/>
          <w:color w:val="auto"/>
        </w:rPr>
      </w:pPr>
      <w:r>
        <w:rPr>
          <w:rFonts w:ascii="Arial" w:cs="Arial" w:eastAsia="Arial" w:hAnsi="Arial"/>
          <w:sz w:val="20"/>
          <w:szCs w:val="20"/>
          <w:color w:val="auto"/>
        </w:rPr>
        <w:t>LITTLE ROCK, Ark., February 25, 2022 (GLOBE NEWSWIRE) – Uniti Group Inc. (“Uniti” or the “Company”) (Nasdaq: UNIT) today announced its results for the fourth quarter and full year 2021.</w:t>
      </w:r>
    </w:p>
    <w:p>
      <w:pPr>
        <w:spacing w:after="0" w:line="112" w:lineRule="exact"/>
        <w:rPr>
          <w:sz w:val="20"/>
          <w:szCs w:val="20"/>
          <w:color w:val="auto"/>
        </w:rPr>
      </w:pPr>
    </w:p>
    <w:p>
      <w:pPr>
        <w:jc w:val="both"/>
        <w:spacing w:after="0" w:line="230" w:lineRule="auto"/>
        <w:rPr>
          <w:sz w:val="20"/>
          <w:szCs w:val="20"/>
          <w:color w:val="auto"/>
        </w:rPr>
      </w:pPr>
      <w:r>
        <w:rPr>
          <w:rFonts w:ascii="Arial" w:cs="Arial" w:eastAsia="Arial" w:hAnsi="Arial"/>
          <w:sz w:val="20"/>
          <w:szCs w:val="20"/>
          <w:color w:val="auto"/>
        </w:rPr>
        <w:t>“Our national network of 128,000 route miles of fiber is one of the largest and most robust in the country. We added nearly 6,000 route miles of valuable fiber in 2021 and capped off a terrific year of performance by adding $3.5 million of new consolidated bookings, a 40% increase over 2020,” commented Kenny Gunderman, President and Chief Executive Officer.</w:t>
      </w:r>
    </w:p>
    <w:p>
      <w:pPr>
        <w:spacing w:after="0" w:line="126" w:lineRule="exact"/>
        <w:rPr>
          <w:sz w:val="20"/>
          <w:szCs w:val="20"/>
          <w:color w:val="auto"/>
        </w:rPr>
      </w:pPr>
    </w:p>
    <w:p>
      <w:pPr>
        <w:jc w:val="both"/>
        <w:spacing w:after="0" w:line="230" w:lineRule="auto"/>
        <w:rPr>
          <w:sz w:val="20"/>
          <w:szCs w:val="20"/>
          <w:color w:val="auto"/>
        </w:rPr>
      </w:pPr>
      <w:r>
        <w:rPr>
          <w:rFonts w:ascii="Arial" w:cs="Arial" w:eastAsia="Arial" w:hAnsi="Arial"/>
          <w:sz w:val="20"/>
          <w:szCs w:val="20"/>
          <w:color w:val="auto"/>
        </w:rPr>
        <w:t>Mr. Gunderman continued, “Trends in the communications infrastructure space have never been better, and Uniti remains uniquely positioned to benefit from the continued proliferation of broadband growth, fiber-to-the-home, small cells and national transport.”</w:t>
      </w:r>
    </w:p>
    <w:p>
      <w:pPr>
        <w:spacing w:after="0" w:line="10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QUARTERLY RESULTS</w:t>
      </w:r>
    </w:p>
    <w:p>
      <w:pPr>
        <w:spacing w:after="0" w:line="141" w:lineRule="exact"/>
        <w:rPr>
          <w:sz w:val="20"/>
          <w:szCs w:val="20"/>
          <w:color w:val="auto"/>
        </w:rPr>
      </w:pPr>
    </w:p>
    <w:p>
      <w:pPr>
        <w:jc w:val="both"/>
        <w:spacing w:after="0" w:line="228" w:lineRule="auto"/>
        <w:rPr>
          <w:sz w:val="20"/>
          <w:szCs w:val="20"/>
          <w:color w:val="auto"/>
        </w:rPr>
      </w:pPr>
      <w:r>
        <w:rPr>
          <w:rFonts w:ascii="Arial" w:cs="Arial" w:eastAsia="Arial" w:hAnsi="Arial"/>
          <w:sz w:val="20"/>
          <w:szCs w:val="20"/>
          <w:color w:val="auto"/>
        </w:rPr>
        <w:t>Consolidated revenues for the fourth quarter of 2021 were $293.0 million. Net income and Adjusted EBITDA were $35.9 million and $231.1 million, respectively, for the same period. Net income attributable to common shares was $35.6 million for the period. Adjusted Funds From Operations (“AFFO”) attributable to common shareholders was $114.0 million, or $0.44 per diluted common share, an increase of 7% when compared to the fourth quarter of 2020.</w:t>
      </w:r>
    </w:p>
    <w:p>
      <w:pPr>
        <w:spacing w:after="0" w:line="127" w:lineRule="exact"/>
        <w:rPr>
          <w:sz w:val="20"/>
          <w:szCs w:val="20"/>
          <w:color w:val="auto"/>
        </w:rPr>
      </w:pPr>
    </w:p>
    <w:p>
      <w:pPr>
        <w:jc w:val="both"/>
        <w:spacing w:after="0" w:line="230" w:lineRule="auto"/>
        <w:rPr>
          <w:sz w:val="20"/>
          <w:szCs w:val="20"/>
          <w:color w:val="auto"/>
        </w:rPr>
      </w:pPr>
      <w:r>
        <w:rPr>
          <w:rFonts w:ascii="Arial" w:cs="Arial" w:eastAsia="Arial" w:hAnsi="Arial"/>
          <w:sz w:val="20"/>
          <w:szCs w:val="20"/>
          <w:color w:val="auto"/>
        </w:rPr>
        <w:t>Uniti Fiber contributed $82.0 million of revenues and $31.7 million of Adjusted EBITDA for the fourth quarter of 2021, achieving Adjusted EBITDA margins of approximately 39%. Uniti Fiber’s net success-based capital expenditures during the quarter were $33.8 million.</w:t>
      </w:r>
    </w:p>
    <w:p>
      <w:pPr>
        <w:spacing w:after="0" w:line="126" w:lineRule="exact"/>
        <w:rPr>
          <w:sz w:val="20"/>
          <w:szCs w:val="20"/>
          <w:color w:val="auto"/>
        </w:rPr>
      </w:pPr>
    </w:p>
    <w:p>
      <w:pPr>
        <w:jc w:val="both"/>
        <w:spacing w:after="0" w:line="230" w:lineRule="auto"/>
        <w:rPr>
          <w:sz w:val="20"/>
          <w:szCs w:val="20"/>
          <w:color w:val="auto"/>
        </w:rPr>
      </w:pPr>
      <w:r>
        <w:rPr>
          <w:rFonts w:ascii="Arial" w:cs="Arial" w:eastAsia="Arial" w:hAnsi="Arial"/>
          <w:sz w:val="20"/>
          <w:szCs w:val="20"/>
          <w:color w:val="auto"/>
        </w:rPr>
        <w:t>Uniti Leasing contributed revenues of $211.0 million and Adjusted EBITDA of $206.1 million for the fourth quarter, representing growth of 9% and 8%, respectively, when compared to the fourth quarter of 2020. Revenue and Adjusted EBITDA in the fourth quarter both include a one-time non-cash adjustment to</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833" w:right="339" w:bottom="1440" w:gutter="0" w:footer="0" w:header="0"/>
        </w:sectPr>
      </w:pPr>
    </w:p>
    <w:bookmarkStart w:id="4" w:name="page5"/>
    <w:bookmarkEnd w:id="4"/>
    <w:p>
      <w:pPr>
        <w:jc w:val="both"/>
        <w:spacing w:after="0" w:line="234" w:lineRule="auto"/>
        <w:rPr>
          <w:sz w:val="20"/>
          <w:szCs w:val="20"/>
          <w:color w:val="auto"/>
        </w:rPr>
      </w:pPr>
      <w:r>
        <w:rPr>
          <w:rFonts w:ascii="Arial" w:cs="Arial" w:eastAsia="Arial" w:hAnsi="Arial"/>
          <w:sz w:val="20"/>
          <w:szCs w:val="20"/>
          <w:color w:val="auto"/>
        </w:rPr>
        <w:t>straight-line revenue of $ 8 million. During the quarter, Uniti Leasing deployed capital expenditures of $70.9 million primarily related to the construction of approximately 1,900 new route miles of valuable fiber infrastructure.</w:t>
      </w:r>
    </w:p>
    <w:p>
      <w:pPr>
        <w:spacing w:after="0" w:line="10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FULL YEAR RESULTS</w:t>
      </w:r>
    </w:p>
    <w:p>
      <w:pPr>
        <w:spacing w:after="0" w:line="141" w:lineRule="exact"/>
        <w:rPr>
          <w:sz w:val="20"/>
          <w:szCs w:val="20"/>
          <w:color w:val="auto"/>
        </w:rPr>
      </w:pPr>
    </w:p>
    <w:p>
      <w:pPr>
        <w:jc w:val="both"/>
        <w:spacing w:after="0" w:line="228" w:lineRule="auto"/>
        <w:rPr>
          <w:sz w:val="20"/>
          <w:szCs w:val="20"/>
          <w:color w:val="auto"/>
        </w:rPr>
      </w:pPr>
      <w:r>
        <w:rPr>
          <w:rFonts w:ascii="Arial" w:cs="Arial" w:eastAsia="Arial" w:hAnsi="Arial"/>
          <w:sz w:val="20"/>
          <w:szCs w:val="20"/>
          <w:color w:val="auto"/>
        </w:rPr>
        <w:t>Consolidated revenues for the year ended December 31, 2021 were $1.1 billion. Net income and Adjusted EBITDA were $124.7 million and $878.3 million, respectively, for the same period. Net income attributable to common shares was $122.6 million for the period. Adjusted Funds From Operations (“AFFO”) attributable to common shareholders was $430.3 million, or $1.68 per diluted common share.</w:t>
      </w:r>
    </w:p>
    <w:p>
      <w:pPr>
        <w:spacing w:after="0" w:line="127" w:lineRule="exact"/>
        <w:rPr>
          <w:sz w:val="20"/>
          <w:szCs w:val="20"/>
          <w:color w:val="auto"/>
        </w:rPr>
      </w:pPr>
    </w:p>
    <w:p>
      <w:pPr>
        <w:jc w:val="both"/>
        <w:spacing w:after="0" w:line="230" w:lineRule="auto"/>
        <w:rPr>
          <w:sz w:val="20"/>
          <w:szCs w:val="20"/>
          <w:color w:val="auto"/>
        </w:rPr>
      </w:pPr>
      <w:r>
        <w:rPr>
          <w:rFonts w:ascii="Arial" w:cs="Arial" w:eastAsia="Arial" w:hAnsi="Arial"/>
          <w:sz w:val="20"/>
          <w:szCs w:val="20"/>
          <w:color w:val="auto"/>
        </w:rPr>
        <w:t>Uniti Fiber contributed $299.0 million of revenues and $118.5 million of Adjusted EBITDA for the full year of 2021, achieving Adjusted EBITDA margins of approximately 40%, up from 36% Adjusted EBITDA margins for the full year of 2020. Uniti Fiber’s net success-based capital expenditures for the full year of 2021 were $136.1 million.</w:t>
      </w:r>
    </w:p>
    <w:p>
      <w:pPr>
        <w:spacing w:after="0" w:line="126" w:lineRule="exact"/>
        <w:rPr>
          <w:sz w:val="20"/>
          <w:szCs w:val="20"/>
          <w:color w:val="auto"/>
        </w:rPr>
      </w:pPr>
    </w:p>
    <w:p>
      <w:pPr>
        <w:jc w:val="both"/>
        <w:spacing w:after="0" w:line="228" w:lineRule="auto"/>
        <w:rPr>
          <w:sz w:val="20"/>
          <w:szCs w:val="20"/>
          <w:color w:val="auto"/>
        </w:rPr>
      </w:pPr>
      <w:r>
        <w:rPr>
          <w:rFonts w:ascii="Arial" w:cs="Arial" w:eastAsia="Arial" w:hAnsi="Arial"/>
          <w:sz w:val="20"/>
          <w:szCs w:val="20"/>
          <w:color w:val="auto"/>
        </w:rPr>
        <w:t>Uniti Leasing contributed revenues of $801.5 million and Adjusted EBITDA of $784.1 million for the full year of 2021, representing growth of 7% and 6%, respectively, when compared to the full year of 2020. For the full year of 2021, Uniti Leasing deployed capital expenditures of $225.7 million primarily related to the construction of approximately 5,500 new route miles of valuable fiber infrastructure.</w:t>
      </w:r>
    </w:p>
    <w:p>
      <w:pPr>
        <w:spacing w:after="0" w:line="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LIQUIDITY</w:t>
      </w:r>
    </w:p>
    <w:p>
      <w:pPr>
        <w:spacing w:after="0" w:line="154" w:lineRule="exact"/>
        <w:rPr>
          <w:sz w:val="20"/>
          <w:szCs w:val="20"/>
          <w:color w:val="auto"/>
        </w:rPr>
      </w:pPr>
    </w:p>
    <w:p>
      <w:pPr>
        <w:jc w:val="both"/>
        <w:spacing w:after="0" w:line="230" w:lineRule="auto"/>
        <w:rPr>
          <w:sz w:val="20"/>
          <w:szCs w:val="20"/>
          <w:color w:val="auto"/>
        </w:rPr>
      </w:pPr>
      <w:r>
        <w:rPr>
          <w:rFonts w:ascii="Arial" w:cs="Arial" w:eastAsia="Arial" w:hAnsi="Arial"/>
          <w:sz w:val="20"/>
          <w:szCs w:val="20"/>
          <w:color w:val="auto"/>
        </w:rPr>
        <w:t>At year-end, the Company had approximately $419.4 million of unrestricted cash and cash equivalents, and undrawn borrowing availability under its revolving credit agreement. The Company’s leverage ratio at year-end was 5.55x based on net debt to fourth quarter 2021 annualized Adjusted EBITDA.</w:t>
      </w:r>
    </w:p>
    <w:p>
      <w:pPr>
        <w:spacing w:after="0" w:line="126"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On February 24, 2022, the Company’s Board of Directors declared a quarterly cash dividend of $0.15 per common share, payable on April 15, 2022, to stockholders of record on April 1, 2022.</w:t>
      </w:r>
    </w:p>
    <w:p>
      <w:pPr>
        <w:spacing w:after="0" w:line="8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FULL YEAR 2022 OUTLOOK</w:t>
      </w:r>
    </w:p>
    <w:p>
      <w:pPr>
        <w:spacing w:after="0" w:line="154"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Our 2022 outlook excludes future acquisitions, capital market transactions, and future transaction-related and other costs not mentioned herein.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830" w:right="3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5"/>
        </w:trPr>
        <w:tc>
          <w:tcPr>
            <w:tcW w:w="7340" w:type="dxa"/>
            <w:vAlign w:val="bottom"/>
          </w:tcPr>
          <w:p>
            <w:pPr>
              <w:spacing w:after="0"/>
              <w:rPr>
                <w:sz w:val="20"/>
                <w:szCs w:val="20"/>
                <w:color w:val="auto"/>
              </w:rPr>
            </w:pPr>
            <w:r>
              <w:rPr>
                <w:rFonts w:ascii="Arial" w:cs="Arial" w:eastAsia="Arial" w:hAnsi="Arial"/>
                <w:sz w:val="20"/>
                <w:szCs w:val="20"/>
                <w:color w:val="auto"/>
              </w:rPr>
              <w:t>The Company’s consolidated outlook for 2022 is as follows (in millions):</w:t>
            </w:r>
          </w:p>
        </w:tc>
        <w:tc>
          <w:tcPr>
            <w:tcW w:w="6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0"/>
        </w:trPr>
        <w:tc>
          <w:tcPr>
            <w:tcW w:w="7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980" w:type="dxa"/>
            <w:vAlign w:val="bottom"/>
            <w:gridSpan w:val="2"/>
          </w:tcPr>
          <w:p>
            <w:pPr>
              <w:ind w:left="420"/>
              <w:spacing w:after="0"/>
              <w:rPr>
                <w:sz w:val="20"/>
                <w:szCs w:val="20"/>
                <w:color w:val="auto"/>
              </w:rPr>
            </w:pPr>
            <w:r>
              <w:rPr>
                <w:rFonts w:ascii="Arial" w:cs="Arial" w:eastAsia="Arial" w:hAnsi="Arial"/>
                <w:sz w:val="20"/>
                <w:szCs w:val="20"/>
                <w:b w:val="1"/>
                <w:bCs w:val="1"/>
                <w:color w:val="auto"/>
              </w:rPr>
              <w:t>Full Year 2022</w:t>
            </w: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7340" w:type="dxa"/>
            <w:vAlign w:val="bottom"/>
            <w:vMerge w:val="restart"/>
          </w:tcPr>
          <w:p>
            <w:pPr>
              <w:spacing w:after="0"/>
              <w:rPr>
                <w:sz w:val="20"/>
                <w:szCs w:val="20"/>
                <w:color w:val="auto"/>
              </w:rPr>
            </w:pPr>
            <w:r>
              <w:rPr>
                <w:rFonts w:ascii="Arial" w:cs="Arial" w:eastAsia="Arial" w:hAnsi="Arial"/>
                <w:sz w:val="20"/>
                <w:szCs w:val="20"/>
                <w:color w:val="auto"/>
              </w:rPr>
              <w:t>Revenue</w:t>
            </w:r>
          </w:p>
        </w:tc>
        <w:tc>
          <w:tcPr>
            <w:tcW w:w="60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00" w:type="dxa"/>
            <w:vAlign w:val="bottom"/>
          </w:tcPr>
          <w:p>
            <w:pPr>
              <w:spacing w:after="0"/>
              <w:rPr>
                <w:sz w:val="3"/>
                <w:szCs w:val="3"/>
                <w:color w:val="auto"/>
              </w:rPr>
            </w:pPr>
          </w:p>
        </w:tc>
        <w:tc>
          <w:tcPr>
            <w:tcW w:w="76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28"/>
        </w:trPr>
        <w:tc>
          <w:tcPr>
            <w:tcW w:w="7340" w:type="dxa"/>
            <w:vAlign w:val="bottom"/>
            <w:vMerge w:val="continue"/>
          </w:tcPr>
          <w:p>
            <w:pPr>
              <w:spacing w:after="0"/>
              <w:rPr>
                <w:sz w:val="19"/>
                <w:szCs w:val="19"/>
                <w:color w:val="auto"/>
              </w:rPr>
            </w:pPr>
          </w:p>
        </w:tc>
        <w:tc>
          <w:tcPr>
            <w:tcW w:w="600" w:type="dxa"/>
            <w:vAlign w:val="bottom"/>
            <w:tcBorders>
              <w:top w:val="single" w:sz="8" w:color="auto"/>
            </w:tcBorders>
          </w:tcPr>
          <w:p>
            <w:pPr>
              <w:jc w:val="right"/>
              <w:ind w:right="222"/>
              <w:spacing w:after="0" w:line="229" w:lineRule="exact"/>
              <w:rPr>
                <w:sz w:val="20"/>
                <w:szCs w:val="20"/>
                <w:color w:val="auto"/>
              </w:rPr>
            </w:pPr>
            <w:r>
              <w:rPr>
                <w:rFonts w:ascii="Arial" w:cs="Arial" w:eastAsia="Arial" w:hAnsi="Arial"/>
                <w:sz w:val="20"/>
                <w:szCs w:val="20"/>
                <w:color w:val="auto"/>
              </w:rPr>
              <w:t>$</w:t>
            </w:r>
          </w:p>
        </w:tc>
        <w:tc>
          <w:tcPr>
            <w:tcW w:w="980" w:type="dxa"/>
            <w:vAlign w:val="bottom"/>
            <w:tcBorders>
              <w:top w:val="single" w:sz="8" w:color="auto"/>
            </w:tcBorders>
          </w:tcPr>
          <w:p>
            <w:pPr>
              <w:jc w:val="right"/>
              <w:ind w:right="82"/>
              <w:spacing w:after="0" w:line="229" w:lineRule="exact"/>
              <w:rPr>
                <w:sz w:val="20"/>
                <w:szCs w:val="20"/>
                <w:color w:val="auto"/>
              </w:rPr>
            </w:pPr>
            <w:r>
              <w:rPr>
                <w:rFonts w:ascii="Arial" w:cs="Arial" w:eastAsia="Arial" w:hAnsi="Arial"/>
                <w:sz w:val="20"/>
                <w:szCs w:val="20"/>
                <w:color w:val="auto"/>
              </w:rPr>
              <w:t>1,118</w:t>
            </w:r>
          </w:p>
        </w:tc>
        <w:tc>
          <w:tcPr>
            <w:tcW w:w="1000" w:type="dxa"/>
            <w:vAlign w:val="bottom"/>
            <w:tcBorders>
              <w:top w:val="single" w:sz="8" w:color="auto"/>
            </w:tcBorders>
          </w:tcPr>
          <w:p>
            <w:pPr>
              <w:ind w:left="180"/>
              <w:spacing w:after="0" w:line="229" w:lineRule="exact"/>
              <w:rPr>
                <w:sz w:val="20"/>
                <w:szCs w:val="20"/>
                <w:color w:val="auto"/>
              </w:rPr>
            </w:pPr>
            <w:r>
              <w:rPr>
                <w:rFonts w:ascii="Arial" w:cs="Arial" w:eastAsia="Arial" w:hAnsi="Arial"/>
                <w:sz w:val="20"/>
                <w:szCs w:val="20"/>
                <w:color w:val="auto"/>
              </w:rPr>
              <w:t>to  $</w:t>
            </w:r>
          </w:p>
        </w:tc>
        <w:tc>
          <w:tcPr>
            <w:tcW w:w="740" w:type="dxa"/>
            <w:vAlign w:val="bottom"/>
            <w:tcBorders>
              <w:top w:val="single" w:sz="8" w:color="auto"/>
            </w:tcBorders>
          </w:tcPr>
          <w:p>
            <w:pPr>
              <w:jc w:val="right"/>
              <w:spacing w:after="0" w:line="229" w:lineRule="exact"/>
              <w:rPr>
                <w:sz w:val="20"/>
                <w:szCs w:val="20"/>
                <w:color w:val="auto"/>
              </w:rPr>
            </w:pPr>
            <w:r>
              <w:rPr>
                <w:rFonts w:ascii="Arial" w:cs="Arial" w:eastAsia="Arial" w:hAnsi="Arial"/>
                <w:sz w:val="20"/>
                <w:szCs w:val="20"/>
                <w:color w:val="auto"/>
              </w:rPr>
              <w:t>1,136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0"/>
        </w:trPr>
        <w:tc>
          <w:tcPr>
            <w:tcW w:w="7340" w:type="dxa"/>
            <w:vAlign w:val="bottom"/>
          </w:tcPr>
          <w:p>
            <w:pPr>
              <w:spacing w:after="0"/>
              <w:rPr>
                <w:sz w:val="20"/>
                <w:szCs w:val="20"/>
                <w:color w:val="auto"/>
              </w:rPr>
            </w:pPr>
            <w:r>
              <w:rPr>
                <w:rFonts w:ascii="Arial" w:cs="Arial" w:eastAsia="Arial" w:hAnsi="Arial"/>
                <w:sz w:val="20"/>
                <w:szCs w:val="20"/>
                <w:color w:val="auto"/>
              </w:rPr>
              <w:t>Net income attributable to common shareholders</w:t>
            </w:r>
          </w:p>
        </w:tc>
        <w:tc>
          <w:tcPr>
            <w:tcW w:w="600" w:type="dxa"/>
            <w:vAlign w:val="bottom"/>
          </w:tcPr>
          <w:p>
            <w:pPr>
              <w:spacing w:after="0"/>
              <w:rPr>
                <w:sz w:val="21"/>
                <w:szCs w:val="21"/>
                <w:color w:val="auto"/>
              </w:rPr>
            </w:pPr>
          </w:p>
        </w:tc>
        <w:tc>
          <w:tcPr>
            <w:tcW w:w="980" w:type="dxa"/>
            <w:vAlign w:val="bottom"/>
          </w:tcPr>
          <w:p>
            <w:pPr>
              <w:jc w:val="right"/>
              <w:ind w:right="82"/>
              <w:spacing w:after="0"/>
              <w:rPr>
                <w:sz w:val="20"/>
                <w:szCs w:val="20"/>
                <w:color w:val="auto"/>
              </w:rPr>
            </w:pPr>
            <w:r>
              <w:rPr>
                <w:rFonts w:ascii="Arial" w:cs="Arial" w:eastAsia="Arial" w:hAnsi="Arial"/>
                <w:sz w:val="20"/>
                <w:szCs w:val="20"/>
                <w:color w:val="auto"/>
              </w:rPr>
              <w:t>185</w:t>
            </w:r>
          </w:p>
        </w:tc>
        <w:tc>
          <w:tcPr>
            <w:tcW w:w="1000" w:type="dxa"/>
            <w:vAlign w:val="bottom"/>
          </w:tcPr>
          <w:p>
            <w:pPr>
              <w:ind w:left="180"/>
              <w:spacing w:after="0"/>
              <w:rPr>
                <w:sz w:val="20"/>
                <w:szCs w:val="20"/>
                <w:color w:val="auto"/>
              </w:rPr>
            </w:pPr>
            <w:r>
              <w:rPr>
                <w:rFonts w:ascii="Arial" w:cs="Arial" w:eastAsia="Arial" w:hAnsi="Arial"/>
                <w:sz w:val="20"/>
                <w:szCs w:val="20"/>
                <w:color w:val="auto"/>
              </w:rPr>
              <w:t>to</w:t>
            </w:r>
          </w:p>
        </w:tc>
        <w:tc>
          <w:tcPr>
            <w:tcW w:w="760" w:type="dxa"/>
            <w:vAlign w:val="bottom"/>
            <w:gridSpan w:val="2"/>
          </w:tcPr>
          <w:p>
            <w:pPr>
              <w:jc w:val="right"/>
              <w:ind w:right="20"/>
              <w:spacing w:after="0"/>
              <w:rPr>
                <w:sz w:val="20"/>
                <w:szCs w:val="20"/>
                <w:color w:val="auto"/>
              </w:rPr>
            </w:pPr>
            <w:r>
              <w:rPr>
                <w:rFonts w:ascii="Arial" w:cs="Arial" w:eastAsia="Arial" w:hAnsi="Arial"/>
                <w:sz w:val="20"/>
                <w:szCs w:val="20"/>
                <w:color w:val="auto"/>
              </w:rPr>
              <w:t>203</w:t>
            </w:r>
          </w:p>
        </w:tc>
        <w:tc>
          <w:tcPr>
            <w:tcW w:w="0" w:type="dxa"/>
            <w:vAlign w:val="bottom"/>
          </w:tcPr>
          <w:p>
            <w:pPr>
              <w:spacing w:after="0"/>
              <w:rPr>
                <w:sz w:val="1"/>
                <w:szCs w:val="1"/>
                <w:color w:val="auto"/>
              </w:rPr>
            </w:pPr>
          </w:p>
        </w:tc>
      </w:tr>
      <w:tr>
        <w:trPr>
          <w:trHeight w:val="267"/>
        </w:trPr>
        <w:tc>
          <w:tcPr>
            <w:tcW w:w="7340" w:type="dxa"/>
            <w:vAlign w:val="bottom"/>
          </w:tcPr>
          <w:p>
            <w:pPr>
              <w:spacing w:after="0"/>
              <w:rPr>
                <w:sz w:val="20"/>
                <w:szCs w:val="20"/>
                <w:color w:val="auto"/>
              </w:rPr>
            </w:pPr>
            <w:r>
              <w:rPr>
                <w:rFonts w:ascii="Arial" w:cs="Arial" w:eastAsia="Arial" w:hAnsi="Arial"/>
                <w:sz w:val="20"/>
                <w:szCs w:val="20"/>
                <w:color w:val="auto"/>
              </w:rPr>
              <w:t xml:space="preserve">Adjusted EBITDA </w:t>
            </w:r>
            <w:r>
              <w:rPr>
                <w:rFonts w:ascii="Arial" w:cs="Arial" w:eastAsia="Arial" w:hAnsi="Arial"/>
                <w:sz w:val="16"/>
                <w:szCs w:val="16"/>
                <w:color w:val="auto"/>
              </w:rPr>
              <w:t>(1)</w:t>
            </w:r>
          </w:p>
        </w:tc>
        <w:tc>
          <w:tcPr>
            <w:tcW w:w="600" w:type="dxa"/>
            <w:vAlign w:val="bottom"/>
          </w:tcPr>
          <w:p>
            <w:pPr>
              <w:spacing w:after="0"/>
              <w:rPr>
                <w:sz w:val="23"/>
                <w:szCs w:val="23"/>
                <w:color w:val="auto"/>
              </w:rPr>
            </w:pPr>
          </w:p>
        </w:tc>
        <w:tc>
          <w:tcPr>
            <w:tcW w:w="980" w:type="dxa"/>
            <w:vAlign w:val="bottom"/>
          </w:tcPr>
          <w:p>
            <w:pPr>
              <w:jc w:val="right"/>
              <w:ind w:right="82"/>
              <w:spacing w:after="0"/>
              <w:rPr>
                <w:sz w:val="20"/>
                <w:szCs w:val="20"/>
                <w:color w:val="auto"/>
              </w:rPr>
            </w:pPr>
            <w:r>
              <w:rPr>
                <w:rFonts w:ascii="Arial" w:cs="Arial" w:eastAsia="Arial" w:hAnsi="Arial"/>
                <w:sz w:val="20"/>
                <w:szCs w:val="20"/>
                <w:color w:val="auto"/>
              </w:rPr>
              <w:t>881</w:t>
            </w:r>
          </w:p>
        </w:tc>
        <w:tc>
          <w:tcPr>
            <w:tcW w:w="1000" w:type="dxa"/>
            <w:vAlign w:val="bottom"/>
          </w:tcPr>
          <w:p>
            <w:pPr>
              <w:ind w:left="180"/>
              <w:spacing w:after="0"/>
              <w:rPr>
                <w:sz w:val="20"/>
                <w:szCs w:val="20"/>
                <w:color w:val="auto"/>
              </w:rPr>
            </w:pPr>
            <w:r>
              <w:rPr>
                <w:rFonts w:ascii="Arial" w:cs="Arial" w:eastAsia="Arial" w:hAnsi="Arial"/>
                <w:sz w:val="20"/>
                <w:szCs w:val="20"/>
                <w:color w:val="auto"/>
              </w:rPr>
              <w:t>to</w:t>
            </w:r>
          </w:p>
        </w:tc>
        <w:tc>
          <w:tcPr>
            <w:tcW w:w="760" w:type="dxa"/>
            <w:vAlign w:val="bottom"/>
            <w:gridSpan w:val="2"/>
          </w:tcPr>
          <w:p>
            <w:pPr>
              <w:jc w:val="right"/>
              <w:ind w:right="20"/>
              <w:spacing w:after="0"/>
              <w:rPr>
                <w:sz w:val="20"/>
                <w:szCs w:val="20"/>
                <w:color w:val="auto"/>
              </w:rPr>
            </w:pPr>
            <w:r>
              <w:rPr>
                <w:rFonts w:ascii="Arial" w:cs="Arial" w:eastAsia="Arial" w:hAnsi="Arial"/>
                <w:sz w:val="20"/>
                <w:szCs w:val="20"/>
                <w:color w:val="auto"/>
              </w:rPr>
              <w:t>899</w:t>
            </w:r>
          </w:p>
        </w:tc>
        <w:tc>
          <w:tcPr>
            <w:tcW w:w="0" w:type="dxa"/>
            <w:vAlign w:val="bottom"/>
          </w:tcPr>
          <w:p>
            <w:pPr>
              <w:spacing w:after="0"/>
              <w:rPr>
                <w:sz w:val="1"/>
                <w:szCs w:val="1"/>
                <w:color w:val="auto"/>
              </w:rPr>
            </w:pPr>
          </w:p>
        </w:tc>
      </w:tr>
      <w:tr>
        <w:trPr>
          <w:trHeight w:val="267"/>
        </w:trPr>
        <w:tc>
          <w:tcPr>
            <w:tcW w:w="7340" w:type="dxa"/>
            <w:vAlign w:val="bottom"/>
          </w:tcPr>
          <w:p>
            <w:pPr>
              <w:spacing w:after="0"/>
              <w:rPr>
                <w:sz w:val="20"/>
                <w:szCs w:val="20"/>
                <w:color w:val="auto"/>
              </w:rPr>
            </w:pPr>
            <w:r>
              <w:rPr>
                <w:rFonts w:ascii="Arial" w:cs="Arial" w:eastAsia="Arial" w:hAnsi="Arial"/>
                <w:sz w:val="20"/>
                <w:szCs w:val="20"/>
                <w:color w:val="auto"/>
              </w:rPr>
              <w:t xml:space="preserve">Interest expense, net </w:t>
            </w:r>
            <w:r>
              <w:rPr>
                <w:rFonts w:ascii="Arial" w:cs="Arial" w:eastAsia="Arial" w:hAnsi="Arial"/>
                <w:sz w:val="16"/>
                <w:szCs w:val="16"/>
                <w:color w:val="auto"/>
              </w:rPr>
              <w:t>(2)</w:t>
            </w:r>
          </w:p>
        </w:tc>
        <w:tc>
          <w:tcPr>
            <w:tcW w:w="600" w:type="dxa"/>
            <w:vAlign w:val="bottom"/>
          </w:tcPr>
          <w:p>
            <w:pPr>
              <w:spacing w:after="0"/>
              <w:rPr>
                <w:sz w:val="23"/>
                <w:szCs w:val="23"/>
                <w:color w:val="auto"/>
              </w:rPr>
            </w:pPr>
          </w:p>
        </w:tc>
        <w:tc>
          <w:tcPr>
            <w:tcW w:w="980" w:type="dxa"/>
            <w:vAlign w:val="bottom"/>
          </w:tcPr>
          <w:p>
            <w:pPr>
              <w:jc w:val="right"/>
              <w:ind w:right="82"/>
              <w:spacing w:after="0"/>
              <w:rPr>
                <w:sz w:val="20"/>
                <w:szCs w:val="20"/>
                <w:color w:val="auto"/>
              </w:rPr>
            </w:pPr>
            <w:r>
              <w:rPr>
                <w:rFonts w:ascii="Arial" w:cs="Arial" w:eastAsia="Arial" w:hAnsi="Arial"/>
                <w:sz w:val="20"/>
                <w:szCs w:val="20"/>
                <w:color w:val="auto"/>
              </w:rPr>
              <w:t>388</w:t>
            </w:r>
          </w:p>
        </w:tc>
        <w:tc>
          <w:tcPr>
            <w:tcW w:w="1000" w:type="dxa"/>
            <w:vAlign w:val="bottom"/>
          </w:tcPr>
          <w:p>
            <w:pPr>
              <w:ind w:left="180"/>
              <w:spacing w:after="0"/>
              <w:rPr>
                <w:sz w:val="20"/>
                <w:szCs w:val="20"/>
                <w:color w:val="auto"/>
              </w:rPr>
            </w:pPr>
            <w:r>
              <w:rPr>
                <w:rFonts w:ascii="Arial" w:cs="Arial" w:eastAsia="Arial" w:hAnsi="Arial"/>
                <w:sz w:val="20"/>
                <w:szCs w:val="20"/>
                <w:color w:val="auto"/>
              </w:rPr>
              <w:t>to</w:t>
            </w:r>
          </w:p>
        </w:tc>
        <w:tc>
          <w:tcPr>
            <w:tcW w:w="760" w:type="dxa"/>
            <w:vAlign w:val="bottom"/>
            <w:gridSpan w:val="2"/>
          </w:tcPr>
          <w:p>
            <w:pPr>
              <w:jc w:val="right"/>
              <w:ind w:right="20"/>
              <w:spacing w:after="0"/>
              <w:rPr>
                <w:sz w:val="20"/>
                <w:szCs w:val="20"/>
                <w:color w:val="auto"/>
              </w:rPr>
            </w:pPr>
            <w:r>
              <w:rPr>
                <w:rFonts w:ascii="Arial" w:cs="Arial" w:eastAsia="Arial" w:hAnsi="Arial"/>
                <w:sz w:val="20"/>
                <w:szCs w:val="20"/>
                <w:color w:val="auto"/>
              </w:rPr>
              <w:t>388</w:t>
            </w:r>
          </w:p>
        </w:tc>
        <w:tc>
          <w:tcPr>
            <w:tcW w:w="0" w:type="dxa"/>
            <w:vAlign w:val="bottom"/>
          </w:tcPr>
          <w:p>
            <w:pPr>
              <w:spacing w:after="0"/>
              <w:rPr>
                <w:sz w:val="1"/>
                <w:szCs w:val="1"/>
                <w:color w:val="auto"/>
              </w:rPr>
            </w:pPr>
          </w:p>
        </w:tc>
      </w:tr>
      <w:tr>
        <w:trPr>
          <w:trHeight w:val="334"/>
        </w:trPr>
        <w:tc>
          <w:tcPr>
            <w:tcW w:w="7340" w:type="dxa"/>
            <w:vAlign w:val="bottom"/>
          </w:tcPr>
          <w:p>
            <w:pPr>
              <w:spacing w:after="0"/>
              <w:rPr>
                <w:sz w:val="20"/>
                <w:szCs w:val="20"/>
                <w:color w:val="auto"/>
              </w:rPr>
            </w:pPr>
            <w:r>
              <w:rPr>
                <w:rFonts w:ascii="Arial" w:cs="Arial" w:eastAsia="Arial" w:hAnsi="Arial"/>
                <w:sz w:val="20"/>
                <w:szCs w:val="20"/>
                <w:color w:val="auto"/>
              </w:rPr>
              <w:t>Attributable to common shareholders:</w:t>
            </w:r>
          </w:p>
        </w:tc>
        <w:tc>
          <w:tcPr>
            <w:tcW w:w="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7340" w:type="dxa"/>
            <w:vAlign w:val="bottom"/>
          </w:tcPr>
          <w:p>
            <w:pPr>
              <w:ind w:left="120"/>
              <w:spacing w:after="0"/>
              <w:rPr>
                <w:sz w:val="20"/>
                <w:szCs w:val="20"/>
                <w:color w:val="auto"/>
              </w:rPr>
            </w:pPr>
            <w:r>
              <w:rPr>
                <w:rFonts w:ascii="Arial" w:cs="Arial" w:eastAsia="Arial" w:hAnsi="Arial"/>
                <w:sz w:val="20"/>
                <w:szCs w:val="20"/>
                <w:color w:val="auto"/>
              </w:rPr>
              <w:t xml:space="preserve">FFO </w:t>
            </w:r>
            <w:r>
              <w:rPr>
                <w:rFonts w:ascii="Arial" w:cs="Arial" w:eastAsia="Arial" w:hAnsi="Arial"/>
                <w:sz w:val="16"/>
                <w:szCs w:val="16"/>
                <w:color w:val="auto"/>
              </w:rPr>
              <w:t>(1)</w:t>
            </w:r>
          </w:p>
        </w:tc>
        <w:tc>
          <w:tcPr>
            <w:tcW w:w="600" w:type="dxa"/>
            <w:vAlign w:val="bottom"/>
          </w:tcPr>
          <w:p>
            <w:pPr>
              <w:spacing w:after="0"/>
              <w:rPr>
                <w:sz w:val="23"/>
                <w:szCs w:val="23"/>
                <w:color w:val="auto"/>
              </w:rPr>
            </w:pPr>
          </w:p>
        </w:tc>
        <w:tc>
          <w:tcPr>
            <w:tcW w:w="980" w:type="dxa"/>
            <w:vAlign w:val="bottom"/>
          </w:tcPr>
          <w:p>
            <w:pPr>
              <w:jc w:val="right"/>
              <w:ind w:right="82"/>
              <w:spacing w:after="0"/>
              <w:rPr>
                <w:sz w:val="20"/>
                <w:szCs w:val="20"/>
                <w:color w:val="auto"/>
              </w:rPr>
            </w:pPr>
            <w:r>
              <w:rPr>
                <w:rFonts w:ascii="Arial" w:cs="Arial" w:eastAsia="Arial" w:hAnsi="Arial"/>
                <w:sz w:val="20"/>
                <w:szCs w:val="20"/>
                <w:color w:val="auto"/>
              </w:rPr>
              <w:t>398</w:t>
            </w:r>
          </w:p>
        </w:tc>
        <w:tc>
          <w:tcPr>
            <w:tcW w:w="1000" w:type="dxa"/>
            <w:vAlign w:val="bottom"/>
          </w:tcPr>
          <w:p>
            <w:pPr>
              <w:ind w:left="180"/>
              <w:spacing w:after="0"/>
              <w:rPr>
                <w:sz w:val="20"/>
                <w:szCs w:val="20"/>
                <w:color w:val="auto"/>
              </w:rPr>
            </w:pPr>
            <w:r>
              <w:rPr>
                <w:rFonts w:ascii="Arial" w:cs="Arial" w:eastAsia="Arial" w:hAnsi="Arial"/>
                <w:sz w:val="20"/>
                <w:szCs w:val="20"/>
                <w:color w:val="auto"/>
              </w:rPr>
              <w:t>to</w:t>
            </w:r>
          </w:p>
        </w:tc>
        <w:tc>
          <w:tcPr>
            <w:tcW w:w="760" w:type="dxa"/>
            <w:vAlign w:val="bottom"/>
            <w:gridSpan w:val="2"/>
          </w:tcPr>
          <w:p>
            <w:pPr>
              <w:jc w:val="right"/>
              <w:ind w:right="20"/>
              <w:spacing w:after="0"/>
              <w:rPr>
                <w:sz w:val="20"/>
                <w:szCs w:val="20"/>
                <w:color w:val="auto"/>
              </w:rPr>
            </w:pPr>
            <w:r>
              <w:rPr>
                <w:rFonts w:ascii="Arial" w:cs="Arial" w:eastAsia="Arial" w:hAnsi="Arial"/>
                <w:sz w:val="20"/>
                <w:szCs w:val="20"/>
                <w:color w:val="auto"/>
              </w:rPr>
              <w:t>416</w:t>
            </w:r>
          </w:p>
        </w:tc>
        <w:tc>
          <w:tcPr>
            <w:tcW w:w="0" w:type="dxa"/>
            <w:vAlign w:val="bottom"/>
          </w:tcPr>
          <w:p>
            <w:pPr>
              <w:spacing w:after="0"/>
              <w:rPr>
                <w:sz w:val="1"/>
                <w:szCs w:val="1"/>
                <w:color w:val="auto"/>
              </w:rPr>
            </w:pPr>
          </w:p>
        </w:tc>
      </w:tr>
      <w:tr>
        <w:trPr>
          <w:trHeight w:val="267"/>
        </w:trPr>
        <w:tc>
          <w:tcPr>
            <w:tcW w:w="7340" w:type="dxa"/>
            <w:vAlign w:val="bottom"/>
          </w:tcPr>
          <w:p>
            <w:pPr>
              <w:ind w:left="100"/>
              <w:spacing w:after="0"/>
              <w:rPr>
                <w:sz w:val="20"/>
                <w:szCs w:val="20"/>
                <w:color w:val="auto"/>
              </w:rPr>
            </w:pPr>
            <w:r>
              <w:rPr>
                <w:rFonts w:ascii="Arial" w:cs="Arial" w:eastAsia="Arial" w:hAnsi="Arial"/>
                <w:sz w:val="20"/>
                <w:szCs w:val="20"/>
                <w:color w:val="auto"/>
              </w:rPr>
              <w:t xml:space="preserve">AFFO </w:t>
            </w:r>
            <w:r>
              <w:rPr>
                <w:rFonts w:ascii="Arial" w:cs="Arial" w:eastAsia="Arial" w:hAnsi="Arial"/>
                <w:sz w:val="16"/>
                <w:szCs w:val="16"/>
                <w:color w:val="auto"/>
              </w:rPr>
              <w:t>(1)</w:t>
            </w:r>
          </w:p>
        </w:tc>
        <w:tc>
          <w:tcPr>
            <w:tcW w:w="600" w:type="dxa"/>
            <w:vAlign w:val="bottom"/>
          </w:tcPr>
          <w:p>
            <w:pPr>
              <w:spacing w:after="0"/>
              <w:rPr>
                <w:sz w:val="23"/>
                <w:szCs w:val="23"/>
                <w:color w:val="auto"/>
              </w:rPr>
            </w:pPr>
          </w:p>
        </w:tc>
        <w:tc>
          <w:tcPr>
            <w:tcW w:w="980" w:type="dxa"/>
            <w:vAlign w:val="bottom"/>
          </w:tcPr>
          <w:p>
            <w:pPr>
              <w:jc w:val="right"/>
              <w:ind w:right="82"/>
              <w:spacing w:after="0"/>
              <w:rPr>
                <w:sz w:val="20"/>
                <w:szCs w:val="20"/>
                <w:color w:val="auto"/>
              </w:rPr>
            </w:pPr>
            <w:r>
              <w:rPr>
                <w:rFonts w:ascii="Arial" w:cs="Arial" w:eastAsia="Arial" w:hAnsi="Arial"/>
                <w:sz w:val="20"/>
                <w:szCs w:val="20"/>
                <w:color w:val="auto"/>
              </w:rPr>
              <w:t>439</w:t>
            </w:r>
          </w:p>
        </w:tc>
        <w:tc>
          <w:tcPr>
            <w:tcW w:w="1000" w:type="dxa"/>
            <w:vAlign w:val="bottom"/>
          </w:tcPr>
          <w:p>
            <w:pPr>
              <w:ind w:left="180"/>
              <w:spacing w:after="0"/>
              <w:rPr>
                <w:sz w:val="20"/>
                <w:szCs w:val="20"/>
                <w:color w:val="auto"/>
              </w:rPr>
            </w:pPr>
            <w:r>
              <w:rPr>
                <w:rFonts w:ascii="Arial" w:cs="Arial" w:eastAsia="Arial" w:hAnsi="Arial"/>
                <w:sz w:val="20"/>
                <w:szCs w:val="20"/>
                <w:color w:val="auto"/>
              </w:rPr>
              <w:t>to</w:t>
            </w:r>
          </w:p>
        </w:tc>
        <w:tc>
          <w:tcPr>
            <w:tcW w:w="760" w:type="dxa"/>
            <w:vAlign w:val="bottom"/>
            <w:gridSpan w:val="2"/>
          </w:tcPr>
          <w:p>
            <w:pPr>
              <w:jc w:val="right"/>
              <w:ind w:right="20"/>
              <w:spacing w:after="0"/>
              <w:rPr>
                <w:sz w:val="20"/>
                <w:szCs w:val="20"/>
                <w:color w:val="auto"/>
              </w:rPr>
            </w:pPr>
            <w:r>
              <w:rPr>
                <w:rFonts w:ascii="Arial" w:cs="Arial" w:eastAsia="Arial" w:hAnsi="Arial"/>
                <w:sz w:val="20"/>
                <w:szCs w:val="20"/>
                <w:color w:val="auto"/>
              </w:rPr>
              <w:t>457</w:t>
            </w:r>
          </w:p>
        </w:tc>
        <w:tc>
          <w:tcPr>
            <w:tcW w:w="0" w:type="dxa"/>
            <w:vAlign w:val="bottom"/>
          </w:tcPr>
          <w:p>
            <w:pPr>
              <w:spacing w:after="0"/>
              <w:rPr>
                <w:sz w:val="1"/>
                <w:szCs w:val="1"/>
                <w:color w:val="auto"/>
              </w:rPr>
            </w:pPr>
          </w:p>
        </w:tc>
      </w:tr>
      <w:tr>
        <w:trPr>
          <w:trHeight w:val="459"/>
        </w:trPr>
        <w:tc>
          <w:tcPr>
            <w:tcW w:w="7340" w:type="dxa"/>
            <w:vAlign w:val="bottom"/>
          </w:tcPr>
          <w:p>
            <w:pPr>
              <w:spacing w:after="0"/>
              <w:rPr>
                <w:sz w:val="20"/>
                <w:szCs w:val="20"/>
                <w:color w:val="auto"/>
              </w:rPr>
            </w:pPr>
            <w:r>
              <w:rPr>
                <w:rFonts w:ascii="Arial" w:cs="Arial" w:eastAsia="Arial" w:hAnsi="Arial"/>
                <w:sz w:val="20"/>
                <w:szCs w:val="20"/>
                <w:color w:val="auto"/>
              </w:rPr>
              <w:t>Weighted-average common shares outstanding – diluted</w:t>
            </w:r>
          </w:p>
        </w:tc>
        <w:tc>
          <w:tcPr>
            <w:tcW w:w="600" w:type="dxa"/>
            <w:vAlign w:val="bottom"/>
          </w:tcPr>
          <w:p>
            <w:pPr>
              <w:spacing w:after="0"/>
              <w:rPr>
                <w:sz w:val="24"/>
                <w:szCs w:val="24"/>
                <w:color w:val="auto"/>
              </w:rPr>
            </w:pPr>
          </w:p>
        </w:tc>
        <w:tc>
          <w:tcPr>
            <w:tcW w:w="980" w:type="dxa"/>
            <w:vAlign w:val="bottom"/>
          </w:tcPr>
          <w:p>
            <w:pPr>
              <w:jc w:val="right"/>
              <w:ind w:right="82"/>
              <w:spacing w:after="0"/>
              <w:rPr>
                <w:sz w:val="20"/>
                <w:szCs w:val="20"/>
                <w:color w:val="auto"/>
              </w:rPr>
            </w:pPr>
            <w:r>
              <w:rPr>
                <w:rFonts w:ascii="Arial" w:cs="Arial" w:eastAsia="Arial" w:hAnsi="Arial"/>
                <w:sz w:val="20"/>
                <w:szCs w:val="20"/>
                <w:color w:val="auto"/>
              </w:rPr>
              <w:t>265</w:t>
            </w:r>
          </w:p>
        </w:tc>
        <w:tc>
          <w:tcPr>
            <w:tcW w:w="1000" w:type="dxa"/>
            <w:vAlign w:val="bottom"/>
          </w:tcPr>
          <w:p>
            <w:pPr>
              <w:ind w:left="180"/>
              <w:spacing w:after="0"/>
              <w:rPr>
                <w:sz w:val="20"/>
                <w:szCs w:val="20"/>
                <w:color w:val="auto"/>
              </w:rPr>
            </w:pPr>
            <w:r>
              <w:rPr>
                <w:rFonts w:ascii="Arial" w:cs="Arial" w:eastAsia="Arial" w:hAnsi="Arial"/>
                <w:sz w:val="20"/>
                <w:szCs w:val="20"/>
                <w:color w:val="auto"/>
              </w:rPr>
              <w:t>to</w:t>
            </w:r>
          </w:p>
        </w:tc>
        <w:tc>
          <w:tcPr>
            <w:tcW w:w="760" w:type="dxa"/>
            <w:vAlign w:val="bottom"/>
            <w:gridSpan w:val="2"/>
          </w:tcPr>
          <w:p>
            <w:pPr>
              <w:jc w:val="right"/>
              <w:ind w:right="20"/>
              <w:spacing w:after="0"/>
              <w:rPr>
                <w:sz w:val="20"/>
                <w:szCs w:val="20"/>
                <w:color w:val="auto"/>
              </w:rPr>
            </w:pPr>
            <w:r>
              <w:rPr>
                <w:rFonts w:ascii="Arial" w:cs="Arial" w:eastAsia="Arial" w:hAnsi="Arial"/>
                <w:sz w:val="20"/>
                <w:szCs w:val="20"/>
                <w:color w:val="auto"/>
              </w:rPr>
              <w:t>265</w:t>
            </w:r>
          </w:p>
        </w:tc>
        <w:tc>
          <w:tcPr>
            <w:tcW w:w="0" w:type="dxa"/>
            <w:vAlign w:val="bottom"/>
          </w:tcPr>
          <w:p>
            <w:pPr>
              <w:spacing w:after="0"/>
              <w:rPr>
                <w:sz w:val="1"/>
                <w:szCs w:val="1"/>
                <w:color w:val="auto"/>
              </w:rPr>
            </w:pPr>
          </w:p>
        </w:tc>
      </w:tr>
      <w:tr>
        <w:trPr>
          <w:trHeight w:val="235"/>
        </w:trPr>
        <w:tc>
          <w:tcPr>
            <w:tcW w:w="7340" w:type="dxa"/>
            <w:vAlign w:val="bottom"/>
          </w:tcPr>
          <w:p>
            <w:pPr>
              <w:spacing w:after="0"/>
              <w:rPr>
                <w:sz w:val="20"/>
                <w:szCs w:val="20"/>
                <w:color w:val="auto"/>
              </w:rPr>
            </w:pPr>
            <w:r>
              <w:rPr>
                <w:rFonts w:ascii="Arial" w:cs="Arial" w:eastAsia="Arial" w:hAnsi="Arial"/>
                <w:sz w:val="20"/>
                <w:szCs w:val="20"/>
                <w:color w:val="auto"/>
              </w:rPr>
              <w:t>________________________</w:t>
            </w:r>
          </w:p>
        </w:tc>
        <w:tc>
          <w:tcPr>
            <w:tcW w:w="6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6"/>
          <w:szCs w:val="16"/>
          <w:color w:val="auto"/>
        </w:rPr>
        <w:t>(1)See “Non-GAAP Financial Measures” below.</w:t>
      </w:r>
    </w:p>
    <w:p>
      <w:pPr>
        <w:spacing w:after="0" w:line="3" w:lineRule="exact"/>
        <w:rPr>
          <w:sz w:val="20"/>
          <w:szCs w:val="20"/>
          <w:color w:val="auto"/>
        </w:rPr>
      </w:pPr>
    </w:p>
    <w:p>
      <w:pPr>
        <w:spacing w:after="0"/>
        <w:rPr>
          <w:sz w:val="20"/>
          <w:szCs w:val="20"/>
          <w:color w:val="auto"/>
        </w:rPr>
      </w:pPr>
      <w:r>
        <w:rPr>
          <w:rFonts w:ascii="Arial" w:cs="Arial" w:eastAsia="Arial" w:hAnsi="Arial"/>
          <w:sz w:val="16"/>
          <w:szCs w:val="16"/>
          <w:color w:val="auto"/>
        </w:rPr>
        <w:t>(2)See “Components of Interest Expense” below.</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CONFERENCE CALL</w:t>
      </w:r>
    </w:p>
    <w:p>
      <w:pPr>
        <w:spacing w:after="0" w:line="141" w:lineRule="exact"/>
        <w:rPr>
          <w:sz w:val="20"/>
          <w:szCs w:val="20"/>
          <w:color w:val="auto"/>
        </w:rPr>
      </w:pPr>
    </w:p>
    <w:p>
      <w:pPr>
        <w:jc w:val="both"/>
        <w:spacing w:after="0" w:line="226" w:lineRule="auto"/>
        <w:rPr>
          <w:sz w:val="20"/>
          <w:szCs w:val="20"/>
          <w:color w:val="auto"/>
        </w:rPr>
      </w:pPr>
      <w:r>
        <w:rPr>
          <w:rFonts w:ascii="Arial" w:cs="Arial" w:eastAsia="Arial" w:hAnsi="Arial"/>
          <w:sz w:val="20"/>
          <w:szCs w:val="20"/>
          <w:color w:val="auto"/>
        </w:rPr>
        <w:t xml:space="preserve">Uniti will hold a conference call today to discuss this earnings release at 8:30 AM Eastern Time (7:30 AM Central Time). The dial-in number for the conference call is (844) 513-7153 (or (508) 637-5603 for international callers) and the conference ID is 3189561. The conference call will be webcast live and can be accessed on the Company’s website at </w:t>
      </w:r>
      <w:r>
        <w:rPr>
          <w:rFonts w:ascii="Arial" w:cs="Arial" w:eastAsia="Arial" w:hAnsi="Arial"/>
          <w:sz w:val="20"/>
          <w:szCs w:val="20"/>
          <w:u w:val="single" w:color="auto"/>
          <w:color w:val="auto"/>
        </w:rPr>
        <w:t>www.uniti.com</w:t>
      </w:r>
      <w:r>
        <w:rPr>
          <w:rFonts w:ascii="Arial" w:cs="Arial" w:eastAsia="Arial" w:hAnsi="Arial"/>
          <w:sz w:val="20"/>
          <w:szCs w:val="20"/>
          <w:color w:val="auto"/>
        </w:rPr>
        <w:t>. A replay of the call will be available on the Company’s website or by telephone beginning today at approximately 12:00 PM Eastern Time. To access the telephone replay, which will be available for 14 days, please dial (855) 859-2056 and enter the conference ID number 3189561.</w:t>
      </w:r>
    </w:p>
    <w:p>
      <w:pPr>
        <w:spacing w:after="0" w:line="10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UNITI</w:t>
      </w:r>
    </w:p>
    <w:p>
      <w:pPr>
        <w:spacing w:after="0" w:line="154" w:lineRule="exact"/>
        <w:rPr>
          <w:sz w:val="20"/>
          <w:szCs w:val="20"/>
          <w:color w:val="auto"/>
        </w:rPr>
      </w:pPr>
    </w:p>
    <w:p>
      <w:pPr>
        <w:jc w:val="both"/>
        <w:spacing w:after="0" w:line="227" w:lineRule="auto"/>
        <w:rPr>
          <w:sz w:val="20"/>
          <w:szCs w:val="20"/>
          <w:color w:val="auto"/>
        </w:rPr>
      </w:pPr>
      <w:r>
        <w:rPr>
          <w:rFonts w:ascii="Arial" w:cs="Arial" w:eastAsia="Arial" w:hAnsi="Arial"/>
          <w:sz w:val="20"/>
          <w:szCs w:val="20"/>
          <w:color w:val="auto"/>
        </w:rPr>
        <w:t xml:space="preserve">Uniti, an internally managed real estate investment trust, is engaged in the acquisition and construction of mission critical communications infrastructure, and is a leading provider of fiber and other wireless solutions for the communications industry. As of December 31, 2021, Uniti owns approximately 128,000 fiber route miles, 7.6 million fiber strand miles, and other communications real estate throughout the United States. Additional information about Uniti can be found on its website at </w:t>
      </w:r>
      <w:r>
        <w:rPr>
          <w:rFonts w:ascii="Arial" w:cs="Arial" w:eastAsia="Arial" w:hAnsi="Arial"/>
          <w:sz w:val="20"/>
          <w:szCs w:val="20"/>
          <w:u w:val="single" w:color="auto"/>
          <w:color w:val="auto"/>
        </w:rPr>
        <w:t>www.uniti.com</w:t>
      </w:r>
      <w:r>
        <w:rPr>
          <w:rFonts w:ascii="Arial" w:cs="Arial" w:eastAsia="Arial" w:hAnsi="Arial"/>
          <w:sz w:val="20"/>
          <w:szCs w:val="20"/>
          <w:color w:val="auto"/>
        </w:rPr>
        <w:t>.</w:t>
      </w:r>
    </w:p>
    <w:p>
      <w:pPr>
        <w:spacing w:after="0" w:line="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FORWARD-LOOKING STATEMENTS</w:t>
      </w:r>
    </w:p>
    <w:p>
      <w:pPr>
        <w:spacing w:after="0" w:line="134" w:lineRule="exact"/>
        <w:rPr>
          <w:sz w:val="20"/>
          <w:szCs w:val="20"/>
          <w:color w:val="auto"/>
        </w:rPr>
      </w:pPr>
    </w:p>
    <w:p>
      <w:pPr>
        <w:jc w:val="both"/>
        <w:spacing w:after="0" w:line="231" w:lineRule="auto"/>
        <w:rPr>
          <w:sz w:val="20"/>
          <w:szCs w:val="20"/>
          <w:color w:val="auto"/>
        </w:rPr>
      </w:pPr>
      <w:r>
        <w:rPr>
          <w:rFonts w:ascii="Arial" w:cs="Arial" w:eastAsia="Arial" w:hAnsi="Arial"/>
          <w:sz w:val="20"/>
          <w:szCs w:val="20"/>
          <w:i w:val="1"/>
          <w:iCs w:val="1"/>
          <w:color w:val="auto"/>
        </w:rPr>
        <w:t>Certain statements in this press release and today’s conference call may constitute forward-looking statements within the meaning of the Private Securities Litigation Reform Act of 1995, as amended from time to time. Those forward-looking statements include all statements that are not historical statements of fact, including, without limitation, our 2022 financial outlook, expectations regarding strong demand trends, our business strategies, growth prospects, industry trends, sales opportunities, potential transformative corporate transactions, renewal rent, and operating and financial performance.</w:t>
      </w:r>
    </w:p>
    <w:p>
      <w:pPr>
        <w:spacing w:after="0" w:line="107" w:lineRule="exact"/>
        <w:rPr>
          <w:sz w:val="20"/>
          <w:szCs w:val="20"/>
          <w:color w:val="auto"/>
        </w:rPr>
      </w:pPr>
    </w:p>
    <w:p>
      <w:pPr>
        <w:jc w:val="both"/>
        <w:spacing w:after="0" w:line="261" w:lineRule="auto"/>
        <w:rPr>
          <w:sz w:val="20"/>
          <w:szCs w:val="20"/>
          <w:color w:val="auto"/>
        </w:rPr>
      </w:pPr>
      <w:r>
        <w:rPr>
          <w:rFonts w:ascii="Arial" w:cs="Arial" w:eastAsia="Arial" w:hAnsi="Arial"/>
          <w:sz w:val="18"/>
          <w:szCs w:val="18"/>
          <w:i w:val="1"/>
          <w:iCs w:val="1"/>
          <w:color w:val="auto"/>
        </w:rPr>
        <w:t>Words such as "anticipate(s)," "expect(s)," "intend(s)," “estimate(s),” “foresee(s),” "plan(s)," "believe(s)," "may," "will," "would," "could," "should," "seek(s)" and similar expressions, or the negative of these terms, are intended to identify such forward-looking statements. These statements are based on management's current expectations and beliefs and are subject to a number of risks and uncertainties that could lead to actual results differing materially from those projected, forecasted or expected. Although we believe that the assumptions underlying the forward-looking statements are reasonable, we can give no assurance that</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6" w:name="page7"/>
    <w:bookmarkEnd w:id="6"/>
    <w:p>
      <w:pPr>
        <w:jc w:val="both"/>
        <w:spacing w:after="0" w:line="225" w:lineRule="auto"/>
        <w:rPr>
          <w:sz w:val="20"/>
          <w:szCs w:val="20"/>
          <w:color w:val="auto"/>
        </w:rPr>
      </w:pPr>
      <w:r>
        <w:rPr>
          <w:rFonts w:ascii="Arial" w:cs="Arial" w:eastAsia="Arial" w:hAnsi="Arial"/>
          <w:sz w:val="20"/>
          <w:szCs w:val="20"/>
          <w:i w:val="1"/>
          <w:iCs w:val="1"/>
          <w:color w:val="auto"/>
        </w:rPr>
        <w:t>our expectations will be attained. Factors which could materially alter our expectations include, but are not limited to, the future prospects of Windstream, our largest customer; the ability and willingness of our customers to meet and/or perform their obligations under any contractual arrangements entered into with us, including master lease arrangements; the ability of our customers to comply with laws, rules and regulations in the operation of the assets we lease to them; the ability and willingness of our customers to renew their leases with us upon their expiration, and the ability to reposition our properties on the same or better terms in the event of nonrenewal or in the event we replace an existing tenant; the adverse impact of litigation affecting us or our customers; our ability to renew, extend or obtain contracts with significant customers (including customers of the businesses we acquire); the availability of and our ability to identify suitable acquisition opportunities and our ability to acquire and lease the respective properties on favorable terms; the risk that we fail to fully realize the potential benefits of acquisitions or have difficulty integrating acquired companies; our ability to generate sufficient cash flows to service our outstanding indebtedness and fund our capital funding commitments; our ability to access debt and equity capital markets; the impact on our business or the business of our customers as a result of credit rating downgrades and fluctuating interest rates; our ability to retain our key management personnel; our ability to qualify or maintain our status as a real estate investment trust (“REIT”); changes in the U.S. tax law and other state, federal or local laws, whether or not specific to REITs; covenants in our debt agreements that may limit our operational flexibility; our expectations regarding the effect of the COVID-19 pandemic on our results of operations and financial condition; other risks inherent in the communications industry and in the ownership of communications distribution systems, including potential liability relating to environmental matters and illiquidity of real estate investments; and additional factors described in our reports filed with the SEC.</w:t>
      </w:r>
    </w:p>
    <w:p>
      <w:pPr>
        <w:spacing w:after="0" w:line="202" w:lineRule="exact"/>
        <w:rPr>
          <w:sz w:val="20"/>
          <w:szCs w:val="20"/>
          <w:color w:val="auto"/>
        </w:rPr>
      </w:pPr>
    </w:p>
    <w:p>
      <w:pPr>
        <w:jc w:val="both"/>
        <w:spacing w:after="0" w:line="237" w:lineRule="auto"/>
        <w:rPr>
          <w:sz w:val="20"/>
          <w:szCs w:val="20"/>
          <w:color w:val="auto"/>
        </w:rPr>
      </w:pPr>
      <w:r>
        <w:rPr>
          <w:rFonts w:ascii="Arial" w:cs="Arial" w:eastAsia="Arial" w:hAnsi="Arial"/>
          <w:sz w:val="20"/>
          <w:szCs w:val="20"/>
          <w:i w:val="1"/>
          <w:iCs w:val="1"/>
          <w:color w:val="auto"/>
        </w:rPr>
        <w:t>Uniti expressly disclaims any obligation to release publicly any updates or revisions to any of the forward-looking statements set forth in this press release and today’s conference call to reflect any change in its expectations or any change in events, conditions or circumstances on which any statement is based.</w:t>
      </w:r>
    </w:p>
    <w:p>
      <w:pPr>
        <w:spacing w:after="0" w:line="10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NON-GAAP PRESENTATION</w:t>
      </w:r>
    </w:p>
    <w:p>
      <w:pPr>
        <w:spacing w:after="0" w:line="121" w:lineRule="exact"/>
        <w:rPr>
          <w:sz w:val="20"/>
          <w:szCs w:val="20"/>
          <w:color w:val="auto"/>
        </w:rPr>
      </w:pPr>
    </w:p>
    <w:p>
      <w:pPr>
        <w:jc w:val="both"/>
        <w:spacing w:after="0" w:line="233" w:lineRule="auto"/>
        <w:rPr>
          <w:sz w:val="20"/>
          <w:szCs w:val="20"/>
          <w:color w:val="auto"/>
        </w:rPr>
      </w:pPr>
      <w:r>
        <w:rPr>
          <w:rFonts w:ascii="Arial" w:cs="Arial" w:eastAsia="Arial" w:hAnsi="Arial"/>
          <w:sz w:val="20"/>
          <w:szCs w:val="20"/>
          <w:i w:val="1"/>
          <w:iCs w:val="1"/>
          <w:color w:val="auto"/>
        </w:rPr>
        <w:t>This release and today’s conference call contain certain supplemental measures of performance that are not required by, or presented in accordance with, accounting principles generally accepted in the United States (“GAAP”). Such measures should not be considered as alternatives to GAAP. Further information with respect to and reconciliations of such measures to the nearest GAAP measure can be found herein.</w:t>
      </w: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20"/>
          <w:szCs w:val="20"/>
          <w:b w:val="1"/>
          <w:bCs w:val="1"/>
          <w:color w:val="auto"/>
        </w:rPr>
        <w:t>Uniti Group Inc.</w:t>
      </w:r>
    </w:p>
    <w:p>
      <w:pPr>
        <w:jc w:val="center"/>
        <w:spacing w:after="0" w:line="230" w:lineRule="auto"/>
        <w:rPr>
          <w:sz w:val="20"/>
          <w:szCs w:val="20"/>
          <w:color w:val="auto"/>
        </w:rPr>
      </w:pPr>
      <w:r>
        <w:rPr>
          <w:rFonts w:ascii="Arial" w:cs="Arial" w:eastAsia="Arial" w:hAnsi="Arial"/>
          <w:sz w:val="20"/>
          <w:szCs w:val="20"/>
          <w:b w:val="1"/>
          <w:bCs w:val="1"/>
          <w:color w:val="auto"/>
        </w:rPr>
        <w:t>Consolidated Balance Sheets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(In thousands, except per share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-7620</wp:posOffset>
            </wp:positionV>
            <wp:extent cx="713422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3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500" w:type="dxa"/>
            <w:vAlign w:val="bottom"/>
            <w:gridSpan w:val="2"/>
          </w:tcPr>
          <w:p>
            <w:pPr>
              <w:ind w:left="200"/>
              <w:spacing w:after="0"/>
              <w:rPr>
                <w:sz w:val="20"/>
                <w:szCs w:val="20"/>
                <w:color w:val="auto"/>
              </w:rPr>
            </w:pPr>
            <w:r>
              <w:rPr>
                <w:rFonts w:ascii="Arial" w:cs="Arial" w:eastAsia="Arial" w:hAnsi="Arial"/>
                <w:sz w:val="17"/>
                <w:szCs w:val="17"/>
                <w:b w:val="1"/>
                <w:bCs w:val="1"/>
                <w:color w:val="auto"/>
              </w:rPr>
              <w:t>December 31,</w:t>
            </w: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900" w:type="dxa"/>
            <w:vAlign w:val="bottom"/>
          </w:tcPr>
          <w:p>
            <w:pPr>
              <w:jc w:val="right"/>
              <w:ind w:right="196"/>
              <w:spacing w:after="0"/>
              <w:rPr>
                <w:sz w:val="20"/>
                <w:szCs w:val="20"/>
                <w:color w:val="auto"/>
              </w:rPr>
            </w:pPr>
            <w:r>
              <w:rPr>
                <w:rFonts w:ascii="Arial" w:cs="Arial" w:eastAsia="Arial" w:hAnsi="Arial"/>
                <w:sz w:val="17"/>
                <w:szCs w:val="17"/>
                <w:b w:val="1"/>
                <w:bCs w:val="1"/>
                <w:color w:val="auto"/>
              </w:rPr>
              <w:t>December 31, 2020</w:t>
            </w:r>
          </w:p>
        </w:tc>
        <w:tc>
          <w:tcPr>
            <w:tcW w:w="0" w:type="dxa"/>
            <w:vAlign w:val="bottom"/>
          </w:tcPr>
          <w:p>
            <w:pPr>
              <w:spacing w:after="0"/>
              <w:rPr>
                <w:sz w:val="1"/>
                <w:szCs w:val="1"/>
                <w:color w:val="auto"/>
              </w:rPr>
            </w:pPr>
          </w:p>
        </w:tc>
      </w:tr>
      <w:tr>
        <w:trPr>
          <w:trHeight w:val="213"/>
        </w:trPr>
        <w:tc>
          <w:tcPr>
            <w:tcW w:w="6340" w:type="dxa"/>
            <w:vAlign w:val="bottom"/>
            <w:vMerge w:val="restart"/>
          </w:tcPr>
          <w:p>
            <w:pPr>
              <w:spacing w:after="0"/>
              <w:rPr>
                <w:sz w:val="20"/>
                <w:szCs w:val="20"/>
                <w:color w:val="auto"/>
              </w:rPr>
            </w:pPr>
            <w:r>
              <w:rPr>
                <w:rFonts w:ascii="Arial" w:cs="Arial" w:eastAsia="Arial" w:hAnsi="Arial"/>
                <w:sz w:val="17"/>
                <w:szCs w:val="17"/>
                <w:b w:val="1"/>
                <w:bCs w:val="1"/>
                <w:color w:val="auto"/>
              </w:rPr>
              <w:t>Assets:</w:t>
            </w:r>
          </w:p>
        </w:tc>
        <w:tc>
          <w:tcPr>
            <w:tcW w:w="300" w:type="dxa"/>
            <w:vAlign w:val="bottom"/>
            <w:tcBorders>
              <w:bottom w:val="single" w:sz="8" w:color="auto"/>
            </w:tcBorders>
          </w:tcPr>
          <w:p>
            <w:pPr>
              <w:spacing w:after="0"/>
              <w:rPr>
                <w:sz w:val="18"/>
                <w:szCs w:val="18"/>
                <w:color w:val="auto"/>
              </w:rPr>
            </w:pPr>
          </w:p>
        </w:tc>
        <w:tc>
          <w:tcPr>
            <w:tcW w:w="1820" w:type="dxa"/>
            <w:vAlign w:val="bottom"/>
            <w:tcBorders>
              <w:bottom w:val="single" w:sz="8" w:color="auto"/>
            </w:tcBorders>
          </w:tcPr>
          <w:p>
            <w:pPr>
              <w:jc w:val="right"/>
              <w:ind w:right="796"/>
              <w:spacing w:after="0"/>
              <w:rPr>
                <w:sz w:val="20"/>
                <w:szCs w:val="20"/>
                <w:color w:val="auto"/>
              </w:rPr>
            </w:pPr>
            <w:r>
              <w:rPr>
                <w:rFonts w:ascii="Arial" w:cs="Arial" w:eastAsia="Arial" w:hAnsi="Arial"/>
                <w:sz w:val="17"/>
                <w:szCs w:val="17"/>
                <w:b w:val="1"/>
                <w:bCs w:val="1"/>
                <w:color w:val="auto"/>
              </w:rPr>
              <w:t>2021</w:t>
            </w: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9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92"/>
        </w:trPr>
        <w:tc>
          <w:tcPr>
            <w:tcW w:w="6340" w:type="dxa"/>
            <w:vAlign w:val="bottom"/>
            <w:vMerge w:val="continue"/>
          </w:tcPr>
          <w:p>
            <w:pPr>
              <w:spacing w:after="0"/>
              <w:rPr>
                <w:sz w:val="16"/>
                <w:szCs w:val="16"/>
                <w:color w:val="auto"/>
              </w:rPr>
            </w:pPr>
          </w:p>
        </w:tc>
        <w:tc>
          <w:tcPr>
            <w:tcW w:w="30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Property, plant and equipment, net</w:t>
            </w:r>
          </w:p>
        </w:tc>
        <w:tc>
          <w:tcPr>
            <w:tcW w:w="300" w:type="dxa"/>
            <w:vAlign w:val="bottom"/>
            <w:shd w:val="clear" w:color="auto" w:fill="CFF0FC"/>
          </w:tcPr>
          <w:p>
            <w:pPr>
              <w:jc w:val="right"/>
              <w:ind w:right="116"/>
              <w:spacing w:after="0"/>
              <w:rPr>
                <w:sz w:val="20"/>
                <w:szCs w:val="20"/>
                <w:color w:val="auto"/>
              </w:rPr>
            </w:pPr>
            <w:r>
              <w:rPr>
                <w:rFonts w:ascii="Arial" w:cs="Arial" w:eastAsia="Arial" w:hAnsi="Arial"/>
                <w:sz w:val="17"/>
                <w:szCs w:val="17"/>
                <w:color w:val="auto"/>
                <w:w w:val="84"/>
              </w:rPr>
              <w:t>$</w:t>
            </w: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3,508,939</w:t>
            </w:r>
          </w:p>
        </w:tc>
        <w:tc>
          <w:tcPr>
            <w:tcW w:w="200" w:type="dxa"/>
            <w:vAlign w:val="bottom"/>
            <w:gridSpan w:val="2"/>
            <w:shd w:val="clear" w:color="auto" w:fill="CFF0FC"/>
          </w:tcPr>
          <w:p>
            <w:pPr>
              <w:jc w:val="right"/>
              <w:ind w:right="26"/>
              <w:spacing w:after="0"/>
              <w:rPr>
                <w:sz w:val="20"/>
                <w:szCs w:val="20"/>
                <w:color w:val="auto"/>
              </w:rPr>
            </w:pPr>
            <w:r>
              <w:rPr>
                <w:rFonts w:ascii="Arial" w:cs="Arial" w:eastAsia="Arial" w:hAnsi="Arial"/>
                <w:sz w:val="17"/>
                <w:szCs w:val="17"/>
                <w:color w:val="auto"/>
                <w:w w:val="84"/>
              </w:rPr>
              <w:t>$</w:t>
            </w: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3,273,353</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Cash and cash equivalents</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58,903</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77,534</w:t>
            </w: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Accounts receivable, net</w:t>
            </w:r>
          </w:p>
        </w:tc>
        <w:tc>
          <w:tcPr>
            <w:tcW w:w="300" w:type="dxa"/>
            <w:vAlign w:val="bottom"/>
            <w:shd w:val="clear" w:color="auto" w:fill="CFF0FC"/>
          </w:tcPr>
          <w:p>
            <w:pPr>
              <w:spacing w:after="0"/>
              <w:rPr>
                <w:sz w:val="17"/>
                <w:szCs w:val="17"/>
                <w:color w:val="auto"/>
              </w:rPr>
            </w:pP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38,455</w:t>
            </w: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62,952</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Goodwill</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601,878</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601,878</w:t>
            </w: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Intangible assets, net</w:t>
            </w:r>
          </w:p>
        </w:tc>
        <w:tc>
          <w:tcPr>
            <w:tcW w:w="300" w:type="dxa"/>
            <w:vAlign w:val="bottom"/>
            <w:shd w:val="clear" w:color="auto" w:fill="CFF0FC"/>
          </w:tcPr>
          <w:p>
            <w:pPr>
              <w:spacing w:after="0"/>
              <w:rPr>
                <w:sz w:val="17"/>
                <w:szCs w:val="17"/>
                <w:color w:val="auto"/>
              </w:rPr>
            </w:pP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364,630</w:t>
            </w: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390,725</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Straight-line revenue receivable</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41,323</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13,107</w:t>
            </w: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Other assets, net</w:t>
            </w:r>
          </w:p>
        </w:tc>
        <w:tc>
          <w:tcPr>
            <w:tcW w:w="300" w:type="dxa"/>
            <w:vAlign w:val="bottom"/>
            <w:shd w:val="clear" w:color="auto" w:fill="CFF0FC"/>
          </w:tcPr>
          <w:p>
            <w:pPr>
              <w:spacing w:after="0"/>
              <w:rPr>
                <w:sz w:val="17"/>
                <w:szCs w:val="17"/>
                <w:color w:val="auto"/>
              </w:rPr>
            </w:pP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119,171</w:t>
            </w: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152,883</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Investment in unconsolidated entities</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64,223</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66,043</w:t>
            </w: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Deferred income tax assets, net</w:t>
            </w:r>
          </w:p>
        </w:tc>
        <w:tc>
          <w:tcPr>
            <w:tcW w:w="300" w:type="dxa"/>
            <w:vAlign w:val="bottom"/>
            <w:shd w:val="clear" w:color="auto" w:fill="CFF0FC"/>
          </w:tcPr>
          <w:p>
            <w:pPr>
              <w:spacing w:after="0"/>
              <w:rPr>
                <w:sz w:val="17"/>
                <w:szCs w:val="17"/>
                <w:color w:val="auto"/>
              </w:rPr>
            </w:pP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11,721</w:t>
            </w: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Assets held for sale</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93,343</w:t>
            </w:r>
          </w:p>
        </w:tc>
        <w:tc>
          <w:tcPr>
            <w:tcW w:w="0" w:type="dxa"/>
            <w:vAlign w:val="bottom"/>
          </w:tcPr>
          <w:p>
            <w:pPr>
              <w:spacing w:after="0"/>
              <w:rPr>
                <w:sz w:val="1"/>
                <w:szCs w:val="1"/>
                <w:color w:val="auto"/>
              </w:rPr>
            </w:pPr>
          </w:p>
        </w:tc>
      </w:tr>
      <w:tr>
        <w:trPr>
          <w:trHeight w:val="180"/>
        </w:trPr>
        <w:tc>
          <w:tcPr>
            <w:tcW w:w="6340" w:type="dxa"/>
            <w:vAlign w:val="bottom"/>
            <w:tcBorders>
              <w:top w:val="single" w:sz="8" w:color="CFF0FC"/>
              <w:bottom w:val="single" w:sz="8" w:color="CFF0FC"/>
            </w:tcBorders>
            <w:shd w:val="clear" w:color="auto" w:fill="CFF0FC"/>
          </w:tcPr>
          <w:p>
            <w:pPr>
              <w:spacing w:after="0" w:line="180" w:lineRule="exact"/>
              <w:rPr>
                <w:sz w:val="20"/>
                <w:szCs w:val="20"/>
                <w:color w:val="auto"/>
              </w:rPr>
            </w:pPr>
            <w:r>
              <w:rPr>
                <w:rFonts w:ascii="Arial" w:cs="Arial" w:eastAsia="Arial" w:hAnsi="Arial"/>
                <w:sz w:val="17"/>
                <w:szCs w:val="17"/>
                <w:b w:val="1"/>
                <w:bCs w:val="1"/>
                <w:color w:val="auto"/>
              </w:rPr>
              <w:t>Total Assets</w:t>
            </w:r>
          </w:p>
        </w:tc>
        <w:tc>
          <w:tcPr>
            <w:tcW w:w="300" w:type="dxa"/>
            <w:vAlign w:val="bottom"/>
            <w:tcBorders>
              <w:top w:val="single" w:sz="8" w:color="auto"/>
              <w:bottom w:val="single" w:sz="8" w:color="auto"/>
            </w:tcBorders>
            <w:shd w:val="clear" w:color="auto" w:fill="CFF0FC"/>
          </w:tcPr>
          <w:p>
            <w:pPr>
              <w:jc w:val="right"/>
              <w:ind w:right="116"/>
              <w:spacing w:after="0" w:line="180" w:lineRule="exact"/>
              <w:rPr>
                <w:sz w:val="20"/>
                <w:szCs w:val="20"/>
                <w:color w:val="auto"/>
              </w:rPr>
            </w:pPr>
            <w:r>
              <w:rPr>
                <w:rFonts w:ascii="Arial" w:cs="Arial" w:eastAsia="Arial" w:hAnsi="Arial"/>
                <w:sz w:val="17"/>
                <w:szCs w:val="17"/>
                <w:color w:val="auto"/>
                <w:w w:val="84"/>
              </w:rPr>
              <w:t>$</w:t>
            </w:r>
          </w:p>
        </w:tc>
        <w:tc>
          <w:tcPr>
            <w:tcW w:w="1820" w:type="dxa"/>
            <w:vAlign w:val="bottom"/>
            <w:tcBorders>
              <w:top w:val="single" w:sz="8" w:color="auto"/>
              <w:bottom w:val="single" w:sz="8" w:color="auto"/>
            </w:tcBorders>
            <w:shd w:val="clear" w:color="auto" w:fill="CFF0FC"/>
          </w:tcPr>
          <w:p>
            <w:pPr>
              <w:jc w:val="right"/>
              <w:spacing w:after="0" w:line="180" w:lineRule="exact"/>
              <w:rPr>
                <w:sz w:val="20"/>
                <w:szCs w:val="20"/>
                <w:color w:val="auto"/>
              </w:rPr>
            </w:pPr>
            <w:r>
              <w:rPr>
                <w:rFonts w:ascii="Arial" w:cs="Arial" w:eastAsia="Arial" w:hAnsi="Arial"/>
                <w:sz w:val="17"/>
                <w:szCs w:val="17"/>
                <w:color w:val="auto"/>
              </w:rPr>
              <w:t>4,809,243</w:t>
            </w:r>
          </w:p>
        </w:tc>
        <w:tc>
          <w:tcPr>
            <w:tcW w:w="680" w:type="dxa"/>
            <w:vAlign w:val="bottom"/>
            <w:tcBorders>
              <w:top w:val="single" w:sz="8" w:color="CFF0FC"/>
              <w:bottom w:val="single" w:sz="8" w:color="CFF0FC"/>
            </w:tcBorders>
            <w:shd w:val="clear" w:color="auto" w:fill="CFF0FC"/>
          </w:tcPr>
          <w:p>
            <w:pPr>
              <w:spacing w:after="0"/>
              <w:rPr>
                <w:sz w:val="15"/>
                <w:szCs w:val="15"/>
                <w:color w:val="auto"/>
              </w:rPr>
            </w:pPr>
          </w:p>
        </w:tc>
        <w:tc>
          <w:tcPr>
            <w:tcW w:w="20" w:type="dxa"/>
            <w:vAlign w:val="bottom"/>
            <w:tcBorders>
              <w:top w:val="single" w:sz="8" w:color="CFF0FC"/>
              <w:bottom w:val="single" w:sz="8" w:color="CFF0FC"/>
            </w:tcBorders>
            <w:shd w:val="clear" w:color="auto" w:fill="CFF0FC"/>
          </w:tcPr>
          <w:p>
            <w:pPr>
              <w:spacing w:after="0"/>
              <w:rPr>
                <w:sz w:val="15"/>
                <w:szCs w:val="15"/>
                <w:color w:val="auto"/>
              </w:rPr>
            </w:pPr>
          </w:p>
        </w:tc>
        <w:tc>
          <w:tcPr>
            <w:tcW w:w="180" w:type="dxa"/>
            <w:vAlign w:val="bottom"/>
            <w:tcBorders>
              <w:top w:val="single" w:sz="8" w:color="auto"/>
              <w:bottom w:val="single" w:sz="8" w:color="auto"/>
            </w:tcBorders>
            <w:shd w:val="clear" w:color="auto" w:fill="CFF0FC"/>
          </w:tcPr>
          <w:p>
            <w:pPr>
              <w:jc w:val="right"/>
              <w:ind w:right="26"/>
              <w:spacing w:after="0"/>
              <w:rPr>
                <w:sz w:val="20"/>
                <w:szCs w:val="20"/>
                <w:color w:val="auto"/>
              </w:rPr>
            </w:pPr>
            <w:r>
              <w:rPr>
                <w:rFonts w:ascii="Arial" w:cs="Arial" w:eastAsia="Arial" w:hAnsi="Arial"/>
                <w:sz w:val="15"/>
                <w:szCs w:val="15"/>
                <w:color w:val="auto"/>
                <w:w w:val="71"/>
              </w:rPr>
              <w:t>$</w:t>
            </w:r>
          </w:p>
        </w:tc>
        <w:tc>
          <w:tcPr>
            <w:tcW w:w="1900" w:type="dxa"/>
            <w:vAlign w:val="bottom"/>
            <w:tcBorders>
              <w:top w:val="single" w:sz="8" w:color="auto"/>
              <w:bottom w:val="single" w:sz="8" w:color="auto"/>
            </w:tcBorders>
            <w:shd w:val="clear" w:color="auto" w:fill="CFF0FC"/>
          </w:tcPr>
          <w:p>
            <w:pPr>
              <w:jc w:val="right"/>
              <w:spacing w:after="0" w:line="180" w:lineRule="exact"/>
              <w:rPr>
                <w:sz w:val="20"/>
                <w:szCs w:val="20"/>
                <w:color w:val="auto"/>
              </w:rPr>
            </w:pPr>
            <w:r>
              <w:rPr>
                <w:rFonts w:ascii="Arial" w:cs="Arial" w:eastAsia="Arial" w:hAnsi="Arial"/>
                <w:sz w:val="17"/>
                <w:szCs w:val="17"/>
                <w:color w:val="auto"/>
              </w:rPr>
              <w:t>4,731,818</w:t>
            </w:r>
          </w:p>
        </w:tc>
        <w:tc>
          <w:tcPr>
            <w:tcW w:w="0" w:type="dxa"/>
            <w:vAlign w:val="bottom"/>
          </w:tcPr>
          <w:p>
            <w:pPr>
              <w:spacing w:after="0"/>
              <w:rPr>
                <w:sz w:val="1"/>
                <w:szCs w:val="1"/>
                <w:color w:val="auto"/>
              </w:rPr>
            </w:pPr>
          </w:p>
        </w:tc>
      </w:tr>
      <w:tr>
        <w:trPr>
          <w:trHeight w:val="20"/>
        </w:trPr>
        <w:tc>
          <w:tcPr>
            <w:tcW w:w="6340" w:type="dxa"/>
            <w:vAlign w:val="bottom"/>
            <w:vMerge w:val="restart"/>
          </w:tcPr>
          <w:p>
            <w:pPr>
              <w:spacing w:after="0"/>
              <w:rPr>
                <w:sz w:val="20"/>
                <w:szCs w:val="20"/>
                <w:color w:val="auto"/>
              </w:rPr>
            </w:pPr>
            <w:r>
              <w:rPr>
                <w:rFonts w:ascii="Arial" w:cs="Arial" w:eastAsia="Arial" w:hAnsi="Arial"/>
                <w:sz w:val="17"/>
                <w:szCs w:val="17"/>
                <w:b w:val="1"/>
                <w:bCs w:val="1"/>
                <w:color w:val="auto"/>
              </w:rPr>
              <w:t>Liabilities and Shareholders’ Deficit</w:t>
            </w:r>
          </w:p>
        </w:tc>
        <w:tc>
          <w:tcPr>
            <w:tcW w:w="30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4"/>
        </w:trPr>
        <w:tc>
          <w:tcPr>
            <w:tcW w:w="634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6340" w:type="dxa"/>
            <w:vAlign w:val="bottom"/>
          </w:tcPr>
          <w:p>
            <w:pPr>
              <w:spacing w:after="0"/>
              <w:rPr>
                <w:sz w:val="20"/>
                <w:szCs w:val="20"/>
                <w:color w:val="auto"/>
              </w:rPr>
            </w:pPr>
            <w:r>
              <w:rPr>
                <w:rFonts w:ascii="Arial" w:cs="Arial" w:eastAsia="Arial" w:hAnsi="Arial"/>
                <w:sz w:val="17"/>
                <w:szCs w:val="17"/>
                <w:b w:val="1"/>
                <w:bCs w:val="1"/>
                <w:color w:val="auto"/>
              </w:rPr>
              <w:t>Liabilities:</w:t>
            </w:r>
          </w:p>
        </w:tc>
        <w:tc>
          <w:tcPr>
            <w:tcW w:w="30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Accounts payable, accrued expenses and other liabilities, net</w:t>
            </w:r>
          </w:p>
        </w:tc>
        <w:tc>
          <w:tcPr>
            <w:tcW w:w="300" w:type="dxa"/>
            <w:vAlign w:val="bottom"/>
            <w:shd w:val="clear" w:color="auto" w:fill="CFF0FC"/>
          </w:tcPr>
          <w:p>
            <w:pPr>
              <w:jc w:val="right"/>
              <w:ind w:right="116"/>
              <w:spacing w:after="0"/>
              <w:rPr>
                <w:sz w:val="20"/>
                <w:szCs w:val="20"/>
                <w:color w:val="auto"/>
              </w:rPr>
            </w:pPr>
            <w:r>
              <w:rPr>
                <w:rFonts w:ascii="Arial" w:cs="Arial" w:eastAsia="Arial" w:hAnsi="Arial"/>
                <w:sz w:val="17"/>
                <w:szCs w:val="17"/>
                <w:color w:val="auto"/>
                <w:w w:val="84"/>
              </w:rPr>
              <w:t>$</w:t>
            </w: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144,223</w:t>
            </w:r>
          </w:p>
        </w:tc>
        <w:tc>
          <w:tcPr>
            <w:tcW w:w="200" w:type="dxa"/>
            <w:vAlign w:val="bottom"/>
            <w:gridSpan w:val="2"/>
            <w:shd w:val="clear" w:color="auto" w:fill="CFF0FC"/>
          </w:tcPr>
          <w:p>
            <w:pPr>
              <w:jc w:val="right"/>
              <w:ind w:right="26"/>
              <w:spacing w:after="0"/>
              <w:rPr>
                <w:sz w:val="20"/>
                <w:szCs w:val="20"/>
                <w:color w:val="auto"/>
              </w:rPr>
            </w:pPr>
            <w:r>
              <w:rPr>
                <w:rFonts w:ascii="Arial" w:cs="Arial" w:eastAsia="Arial" w:hAnsi="Arial"/>
                <w:sz w:val="17"/>
                <w:szCs w:val="17"/>
                <w:color w:val="auto"/>
                <w:w w:val="84"/>
              </w:rPr>
              <w:t>$</w:t>
            </w: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146,144</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Settlement payable</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239,384</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418,840</w:t>
            </w: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Intangible liabilities, net</w:t>
            </w:r>
          </w:p>
        </w:tc>
        <w:tc>
          <w:tcPr>
            <w:tcW w:w="300" w:type="dxa"/>
            <w:vAlign w:val="bottom"/>
            <w:shd w:val="clear" w:color="auto" w:fill="CFF0FC"/>
          </w:tcPr>
          <w:p>
            <w:pPr>
              <w:spacing w:after="0"/>
              <w:rPr>
                <w:sz w:val="17"/>
                <w:szCs w:val="17"/>
                <w:color w:val="auto"/>
              </w:rPr>
            </w:pP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177,786</w:t>
            </w: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187,886</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Accrued interest payable</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109,826</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95,338</w:t>
            </w: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Deferred revenue</w:t>
            </w:r>
          </w:p>
        </w:tc>
        <w:tc>
          <w:tcPr>
            <w:tcW w:w="300" w:type="dxa"/>
            <w:vAlign w:val="bottom"/>
            <w:shd w:val="clear" w:color="auto" w:fill="CFF0FC"/>
          </w:tcPr>
          <w:p>
            <w:pPr>
              <w:spacing w:after="0"/>
              <w:rPr>
                <w:sz w:val="17"/>
                <w:szCs w:val="17"/>
                <w:color w:val="auto"/>
              </w:rPr>
            </w:pP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1,134,236</w:t>
            </w: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995,123</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Derivative liability, net</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10,413</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22,897</w:t>
            </w: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Dividends payable</w:t>
            </w:r>
          </w:p>
        </w:tc>
        <w:tc>
          <w:tcPr>
            <w:tcW w:w="300" w:type="dxa"/>
            <w:vAlign w:val="bottom"/>
            <w:shd w:val="clear" w:color="auto" w:fill="CFF0FC"/>
          </w:tcPr>
          <w:p>
            <w:pPr>
              <w:spacing w:after="0"/>
              <w:rPr>
                <w:sz w:val="17"/>
                <w:szCs w:val="17"/>
                <w:color w:val="auto"/>
              </w:rPr>
            </w:pP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1,264</w:t>
            </w: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36,725</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Deferred income tax liabilities, net</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10,540</w:t>
            </w: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Finance lease obligations</w:t>
            </w:r>
          </w:p>
        </w:tc>
        <w:tc>
          <w:tcPr>
            <w:tcW w:w="300" w:type="dxa"/>
            <w:vAlign w:val="bottom"/>
            <w:shd w:val="clear" w:color="auto" w:fill="CFF0FC"/>
          </w:tcPr>
          <w:p>
            <w:pPr>
              <w:spacing w:after="0"/>
              <w:rPr>
                <w:sz w:val="17"/>
                <w:szCs w:val="17"/>
                <w:color w:val="auto"/>
              </w:rPr>
            </w:pP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15,348</w:t>
            </w: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15,468</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Contingent consideration</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2,957</w:t>
            </w: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Notes and other debt, net</w:t>
            </w:r>
          </w:p>
        </w:tc>
        <w:tc>
          <w:tcPr>
            <w:tcW w:w="300" w:type="dxa"/>
            <w:vAlign w:val="bottom"/>
            <w:shd w:val="clear" w:color="auto" w:fill="CFF0FC"/>
          </w:tcPr>
          <w:p>
            <w:pPr>
              <w:spacing w:after="0"/>
              <w:rPr>
                <w:sz w:val="17"/>
                <w:szCs w:val="17"/>
                <w:color w:val="auto"/>
              </w:rPr>
            </w:pP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5,090,537</w:t>
            </w: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4,816,524</w:t>
            </w:r>
          </w:p>
        </w:tc>
        <w:tc>
          <w:tcPr>
            <w:tcW w:w="0" w:type="dxa"/>
            <w:vAlign w:val="bottom"/>
          </w:tcPr>
          <w:p>
            <w:pPr>
              <w:spacing w:after="0"/>
              <w:rPr>
                <w:sz w:val="1"/>
                <w:szCs w:val="1"/>
                <w:color w:val="auto"/>
              </w:rPr>
            </w:pPr>
          </w:p>
        </w:tc>
      </w:tr>
      <w:tr>
        <w:trPr>
          <w:trHeight w:val="200"/>
        </w:trPr>
        <w:tc>
          <w:tcPr>
            <w:tcW w:w="6340" w:type="dxa"/>
            <w:vAlign w:val="bottom"/>
            <w:tcBorders>
              <w:bottom w:val="single" w:sz="8" w:color="CFF0FC"/>
            </w:tcBorders>
          </w:tcPr>
          <w:p>
            <w:pPr>
              <w:spacing w:after="0"/>
              <w:rPr>
                <w:sz w:val="20"/>
                <w:szCs w:val="20"/>
                <w:color w:val="auto"/>
              </w:rPr>
            </w:pPr>
            <w:r>
              <w:rPr>
                <w:rFonts w:ascii="Arial" w:cs="Arial" w:eastAsia="Arial" w:hAnsi="Arial"/>
                <w:sz w:val="17"/>
                <w:szCs w:val="17"/>
                <w:color w:val="auto"/>
              </w:rPr>
              <w:t>Liabilities held for sale</w:t>
            </w:r>
          </w:p>
        </w:tc>
        <w:tc>
          <w:tcPr>
            <w:tcW w:w="300" w:type="dxa"/>
            <w:vAlign w:val="bottom"/>
            <w:tcBorders>
              <w:bottom w:val="single" w:sz="8" w:color="auto"/>
            </w:tcBorders>
          </w:tcPr>
          <w:p>
            <w:pPr>
              <w:spacing w:after="0"/>
              <w:rPr>
                <w:sz w:val="17"/>
                <w:szCs w:val="17"/>
                <w:color w:val="auto"/>
              </w:rPr>
            </w:pP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680" w:type="dxa"/>
            <w:vAlign w:val="bottom"/>
            <w:tcBorders>
              <w:bottom w:val="single" w:sz="8" w:color="CFF0FC"/>
            </w:tcBorders>
          </w:tcPr>
          <w:p>
            <w:pPr>
              <w:spacing w:after="0"/>
              <w:rPr>
                <w:sz w:val="17"/>
                <w:szCs w:val="17"/>
                <w:color w:val="auto"/>
              </w:rPr>
            </w:pPr>
          </w:p>
        </w:tc>
        <w:tc>
          <w:tcPr>
            <w:tcW w:w="20" w:type="dxa"/>
            <w:vAlign w:val="bottom"/>
            <w:tcBorders>
              <w:bottom w:val="single" w:sz="8" w:color="CFF0FC"/>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55,752</w:t>
            </w:r>
          </w:p>
        </w:tc>
        <w:tc>
          <w:tcPr>
            <w:tcW w:w="0" w:type="dxa"/>
            <w:vAlign w:val="bottom"/>
          </w:tcPr>
          <w:p>
            <w:pPr>
              <w:spacing w:after="0"/>
              <w:rPr>
                <w:sz w:val="1"/>
                <w:szCs w:val="1"/>
                <w:color w:val="auto"/>
              </w:rPr>
            </w:pPr>
          </w:p>
        </w:tc>
      </w:tr>
      <w:tr>
        <w:trPr>
          <w:trHeight w:val="193"/>
        </w:trPr>
        <w:tc>
          <w:tcPr>
            <w:tcW w:w="6340" w:type="dxa"/>
            <w:vAlign w:val="bottom"/>
            <w:shd w:val="clear" w:color="auto" w:fill="CFF0FC"/>
          </w:tcPr>
          <w:p>
            <w:pPr>
              <w:spacing w:after="0" w:line="194" w:lineRule="exact"/>
              <w:rPr>
                <w:sz w:val="20"/>
                <w:szCs w:val="20"/>
                <w:color w:val="auto"/>
              </w:rPr>
            </w:pPr>
            <w:r>
              <w:rPr>
                <w:rFonts w:ascii="Arial" w:cs="Arial" w:eastAsia="Arial" w:hAnsi="Arial"/>
                <w:sz w:val="17"/>
                <w:szCs w:val="17"/>
                <w:b w:val="1"/>
                <w:bCs w:val="1"/>
                <w:color w:val="auto"/>
              </w:rPr>
              <w:t>Total Liabilities</w:t>
            </w:r>
          </w:p>
        </w:tc>
        <w:tc>
          <w:tcPr>
            <w:tcW w:w="300" w:type="dxa"/>
            <w:vAlign w:val="bottom"/>
            <w:shd w:val="clear" w:color="auto" w:fill="CFF0FC"/>
          </w:tcPr>
          <w:p>
            <w:pPr>
              <w:spacing w:after="0"/>
              <w:rPr>
                <w:sz w:val="16"/>
                <w:szCs w:val="16"/>
                <w:color w:val="auto"/>
              </w:rPr>
            </w:pPr>
          </w:p>
        </w:tc>
        <w:tc>
          <w:tcPr>
            <w:tcW w:w="2500" w:type="dxa"/>
            <w:vAlign w:val="bottom"/>
            <w:gridSpan w:val="2"/>
            <w:shd w:val="clear" w:color="auto" w:fill="CFF0FC"/>
          </w:tcPr>
          <w:p>
            <w:pPr>
              <w:jc w:val="right"/>
              <w:ind w:right="680"/>
              <w:spacing w:after="0" w:line="194" w:lineRule="exact"/>
              <w:rPr>
                <w:sz w:val="20"/>
                <w:szCs w:val="20"/>
                <w:color w:val="auto"/>
              </w:rPr>
            </w:pPr>
            <w:r>
              <w:rPr>
                <w:rFonts w:ascii="Arial" w:cs="Arial" w:eastAsia="Arial" w:hAnsi="Arial"/>
                <w:sz w:val="17"/>
                <w:szCs w:val="17"/>
                <w:color w:val="auto"/>
              </w:rPr>
              <w:t>6,923,017</w:t>
            </w:r>
          </w:p>
        </w:tc>
        <w:tc>
          <w:tcPr>
            <w:tcW w:w="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900" w:type="dxa"/>
            <w:vAlign w:val="bottom"/>
            <w:shd w:val="clear" w:color="auto" w:fill="CFF0FC"/>
          </w:tcPr>
          <w:p>
            <w:pPr>
              <w:jc w:val="right"/>
              <w:spacing w:after="0" w:line="194" w:lineRule="exact"/>
              <w:rPr>
                <w:sz w:val="20"/>
                <w:szCs w:val="20"/>
                <w:color w:val="auto"/>
              </w:rPr>
            </w:pPr>
            <w:r>
              <w:rPr>
                <w:rFonts w:ascii="Arial" w:cs="Arial" w:eastAsia="Arial" w:hAnsi="Arial"/>
                <w:sz w:val="17"/>
                <w:szCs w:val="17"/>
                <w:color w:val="auto"/>
              </w:rPr>
              <w:t>6,804,194</w:t>
            </w:r>
          </w:p>
        </w:tc>
        <w:tc>
          <w:tcPr>
            <w:tcW w:w="0" w:type="dxa"/>
            <w:vAlign w:val="bottom"/>
          </w:tcPr>
          <w:p>
            <w:pPr>
              <w:spacing w:after="0"/>
              <w:rPr>
                <w:sz w:val="1"/>
                <w:szCs w:val="1"/>
                <w:color w:val="auto"/>
              </w:rPr>
            </w:pPr>
          </w:p>
        </w:tc>
      </w:tr>
      <w:tr>
        <w:trPr>
          <w:trHeight w:val="390"/>
        </w:trPr>
        <w:tc>
          <w:tcPr>
            <w:tcW w:w="6340" w:type="dxa"/>
            <w:vAlign w:val="bottom"/>
          </w:tcPr>
          <w:p>
            <w:pPr>
              <w:spacing w:after="0"/>
              <w:rPr>
                <w:sz w:val="20"/>
                <w:szCs w:val="20"/>
                <w:color w:val="auto"/>
              </w:rPr>
            </w:pPr>
            <w:r>
              <w:rPr>
                <w:rFonts w:ascii="Arial" w:cs="Arial" w:eastAsia="Arial" w:hAnsi="Arial"/>
                <w:sz w:val="17"/>
                <w:szCs w:val="17"/>
                <w:color w:val="auto"/>
              </w:rPr>
              <w:t>Commitments and contingencies</w:t>
            </w:r>
          </w:p>
        </w:tc>
        <w:tc>
          <w:tcPr>
            <w:tcW w:w="300" w:type="dxa"/>
            <w:vAlign w:val="bottom"/>
            <w:tcBorders>
              <w:top w:val="single" w:sz="8" w:color="auto"/>
            </w:tcBorders>
          </w:tcPr>
          <w:p>
            <w:pPr>
              <w:spacing w:after="0"/>
              <w:rPr>
                <w:sz w:val="24"/>
                <w:szCs w:val="24"/>
                <w:color w:val="auto"/>
              </w:rPr>
            </w:pPr>
          </w:p>
        </w:tc>
        <w:tc>
          <w:tcPr>
            <w:tcW w:w="1820" w:type="dxa"/>
            <w:vAlign w:val="bottom"/>
            <w:tcBorders>
              <w:top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9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6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b w:val="1"/>
                <w:bCs w:val="1"/>
                <w:color w:val="auto"/>
              </w:rPr>
              <w:t>Shareholders’ Deficit:</w:t>
            </w:r>
          </w:p>
        </w:tc>
        <w:tc>
          <w:tcPr>
            <w:tcW w:w="300" w:type="dxa"/>
            <w:vAlign w:val="bottom"/>
            <w:shd w:val="clear" w:color="auto" w:fill="CFF0FC"/>
          </w:tcPr>
          <w:p>
            <w:pPr>
              <w:spacing w:after="0"/>
              <w:rPr>
                <w:sz w:val="17"/>
                <w:szCs w:val="17"/>
                <w:color w:val="auto"/>
              </w:rPr>
            </w:pPr>
          </w:p>
        </w:tc>
        <w:tc>
          <w:tcPr>
            <w:tcW w:w="1820" w:type="dxa"/>
            <w:vAlign w:val="bottom"/>
            <w:shd w:val="clear" w:color="auto" w:fill="CFF0FC"/>
          </w:tcPr>
          <w:p>
            <w:pPr>
              <w:spacing w:after="0"/>
              <w:rPr>
                <w:sz w:val="17"/>
                <w:szCs w:val="17"/>
                <w:color w:val="auto"/>
              </w:rPr>
            </w:pPr>
          </w:p>
        </w:tc>
        <w:tc>
          <w:tcPr>
            <w:tcW w:w="680" w:type="dxa"/>
            <w:vAlign w:val="bottom"/>
            <w:shd w:val="clear" w:color="auto" w:fill="CFF0FC"/>
          </w:tcPr>
          <w:p>
            <w:pPr>
              <w:spacing w:after="0"/>
              <w:rPr>
                <w:sz w:val="17"/>
                <w:szCs w:val="17"/>
                <w:color w:val="auto"/>
              </w:rPr>
            </w:pP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81"/>
        </w:trPr>
        <w:tc>
          <w:tcPr>
            <w:tcW w:w="6340" w:type="dxa"/>
            <w:vAlign w:val="bottom"/>
          </w:tcPr>
          <w:p>
            <w:pPr>
              <w:spacing w:after="0" w:line="180" w:lineRule="exact"/>
              <w:rPr>
                <w:sz w:val="20"/>
                <w:szCs w:val="20"/>
                <w:color w:val="auto"/>
              </w:rPr>
            </w:pPr>
            <w:r>
              <w:rPr>
                <w:rFonts w:ascii="Arial" w:cs="Arial" w:eastAsia="Arial" w:hAnsi="Arial"/>
                <w:sz w:val="17"/>
                <w:szCs w:val="17"/>
                <w:color w:val="auto"/>
              </w:rPr>
              <w:t>Preferred stock, $ 0.0001 par value, 50,000 shares authorized, no shares issued</w:t>
            </w:r>
          </w:p>
        </w:tc>
        <w:tc>
          <w:tcPr>
            <w:tcW w:w="30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3"/>
        </w:trPr>
        <w:tc>
          <w:tcPr>
            <w:tcW w:w="6340" w:type="dxa"/>
            <w:vAlign w:val="bottom"/>
          </w:tcPr>
          <w:p>
            <w:pPr>
              <w:spacing w:after="0" w:line="193" w:lineRule="exact"/>
              <w:rPr>
                <w:sz w:val="20"/>
                <w:szCs w:val="20"/>
                <w:color w:val="auto"/>
              </w:rPr>
            </w:pPr>
            <w:r>
              <w:rPr>
                <w:rFonts w:ascii="Arial" w:cs="Arial" w:eastAsia="Arial" w:hAnsi="Arial"/>
                <w:sz w:val="17"/>
                <w:szCs w:val="17"/>
                <w:color w:val="auto"/>
              </w:rPr>
              <w:t>and outstanding</w:t>
            </w:r>
          </w:p>
        </w:tc>
        <w:tc>
          <w:tcPr>
            <w:tcW w:w="300" w:type="dxa"/>
            <w:vAlign w:val="bottom"/>
          </w:tcPr>
          <w:p>
            <w:pPr>
              <w:spacing w:after="0"/>
              <w:rPr>
                <w:sz w:val="16"/>
                <w:szCs w:val="16"/>
                <w:color w:val="auto"/>
              </w:rPr>
            </w:pPr>
          </w:p>
        </w:tc>
        <w:tc>
          <w:tcPr>
            <w:tcW w:w="2500" w:type="dxa"/>
            <w:vAlign w:val="bottom"/>
            <w:gridSpan w:val="2"/>
          </w:tcPr>
          <w:p>
            <w:pPr>
              <w:jc w:val="right"/>
              <w:ind w:right="680"/>
              <w:spacing w:after="0" w:line="193" w:lineRule="exact"/>
              <w:rPr>
                <w:sz w:val="20"/>
                <w:szCs w:val="20"/>
                <w:color w:val="auto"/>
              </w:rPr>
            </w:pPr>
            <w:r>
              <w:rPr>
                <w:rFonts w:ascii="Arial" w:cs="Arial" w:eastAsia="Arial" w:hAnsi="Arial"/>
                <w:sz w:val="17"/>
                <w:szCs w:val="17"/>
                <w:color w:val="auto"/>
              </w:rPr>
              <w:t>-</w:t>
            </w: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900" w:type="dxa"/>
            <w:vAlign w:val="bottom"/>
          </w:tcPr>
          <w:p>
            <w:pPr>
              <w:jc w:val="right"/>
              <w:spacing w:after="0" w:line="193"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1"/>
        </w:trPr>
        <w:tc>
          <w:tcPr>
            <w:tcW w:w="6340" w:type="dxa"/>
            <w:vAlign w:val="bottom"/>
            <w:shd w:val="clear" w:color="auto" w:fill="CFF0FC"/>
          </w:tcPr>
          <w:p>
            <w:pPr>
              <w:spacing w:after="0" w:line="180" w:lineRule="exact"/>
              <w:rPr>
                <w:sz w:val="20"/>
                <w:szCs w:val="20"/>
                <w:color w:val="auto"/>
              </w:rPr>
            </w:pPr>
            <w:r>
              <w:rPr>
                <w:rFonts w:ascii="Arial" w:cs="Arial" w:eastAsia="Arial" w:hAnsi="Arial"/>
                <w:sz w:val="17"/>
                <w:szCs w:val="17"/>
                <w:color w:val="auto"/>
              </w:rPr>
              <w:t>Common stock, $ 0.0001 par value, 500,000 shares authorized, issued</w:t>
            </w:r>
          </w:p>
        </w:tc>
        <w:tc>
          <w:tcPr>
            <w:tcW w:w="300" w:type="dxa"/>
            <w:vAlign w:val="bottom"/>
            <w:shd w:val="clear" w:color="auto" w:fill="CFF0FC"/>
          </w:tcPr>
          <w:p>
            <w:pPr>
              <w:spacing w:after="0"/>
              <w:rPr>
                <w:sz w:val="15"/>
                <w:szCs w:val="15"/>
                <w:color w:val="auto"/>
              </w:rPr>
            </w:pPr>
          </w:p>
        </w:tc>
        <w:tc>
          <w:tcPr>
            <w:tcW w:w="1820" w:type="dxa"/>
            <w:vAlign w:val="bottom"/>
            <w:shd w:val="clear" w:color="auto" w:fill="CFF0FC"/>
          </w:tcPr>
          <w:p>
            <w:pPr>
              <w:spacing w:after="0"/>
              <w:rPr>
                <w:sz w:val="15"/>
                <w:szCs w:val="15"/>
                <w:color w:val="auto"/>
              </w:rPr>
            </w:pPr>
          </w:p>
        </w:tc>
        <w:tc>
          <w:tcPr>
            <w:tcW w:w="680" w:type="dxa"/>
            <w:vAlign w:val="bottom"/>
            <w:shd w:val="clear" w:color="auto" w:fill="CFF0FC"/>
          </w:tcPr>
          <w:p>
            <w:pPr>
              <w:spacing w:after="0"/>
              <w:rPr>
                <w:sz w:val="15"/>
                <w:szCs w:val="15"/>
                <w:color w:val="auto"/>
              </w:rPr>
            </w:pPr>
          </w:p>
        </w:tc>
        <w:tc>
          <w:tcPr>
            <w:tcW w:w="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9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6340" w:type="dxa"/>
            <w:vAlign w:val="bottom"/>
            <w:shd w:val="clear" w:color="auto" w:fill="CFF0FC"/>
          </w:tcPr>
          <w:p>
            <w:pPr>
              <w:spacing w:after="0" w:line="187" w:lineRule="exact"/>
              <w:rPr>
                <w:sz w:val="20"/>
                <w:szCs w:val="20"/>
                <w:color w:val="auto"/>
              </w:rPr>
            </w:pPr>
            <w:r>
              <w:rPr>
                <w:rFonts w:ascii="Arial" w:cs="Arial" w:eastAsia="Arial" w:hAnsi="Arial"/>
                <w:sz w:val="17"/>
                <w:szCs w:val="17"/>
                <w:color w:val="auto"/>
              </w:rPr>
              <w:t>and outstanding: 234,779 shares at December 31, 2021 and 231,262 shares at</w:t>
            </w:r>
          </w:p>
        </w:tc>
        <w:tc>
          <w:tcPr>
            <w:tcW w:w="300" w:type="dxa"/>
            <w:vAlign w:val="bottom"/>
            <w:shd w:val="clear" w:color="auto" w:fill="CFF0FC"/>
          </w:tcPr>
          <w:p>
            <w:pPr>
              <w:spacing w:after="0"/>
              <w:rPr>
                <w:sz w:val="16"/>
                <w:szCs w:val="16"/>
                <w:color w:val="auto"/>
              </w:rPr>
            </w:pPr>
          </w:p>
        </w:tc>
        <w:tc>
          <w:tcPr>
            <w:tcW w:w="1820" w:type="dxa"/>
            <w:vAlign w:val="bottom"/>
            <w:shd w:val="clear" w:color="auto" w:fill="CFF0FC"/>
          </w:tcPr>
          <w:p>
            <w:pPr>
              <w:spacing w:after="0"/>
              <w:rPr>
                <w:sz w:val="16"/>
                <w:szCs w:val="16"/>
                <w:color w:val="auto"/>
              </w:rPr>
            </w:pPr>
          </w:p>
        </w:tc>
        <w:tc>
          <w:tcPr>
            <w:tcW w:w="680" w:type="dxa"/>
            <w:vAlign w:val="bottom"/>
            <w:shd w:val="clear" w:color="auto" w:fill="CFF0FC"/>
          </w:tcPr>
          <w:p>
            <w:pPr>
              <w:spacing w:after="0"/>
              <w:rPr>
                <w:sz w:val="16"/>
                <w:szCs w:val="16"/>
                <w:color w:val="auto"/>
              </w:rPr>
            </w:pPr>
          </w:p>
        </w:tc>
        <w:tc>
          <w:tcPr>
            <w:tcW w:w="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9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6340" w:type="dxa"/>
            <w:vAlign w:val="bottom"/>
            <w:shd w:val="clear" w:color="auto" w:fill="CFF0FC"/>
          </w:tcPr>
          <w:p>
            <w:pPr>
              <w:spacing w:after="0" w:line="193" w:lineRule="exact"/>
              <w:rPr>
                <w:sz w:val="20"/>
                <w:szCs w:val="20"/>
                <w:color w:val="auto"/>
              </w:rPr>
            </w:pPr>
            <w:r>
              <w:rPr>
                <w:rFonts w:ascii="Arial" w:cs="Arial" w:eastAsia="Arial" w:hAnsi="Arial"/>
                <w:sz w:val="17"/>
                <w:szCs w:val="17"/>
                <w:color w:val="auto"/>
              </w:rPr>
              <w:t>December 31, 2020</w:t>
            </w:r>
          </w:p>
        </w:tc>
        <w:tc>
          <w:tcPr>
            <w:tcW w:w="300" w:type="dxa"/>
            <w:vAlign w:val="bottom"/>
            <w:shd w:val="clear" w:color="auto" w:fill="CFF0FC"/>
          </w:tcPr>
          <w:p>
            <w:pPr>
              <w:spacing w:after="0"/>
              <w:rPr>
                <w:sz w:val="16"/>
                <w:szCs w:val="16"/>
                <w:color w:val="auto"/>
              </w:rPr>
            </w:pPr>
          </w:p>
        </w:tc>
        <w:tc>
          <w:tcPr>
            <w:tcW w:w="2500" w:type="dxa"/>
            <w:vAlign w:val="bottom"/>
            <w:gridSpan w:val="2"/>
            <w:shd w:val="clear" w:color="auto" w:fill="CFF0FC"/>
          </w:tcPr>
          <w:p>
            <w:pPr>
              <w:jc w:val="right"/>
              <w:ind w:right="680"/>
              <w:spacing w:after="0" w:line="193" w:lineRule="exact"/>
              <w:rPr>
                <w:sz w:val="20"/>
                <w:szCs w:val="20"/>
                <w:color w:val="auto"/>
              </w:rPr>
            </w:pPr>
            <w:r>
              <w:rPr>
                <w:rFonts w:ascii="Arial" w:cs="Arial" w:eastAsia="Arial" w:hAnsi="Arial"/>
                <w:sz w:val="17"/>
                <w:szCs w:val="17"/>
                <w:color w:val="auto"/>
              </w:rPr>
              <w:t>23</w:t>
            </w:r>
          </w:p>
        </w:tc>
        <w:tc>
          <w:tcPr>
            <w:tcW w:w="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900" w:type="dxa"/>
            <w:vAlign w:val="bottom"/>
            <w:shd w:val="clear" w:color="auto" w:fill="CFF0FC"/>
          </w:tcPr>
          <w:p>
            <w:pPr>
              <w:jc w:val="right"/>
              <w:spacing w:after="0" w:line="193" w:lineRule="exact"/>
              <w:rPr>
                <w:sz w:val="20"/>
                <w:szCs w:val="20"/>
                <w:color w:val="auto"/>
              </w:rPr>
            </w:pPr>
            <w:r>
              <w:rPr>
                <w:rFonts w:ascii="Arial" w:cs="Arial" w:eastAsia="Arial" w:hAnsi="Arial"/>
                <w:sz w:val="17"/>
                <w:szCs w:val="17"/>
                <w:color w:val="auto"/>
              </w:rPr>
              <w:t>23</w:t>
            </w:r>
          </w:p>
        </w:tc>
        <w:tc>
          <w:tcPr>
            <w:tcW w:w="0" w:type="dxa"/>
            <w:vAlign w:val="bottom"/>
          </w:tcPr>
          <w:p>
            <w:pPr>
              <w:spacing w:after="0"/>
              <w:rPr>
                <w:sz w:val="1"/>
                <w:szCs w:val="1"/>
                <w:color w:val="auto"/>
              </w:rPr>
            </w:pPr>
          </w:p>
        </w:tc>
      </w:tr>
      <w:tr>
        <w:trPr>
          <w:trHeight w:val="200"/>
        </w:trPr>
        <w:tc>
          <w:tcPr>
            <w:tcW w:w="6340" w:type="dxa"/>
            <w:vAlign w:val="bottom"/>
          </w:tcPr>
          <w:p>
            <w:pPr>
              <w:spacing w:after="0"/>
              <w:rPr>
                <w:sz w:val="20"/>
                <w:szCs w:val="20"/>
                <w:color w:val="auto"/>
              </w:rPr>
            </w:pPr>
            <w:r>
              <w:rPr>
                <w:rFonts w:ascii="Arial" w:cs="Arial" w:eastAsia="Arial" w:hAnsi="Arial"/>
                <w:sz w:val="17"/>
                <w:szCs w:val="17"/>
                <w:color w:val="auto"/>
              </w:rPr>
              <w:t>Additional paid-in capital</w:t>
            </w:r>
          </w:p>
        </w:tc>
        <w:tc>
          <w:tcPr>
            <w:tcW w:w="300" w:type="dxa"/>
            <w:vAlign w:val="bottom"/>
          </w:tcPr>
          <w:p>
            <w:pPr>
              <w:spacing w:after="0"/>
              <w:rPr>
                <w:sz w:val="17"/>
                <w:szCs w:val="17"/>
                <w:color w:val="auto"/>
              </w:rPr>
            </w:pPr>
          </w:p>
        </w:tc>
        <w:tc>
          <w:tcPr>
            <w:tcW w:w="2500" w:type="dxa"/>
            <w:vAlign w:val="bottom"/>
            <w:gridSpan w:val="2"/>
          </w:tcPr>
          <w:p>
            <w:pPr>
              <w:jc w:val="right"/>
              <w:ind w:right="680"/>
              <w:spacing w:after="0"/>
              <w:rPr>
                <w:sz w:val="20"/>
                <w:szCs w:val="20"/>
                <w:color w:val="auto"/>
              </w:rPr>
            </w:pPr>
            <w:r>
              <w:rPr>
                <w:rFonts w:ascii="Arial" w:cs="Arial" w:eastAsia="Arial" w:hAnsi="Arial"/>
                <w:sz w:val="17"/>
                <w:szCs w:val="17"/>
                <w:color w:val="auto"/>
              </w:rPr>
              <w:t>1,214,830</w:t>
            </w: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1,209,141</w:t>
            </w:r>
          </w:p>
        </w:tc>
        <w:tc>
          <w:tcPr>
            <w:tcW w:w="0" w:type="dxa"/>
            <w:vAlign w:val="bottom"/>
          </w:tcPr>
          <w:p>
            <w:pPr>
              <w:spacing w:after="0"/>
              <w:rPr>
                <w:sz w:val="1"/>
                <w:szCs w:val="1"/>
                <w:color w:val="auto"/>
              </w:rPr>
            </w:pPr>
          </w:p>
        </w:tc>
      </w:tr>
      <w:tr>
        <w:trPr>
          <w:trHeight w:val="200"/>
        </w:trPr>
        <w:tc>
          <w:tcPr>
            <w:tcW w:w="6340" w:type="dxa"/>
            <w:vAlign w:val="bottom"/>
            <w:shd w:val="clear" w:color="auto" w:fill="CFF0FC"/>
          </w:tcPr>
          <w:p>
            <w:pPr>
              <w:spacing w:after="0"/>
              <w:rPr>
                <w:sz w:val="20"/>
                <w:szCs w:val="20"/>
                <w:color w:val="auto"/>
              </w:rPr>
            </w:pPr>
            <w:r>
              <w:rPr>
                <w:rFonts w:ascii="Arial" w:cs="Arial" w:eastAsia="Arial" w:hAnsi="Arial"/>
                <w:sz w:val="17"/>
                <w:szCs w:val="17"/>
                <w:color w:val="auto"/>
              </w:rPr>
              <w:t>Accumulated other comprehensive loss</w:t>
            </w:r>
          </w:p>
        </w:tc>
        <w:tc>
          <w:tcPr>
            <w:tcW w:w="300" w:type="dxa"/>
            <w:vAlign w:val="bottom"/>
            <w:shd w:val="clear" w:color="auto" w:fill="CFF0FC"/>
          </w:tcPr>
          <w:p>
            <w:pPr>
              <w:spacing w:after="0"/>
              <w:rPr>
                <w:sz w:val="17"/>
                <w:szCs w:val="17"/>
                <w:color w:val="auto"/>
              </w:rPr>
            </w:pPr>
          </w:p>
        </w:tc>
        <w:tc>
          <w:tcPr>
            <w:tcW w:w="2500" w:type="dxa"/>
            <w:vAlign w:val="bottom"/>
            <w:gridSpan w:val="2"/>
            <w:shd w:val="clear" w:color="auto" w:fill="CFF0FC"/>
          </w:tcPr>
          <w:p>
            <w:pPr>
              <w:jc w:val="right"/>
              <w:ind w:right="680"/>
              <w:spacing w:after="0"/>
              <w:rPr>
                <w:sz w:val="20"/>
                <w:szCs w:val="20"/>
                <w:color w:val="auto"/>
              </w:rPr>
            </w:pPr>
            <w:r>
              <w:rPr>
                <w:rFonts w:ascii="Arial" w:cs="Arial" w:eastAsia="Arial" w:hAnsi="Arial"/>
                <w:sz w:val="17"/>
                <w:szCs w:val="17"/>
                <w:color w:val="auto"/>
              </w:rPr>
              <w:t>(9,164)</w:t>
            </w:r>
          </w:p>
        </w:tc>
        <w:tc>
          <w:tcPr>
            <w:tcW w:w="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(20,367)</w:t>
            </w:r>
          </w:p>
        </w:tc>
        <w:tc>
          <w:tcPr>
            <w:tcW w:w="0" w:type="dxa"/>
            <w:vAlign w:val="bottom"/>
          </w:tcPr>
          <w:p>
            <w:pPr>
              <w:spacing w:after="0"/>
              <w:rPr>
                <w:sz w:val="1"/>
                <w:szCs w:val="1"/>
                <w:color w:val="auto"/>
              </w:rPr>
            </w:pPr>
          </w:p>
        </w:tc>
      </w:tr>
      <w:tr>
        <w:trPr>
          <w:trHeight w:val="200"/>
        </w:trPr>
        <w:tc>
          <w:tcPr>
            <w:tcW w:w="6340" w:type="dxa"/>
            <w:vAlign w:val="bottom"/>
            <w:tcBorders>
              <w:bottom w:val="single" w:sz="8" w:color="CFF0FC"/>
            </w:tcBorders>
          </w:tcPr>
          <w:p>
            <w:pPr>
              <w:spacing w:after="0"/>
              <w:rPr>
                <w:sz w:val="20"/>
                <w:szCs w:val="20"/>
                <w:color w:val="auto"/>
              </w:rPr>
            </w:pPr>
            <w:r>
              <w:rPr>
                <w:rFonts w:ascii="Arial" w:cs="Arial" w:eastAsia="Arial" w:hAnsi="Arial"/>
                <w:sz w:val="17"/>
                <w:szCs w:val="17"/>
                <w:color w:val="auto"/>
              </w:rPr>
              <w:t>Distributions in excess of accumulated earnings</w:t>
            </w:r>
          </w:p>
        </w:tc>
        <w:tc>
          <w:tcPr>
            <w:tcW w:w="300" w:type="dxa"/>
            <w:vAlign w:val="bottom"/>
            <w:tcBorders>
              <w:bottom w:val="single" w:sz="8" w:color="auto"/>
            </w:tcBorders>
          </w:tcPr>
          <w:p>
            <w:pPr>
              <w:spacing w:after="0"/>
              <w:rPr>
                <w:sz w:val="17"/>
                <w:szCs w:val="17"/>
                <w:color w:val="auto"/>
              </w:rPr>
            </w:pP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(3,333,481)</w:t>
            </w:r>
          </w:p>
        </w:tc>
        <w:tc>
          <w:tcPr>
            <w:tcW w:w="680" w:type="dxa"/>
            <w:vAlign w:val="bottom"/>
            <w:tcBorders>
              <w:bottom w:val="single" w:sz="8" w:color="CFF0FC"/>
            </w:tcBorders>
          </w:tcPr>
          <w:p>
            <w:pPr>
              <w:spacing w:after="0"/>
              <w:rPr>
                <w:sz w:val="17"/>
                <w:szCs w:val="17"/>
                <w:color w:val="auto"/>
              </w:rPr>
            </w:pPr>
          </w:p>
        </w:tc>
        <w:tc>
          <w:tcPr>
            <w:tcW w:w="20" w:type="dxa"/>
            <w:vAlign w:val="bottom"/>
            <w:tcBorders>
              <w:bottom w:val="single" w:sz="8" w:color="CFF0FC"/>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(3,330,455)</w:t>
            </w:r>
          </w:p>
        </w:tc>
        <w:tc>
          <w:tcPr>
            <w:tcW w:w="0" w:type="dxa"/>
            <w:vAlign w:val="bottom"/>
          </w:tcPr>
          <w:p>
            <w:pPr>
              <w:spacing w:after="0"/>
              <w:rPr>
                <w:sz w:val="1"/>
                <w:szCs w:val="1"/>
                <w:color w:val="auto"/>
              </w:rPr>
            </w:pPr>
          </w:p>
        </w:tc>
      </w:tr>
      <w:tr>
        <w:trPr>
          <w:trHeight w:val="193"/>
        </w:trPr>
        <w:tc>
          <w:tcPr>
            <w:tcW w:w="6340" w:type="dxa"/>
            <w:vAlign w:val="bottom"/>
            <w:shd w:val="clear" w:color="auto" w:fill="CFF0FC"/>
          </w:tcPr>
          <w:p>
            <w:pPr>
              <w:spacing w:after="0" w:line="190" w:lineRule="exact"/>
              <w:rPr>
                <w:sz w:val="20"/>
                <w:szCs w:val="20"/>
                <w:color w:val="auto"/>
              </w:rPr>
            </w:pPr>
            <w:r>
              <w:rPr>
                <w:rFonts w:ascii="Arial" w:cs="Arial" w:eastAsia="Arial" w:hAnsi="Arial"/>
                <w:sz w:val="17"/>
                <w:szCs w:val="17"/>
                <w:color w:val="auto"/>
              </w:rPr>
              <w:t>Total Uniti shareholders’ deficit</w:t>
            </w:r>
          </w:p>
        </w:tc>
        <w:tc>
          <w:tcPr>
            <w:tcW w:w="300" w:type="dxa"/>
            <w:vAlign w:val="bottom"/>
            <w:shd w:val="clear" w:color="auto" w:fill="CFF0FC"/>
          </w:tcPr>
          <w:p>
            <w:pPr>
              <w:spacing w:after="0"/>
              <w:rPr>
                <w:sz w:val="16"/>
                <w:szCs w:val="16"/>
                <w:color w:val="auto"/>
              </w:rPr>
            </w:pPr>
          </w:p>
        </w:tc>
        <w:tc>
          <w:tcPr>
            <w:tcW w:w="2500" w:type="dxa"/>
            <w:vAlign w:val="bottom"/>
            <w:gridSpan w:val="2"/>
            <w:shd w:val="clear" w:color="auto" w:fill="CFF0FC"/>
          </w:tcPr>
          <w:p>
            <w:pPr>
              <w:jc w:val="right"/>
              <w:ind w:right="680"/>
              <w:spacing w:after="0" w:line="194" w:lineRule="exact"/>
              <w:rPr>
                <w:sz w:val="20"/>
                <w:szCs w:val="20"/>
                <w:color w:val="auto"/>
              </w:rPr>
            </w:pPr>
            <w:r>
              <w:rPr>
                <w:rFonts w:ascii="Arial" w:cs="Arial" w:eastAsia="Arial" w:hAnsi="Arial"/>
                <w:sz w:val="17"/>
                <w:szCs w:val="17"/>
                <w:color w:val="auto"/>
              </w:rPr>
              <w:t>(2,127,792)</w:t>
            </w:r>
          </w:p>
        </w:tc>
        <w:tc>
          <w:tcPr>
            <w:tcW w:w="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900" w:type="dxa"/>
            <w:vAlign w:val="bottom"/>
            <w:shd w:val="clear" w:color="auto" w:fill="CFF0FC"/>
          </w:tcPr>
          <w:p>
            <w:pPr>
              <w:jc w:val="right"/>
              <w:spacing w:after="0" w:line="194" w:lineRule="exact"/>
              <w:rPr>
                <w:sz w:val="20"/>
                <w:szCs w:val="20"/>
                <w:color w:val="auto"/>
              </w:rPr>
            </w:pPr>
            <w:r>
              <w:rPr>
                <w:rFonts w:ascii="Arial" w:cs="Arial" w:eastAsia="Arial" w:hAnsi="Arial"/>
                <w:sz w:val="17"/>
                <w:szCs w:val="17"/>
                <w:color w:val="auto"/>
              </w:rPr>
              <w:t>(2,141,658)</w:t>
            </w:r>
          </w:p>
        </w:tc>
        <w:tc>
          <w:tcPr>
            <w:tcW w:w="0" w:type="dxa"/>
            <w:vAlign w:val="bottom"/>
          </w:tcPr>
          <w:p>
            <w:pPr>
              <w:spacing w:after="0"/>
              <w:rPr>
                <w:sz w:val="1"/>
                <w:szCs w:val="1"/>
                <w:color w:val="auto"/>
              </w:rPr>
            </w:pPr>
          </w:p>
        </w:tc>
      </w:tr>
      <w:tr>
        <w:trPr>
          <w:trHeight w:val="181"/>
        </w:trPr>
        <w:tc>
          <w:tcPr>
            <w:tcW w:w="6340" w:type="dxa"/>
            <w:vAlign w:val="bottom"/>
          </w:tcPr>
          <w:p>
            <w:pPr>
              <w:spacing w:after="0" w:line="180" w:lineRule="exact"/>
              <w:rPr>
                <w:sz w:val="20"/>
                <w:szCs w:val="20"/>
                <w:color w:val="auto"/>
              </w:rPr>
            </w:pPr>
            <w:r>
              <w:rPr>
                <w:rFonts w:ascii="Arial" w:cs="Arial" w:eastAsia="Arial" w:hAnsi="Arial"/>
                <w:sz w:val="17"/>
                <w:szCs w:val="17"/>
                <w:color w:val="auto"/>
              </w:rPr>
              <w:t>Noncontrolling interests – operating partnership units and non-voting convertible</w:t>
            </w:r>
          </w:p>
        </w:tc>
        <w:tc>
          <w:tcPr>
            <w:tcW w:w="30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3"/>
        </w:trPr>
        <w:tc>
          <w:tcPr>
            <w:tcW w:w="6340" w:type="dxa"/>
            <w:vAlign w:val="bottom"/>
            <w:tcBorders>
              <w:bottom w:val="single" w:sz="8" w:color="CFF0FC"/>
            </w:tcBorders>
          </w:tcPr>
          <w:p>
            <w:pPr>
              <w:spacing w:after="0" w:line="193" w:lineRule="exact"/>
              <w:rPr>
                <w:sz w:val="20"/>
                <w:szCs w:val="20"/>
                <w:color w:val="auto"/>
              </w:rPr>
            </w:pPr>
            <w:r>
              <w:rPr>
                <w:rFonts w:ascii="Arial" w:cs="Arial" w:eastAsia="Arial" w:hAnsi="Arial"/>
                <w:sz w:val="17"/>
                <w:szCs w:val="17"/>
                <w:color w:val="auto"/>
              </w:rPr>
              <w:t>preferred stock</w:t>
            </w:r>
          </w:p>
        </w:tc>
        <w:tc>
          <w:tcPr>
            <w:tcW w:w="300" w:type="dxa"/>
            <w:vAlign w:val="bottom"/>
            <w:tcBorders>
              <w:bottom w:val="single" w:sz="8" w:color="auto"/>
            </w:tcBorders>
          </w:tcPr>
          <w:p>
            <w:pPr>
              <w:spacing w:after="0"/>
              <w:rPr>
                <w:sz w:val="16"/>
                <w:szCs w:val="16"/>
                <w:color w:val="auto"/>
              </w:rPr>
            </w:pPr>
          </w:p>
        </w:tc>
        <w:tc>
          <w:tcPr>
            <w:tcW w:w="1820" w:type="dxa"/>
            <w:vAlign w:val="bottom"/>
            <w:tcBorders>
              <w:bottom w:val="single" w:sz="8" w:color="auto"/>
            </w:tcBorders>
          </w:tcPr>
          <w:p>
            <w:pPr>
              <w:jc w:val="right"/>
              <w:spacing w:after="0" w:line="193" w:lineRule="exact"/>
              <w:rPr>
                <w:sz w:val="20"/>
                <w:szCs w:val="20"/>
                <w:color w:val="auto"/>
              </w:rPr>
            </w:pPr>
            <w:r>
              <w:rPr>
                <w:rFonts w:ascii="Arial" w:cs="Arial" w:eastAsia="Arial" w:hAnsi="Arial"/>
                <w:sz w:val="17"/>
                <w:szCs w:val="17"/>
                <w:color w:val="auto"/>
              </w:rPr>
              <w:t>14,018</w:t>
            </w:r>
          </w:p>
        </w:tc>
        <w:tc>
          <w:tcPr>
            <w:tcW w:w="680" w:type="dxa"/>
            <w:vAlign w:val="bottom"/>
            <w:tcBorders>
              <w:bottom w:val="single" w:sz="8" w:color="CFF0FC"/>
            </w:tcBorders>
          </w:tcPr>
          <w:p>
            <w:pPr>
              <w:spacing w:after="0"/>
              <w:rPr>
                <w:sz w:val="16"/>
                <w:szCs w:val="16"/>
                <w:color w:val="auto"/>
              </w:rPr>
            </w:pPr>
          </w:p>
        </w:tc>
        <w:tc>
          <w:tcPr>
            <w:tcW w:w="20" w:type="dxa"/>
            <w:vAlign w:val="bottom"/>
            <w:tcBorders>
              <w:bottom w:val="single" w:sz="8" w:color="CFF0FC"/>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tcPr>
          <w:p>
            <w:pPr>
              <w:jc w:val="right"/>
              <w:spacing w:after="0" w:line="193" w:lineRule="exact"/>
              <w:rPr>
                <w:sz w:val="20"/>
                <w:szCs w:val="20"/>
                <w:color w:val="auto"/>
              </w:rPr>
            </w:pPr>
            <w:r>
              <w:rPr>
                <w:rFonts w:ascii="Arial" w:cs="Arial" w:eastAsia="Arial" w:hAnsi="Arial"/>
                <w:sz w:val="17"/>
                <w:szCs w:val="17"/>
                <w:color w:val="auto"/>
              </w:rPr>
              <w:t>69,282</w:t>
            </w:r>
          </w:p>
        </w:tc>
        <w:tc>
          <w:tcPr>
            <w:tcW w:w="0" w:type="dxa"/>
            <w:vAlign w:val="bottom"/>
          </w:tcPr>
          <w:p>
            <w:pPr>
              <w:spacing w:after="0"/>
              <w:rPr>
                <w:sz w:val="1"/>
                <w:szCs w:val="1"/>
                <w:color w:val="auto"/>
              </w:rPr>
            </w:pPr>
          </w:p>
        </w:tc>
      </w:tr>
      <w:tr>
        <w:trPr>
          <w:trHeight w:val="193"/>
        </w:trPr>
        <w:tc>
          <w:tcPr>
            <w:tcW w:w="6340" w:type="dxa"/>
            <w:vAlign w:val="bottom"/>
            <w:shd w:val="clear" w:color="auto" w:fill="CFF0FC"/>
          </w:tcPr>
          <w:p>
            <w:pPr>
              <w:ind w:left="120"/>
              <w:spacing w:after="0" w:line="190" w:lineRule="exact"/>
              <w:rPr>
                <w:sz w:val="20"/>
                <w:szCs w:val="20"/>
                <w:color w:val="auto"/>
              </w:rPr>
            </w:pPr>
            <w:r>
              <w:rPr>
                <w:rFonts w:ascii="Arial" w:cs="Arial" w:eastAsia="Arial" w:hAnsi="Arial"/>
                <w:sz w:val="17"/>
                <w:szCs w:val="17"/>
                <w:color w:val="auto"/>
              </w:rPr>
              <w:t>Total shareholders’ deficit</w:t>
            </w:r>
          </w:p>
        </w:tc>
        <w:tc>
          <w:tcPr>
            <w:tcW w:w="300" w:type="dxa"/>
            <w:vAlign w:val="bottom"/>
            <w:tcBorders>
              <w:bottom w:val="single" w:sz="8" w:color="auto"/>
            </w:tcBorders>
            <w:shd w:val="clear" w:color="auto" w:fill="CFF0FC"/>
          </w:tcPr>
          <w:p>
            <w:pPr>
              <w:spacing w:after="0"/>
              <w:rPr>
                <w:sz w:val="16"/>
                <w:szCs w:val="16"/>
                <w:color w:val="auto"/>
              </w:rPr>
            </w:pPr>
          </w:p>
        </w:tc>
        <w:tc>
          <w:tcPr>
            <w:tcW w:w="1820" w:type="dxa"/>
            <w:vAlign w:val="bottom"/>
            <w:tcBorders>
              <w:bottom w:val="single" w:sz="8" w:color="auto"/>
            </w:tcBorders>
            <w:shd w:val="clear" w:color="auto" w:fill="CFF0FC"/>
          </w:tcPr>
          <w:p>
            <w:pPr>
              <w:jc w:val="right"/>
              <w:spacing w:after="0" w:line="194" w:lineRule="exact"/>
              <w:rPr>
                <w:sz w:val="20"/>
                <w:szCs w:val="20"/>
                <w:color w:val="auto"/>
              </w:rPr>
            </w:pPr>
            <w:r>
              <w:rPr>
                <w:rFonts w:ascii="Arial" w:cs="Arial" w:eastAsia="Arial" w:hAnsi="Arial"/>
                <w:sz w:val="17"/>
                <w:szCs w:val="17"/>
                <w:color w:val="auto"/>
              </w:rPr>
              <w:t>(2,113,774)</w:t>
            </w:r>
          </w:p>
        </w:tc>
        <w:tc>
          <w:tcPr>
            <w:tcW w:w="680" w:type="dxa"/>
            <w:vAlign w:val="bottom"/>
            <w:shd w:val="clear" w:color="auto" w:fill="CFF0FC"/>
          </w:tcPr>
          <w:p>
            <w:pPr>
              <w:spacing w:after="0"/>
              <w:rPr>
                <w:sz w:val="16"/>
                <w:szCs w:val="16"/>
                <w:color w:val="auto"/>
              </w:rPr>
            </w:pPr>
          </w:p>
        </w:tc>
        <w:tc>
          <w:tcPr>
            <w:tcW w:w="20" w:type="dxa"/>
            <w:vAlign w:val="bottom"/>
            <w:shd w:val="clear" w:color="auto" w:fill="CFF0FC"/>
          </w:tcPr>
          <w:p>
            <w:pPr>
              <w:spacing w:after="0"/>
              <w:rPr>
                <w:sz w:val="16"/>
                <w:szCs w:val="16"/>
                <w:color w:val="auto"/>
              </w:rPr>
            </w:pPr>
          </w:p>
        </w:tc>
        <w:tc>
          <w:tcPr>
            <w:tcW w:w="180" w:type="dxa"/>
            <w:vAlign w:val="bottom"/>
            <w:tcBorders>
              <w:bottom w:val="single" w:sz="8" w:color="auto"/>
            </w:tcBorders>
            <w:shd w:val="clear" w:color="auto" w:fill="CFF0FC"/>
          </w:tcPr>
          <w:p>
            <w:pPr>
              <w:spacing w:after="0"/>
              <w:rPr>
                <w:sz w:val="16"/>
                <w:szCs w:val="16"/>
                <w:color w:val="auto"/>
              </w:rPr>
            </w:pPr>
          </w:p>
        </w:tc>
        <w:tc>
          <w:tcPr>
            <w:tcW w:w="1900" w:type="dxa"/>
            <w:vAlign w:val="bottom"/>
            <w:tcBorders>
              <w:bottom w:val="single" w:sz="8" w:color="auto"/>
            </w:tcBorders>
            <w:shd w:val="clear" w:color="auto" w:fill="CFF0FC"/>
          </w:tcPr>
          <w:p>
            <w:pPr>
              <w:jc w:val="right"/>
              <w:spacing w:after="0" w:line="194" w:lineRule="exact"/>
              <w:rPr>
                <w:sz w:val="20"/>
                <w:szCs w:val="20"/>
                <w:color w:val="auto"/>
              </w:rPr>
            </w:pPr>
            <w:r>
              <w:rPr>
                <w:rFonts w:ascii="Arial" w:cs="Arial" w:eastAsia="Arial" w:hAnsi="Arial"/>
                <w:sz w:val="17"/>
                <w:szCs w:val="17"/>
                <w:color w:val="auto"/>
              </w:rPr>
              <w:t>(2,072,376)</w:t>
            </w:r>
          </w:p>
        </w:tc>
        <w:tc>
          <w:tcPr>
            <w:tcW w:w="0" w:type="dxa"/>
            <w:vAlign w:val="bottom"/>
          </w:tcPr>
          <w:p>
            <w:pPr>
              <w:spacing w:after="0"/>
              <w:rPr>
                <w:sz w:val="1"/>
                <w:szCs w:val="1"/>
                <w:color w:val="auto"/>
              </w:rPr>
            </w:pPr>
          </w:p>
        </w:tc>
      </w:tr>
      <w:tr>
        <w:trPr>
          <w:trHeight w:val="193"/>
        </w:trPr>
        <w:tc>
          <w:tcPr>
            <w:tcW w:w="6340" w:type="dxa"/>
            <w:vAlign w:val="bottom"/>
          </w:tcPr>
          <w:p>
            <w:pPr>
              <w:spacing w:after="0" w:line="194" w:lineRule="exact"/>
              <w:rPr>
                <w:sz w:val="20"/>
                <w:szCs w:val="20"/>
                <w:color w:val="auto"/>
              </w:rPr>
            </w:pPr>
            <w:r>
              <w:rPr>
                <w:rFonts w:ascii="Arial" w:cs="Arial" w:eastAsia="Arial" w:hAnsi="Arial"/>
                <w:sz w:val="17"/>
                <w:szCs w:val="17"/>
                <w:b w:val="1"/>
                <w:bCs w:val="1"/>
                <w:color w:val="auto"/>
              </w:rPr>
              <w:t>Total Liabilities and Shareholders’ Deficit</w:t>
            </w:r>
          </w:p>
        </w:tc>
        <w:tc>
          <w:tcPr>
            <w:tcW w:w="300" w:type="dxa"/>
            <w:vAlign w:val="bottom"/>
          </w:tcPr>
          <w:p>
            <w:pPr>
              <w:jc w:val="right"/>
              <w:ind w:right="116"/>
              <w:spacing w:after="0" w:line="194" w:lineRule="exact"/>
              <w:rPr>
                <w:sz w:val="20"/>
                <w:szCs w:val="20"/>
                <w:color w:val="auto"/>
              </w:rPr>
            </w:pPr>
            <w:r>
              <w:rPr>
                <w:rFonts w:ascii="Arial" w:cs="Arial" w:eastAsia="Arial" w:hAnsi="Arial"/>
                <w:sz w:val="17"/>
                <w:szCs w:val="17"/>
                <w:color w:val="auto"/>
                <w:w w:val="84"/>
              </w:rPr>
              <w:t>$</w:t>
            </w:r>
          </w:p>
        </w:tc>
        <w:tc>
          <w:tcPr>
            <w:tcW w:w="2500" w:type="dxa"/>
            <w:vAlign w:val="bottom"/>
            <w:gridSpan w:val="2"/>
          </w:tcPr>
          <w:p>
            <w:pPr>
              <w:jc w:val="right"/>
              <w:ind w:right="680"/>
              <w:spacing w:after="0" w:line="194" w:lineRule="exact"/>
              <w:rPr>
                <w:sz w:val="20"/>
                <w:szCs w:val="20"/>
                <w:color w:val="auto"/>
              </w:rPr>
            </w:pPr>
            <w:r>
              <w:rPr>
                <w:rFonts w:ascii="Arial" w:cs="Arial" w:eastAsia="Arial" w:hAnsi="Arial"/>
                <w:sz w:val="17"/>
                <w:szCs w:val="17"/>
                <w:color w:val="auto"/>
              </w:rPr>
              <w:t>4,809,243</w:t>
            </w:r>
          </w:p>
        </w:tc>
        <w:tc>
          <w:tcPr>
            <w:tcW w:w="200" w:type="dxa"/>
            <w:vAlign w:val="bottom"/>
            <w:gridSpan w:val="2"/>
          </w:tcPr>
          <w:p>
            <w:pPr>
              <w:jc w:val="right"/>
              <w:ind w:right="26"/>
              <w:spacing w:after="0" w:line="194" w:lineRule="exact"/>
              <w:rPr>
                <w:sz w:val="20"/>
                <w:szCs w:val="20"/>
                <w:color w:val="auto"/>
              </w:rPr>
            </w:pPr>
            <w:r>
              <w:rPr>
                <w:rFonts w:ascii="Arial" w:cs="Arial" w:eastAsia="Arial" w:hAnsi="Arial"/>
                <w:sz w:val="17"/>
                <w:szCs w:val="17"/>
                <w:color w:val="auto"/>
                <w:w w:val="84"/>
              </w:rPr>
              <w:t>$</w:t>
            </w:r>
          </w:p>
        </w:tc>
        <w:tc>
          <w:tcPr>
            <w:tcW w:w="1900" w:type="dxa"/>
            <w:vAlign w:val="bottom"/>
          </w:tcPr>
          <w:p>
            <w:pPr>
              <w:jc w:val="right"/>
              <w:spacing w:after="0" w:line="194" w:lineRule="exact"/>
              <w:rPr>
                <w:sz w:val="20"/>
                <w:szCs w:val="20"/>
                <w:color w:val="auto"/>
              </w:rPr>
            </w:pPr>
            <w:r>
              <w:rPr>
                <w:rFonts w:ascii="Arial" w:cs="Arial" w:eastAsia="Arial" w:hAnsi="Arial"/>
                <w:sz w:val="17"/>
                <w:szCs w:val="17"/>
                <w:color w:val="auto"/>
              </w:rPr>
              <w:t>4,731,818</w:t>
            </w:r>
          </w:p>
        </w:tc>
        <w:tc>
          <w:tcPr>
            <w:tcW w:w="0" w:type="dxa"/>
            <w:vAlign w:val="bottom"/>
          </w:tcPr>
          <w:p>
            <w:pPr>
              <w:spacing w:after="0"/>
              <w:rPr>
                <w:sz w:val="1"/>
                <w:szCs w:val="1"/>
                <w:color w:val="auto"/>
              </w:rPr>
            </w:pPr>
          </w:p>
        </w:tc>
      </w:tr>
      <w:tr>
        <w:trPr>
          <w:trHeight w:val="20"/>
        </w:trPr>
        <w:tc>
          <w:tcPr>
            <w:tcW w:w="63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8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1033"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20"/>
          <w:szCs w:val="20"/>
          <w:b w:val="1"/>
          <w:bCs w:val="1"/>
          <w:color w:val="auto"/>
        </w:rPr>
        <w:t>Uniti Group Inc.</w:t>
      </w:r>
    </w:p>
    <w:p>
      <w:pPr>
        <w:jc w:val="center"/>
        <w:spacing w:after="0" w:line="230" w:lineRule="auto"/>
        <w:rPr>
          <w:sz w:val="20"/>
          <w:szCs w:val="20"/>
          <w:color w:val="auto"/>
        </w:rPr>
      </w:pPr>
      <w:r>
        <w:rPr>
          <w:rFonts w:ascii="Arial" w:cs="Arial" w:eastAsia="Arial" w:hAnsi="Arial"/>
          <w:sz w:val="20"/>
          <w:szCs w:val="20"/>
          <w:b w:val="1"/>
          <w:bCs w:val="1"/>
          <w:color w:val="auto"/>
        </w:rPr>
        <w:t>Consolidated Statements of Operations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(In thousands, except per share data)</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9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940" w:type="dxa"/>
            <w:vAlign w:val="bottom"/>
            <w:gridSpan w:val="5"/>
          </w:tcPr>
          <w:p>
            <w:pPr>
              <w:jc w:val="right"/>
              <w:ind w:right="460"/>
              <w:spacing w:after="0"/>
              <w:rPr>
                <w:sz w:val="20"/>
                <w:szCs w:val="20"/>
                <w:color w:val="auto"/>
              </w:rPr>
            </w:pPr>
            <w:r>
              <w:rPr>
                <w:rFonts w:ascii="Arial" w:cs="Arial" w:eastAsia="Arial" w:hAnsi="Arial"/>
                <w:sz w:val="14"/>
                <w:szCs w:val="14"/>
                <w:b w:val="1"/>
                <w:bCs w:val="1"/>
                <w:color w:val="auto"/>
              </w:rPr>
              <w:t>Three Months Ended December 31,</w:t>
            </w:r>
          </w:p>
        </w:tc>
        <w:tc>
          <w:tcPr>
            <w:tcW w:w="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680" w:type="dxa"/>
            <w:vAlign w:val="bottom"/>
            <w:gridSpan w:val="4"/>
          </w:tcPr>
          <w:p>
            <w:pPr>
              <w:jc w:val="right"/>
              <w:ind w:right="509"/>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53"/>
        </w:trPr>
        <w:tc>
          <w:tcPr>
            <w:tcW w:w="4940" w:type="dxa"/>
            <w:vAlign w:val="bottom"/>
          </w:tcPr>
          <w:p>
            <w:pPr>
              <w:spacing w:after="0"/>
              <w:rPr>
                <w:sz w:val="13"/>
                <w:szCs w:val="13"/>
                <w:color w:val="auto"/>
              </w:rPr>
            </w:pPr>
          </w:p>
        </w:tc>
        <w:tc>
          <w:tcPr>
            <w:tcW w:w="200" w:type="dxa"/>
            <w:vAlign w:val="bottom"/>
            <w:tcBorders>
              <w:top w:val="single" w:sz="8" w:color="auto"/>
              <w:bottom w:val="single" w:sz="8" w:color="auto"/>
            </w:tcBorders>
          </w:tcPr>
          <w:p>
            <w:pPr>
              <w:spacing w:after="0"/>
              <w:rPr>
                <w:sz w:val="13"/>
                <w:szCs w:val="13"/>
                <w:color w:val="auto"/>
              </w:rPr>
            </w:pPr>
          </w:p>
        </w:tc>
        <w:tc>
          <w:tcPr>
            <w:tcW w:w="1180" w:type="dxa"/>
            <w:vAlign w:val="bottom"/>
            <w:tcBorders>
              <w:top w:val="single" w:sz="8" w:color="auto"/>
              <w:bottom w:val="single" w:sz="8" w:color="auto"/>
            </w:tcBorders>
          </w:tcPr>
          <w:p>
            <w:pPr>
              <w:jc w:val="right"/>
              <w:ind w:right="389"/>
              <w:spacing w:after="0" w:line="153" w:lineRule="exact"/>
              <w:rPr>
                <w:sz w:val="20"/>
                <w:szCs w:val="20"/>
                <w:color w:val="auto"/>
              </w:rPr>
            </w:pPr>
            <w:r>
              <w:rPr>
                <w:rFonts w:ascii="Arial" w:cs="Arial" w:eastAsia="Arial" w:hAnsi="Arial"/>
                <w:sz w:val="14"/>
                <w:szCs w:val="14"/>
                <w:b w:val="1"/>
                <w:bCs w:val="1"/>
                <w:color w:val="auto"/>
              </w:rPr>
              <w:t>2021</w:t>
            </w:r>
          </w:p>
        </w:tc>
        <w:tc>
          <w:tcPr>
            <w:tcW w:w="200" w:type="dxa"/>
            <w:vAlign w:val="bottom"/>
            <w:tcBorders>
              <w:top w:val="single" w:sz="8" w:color="auto"/>
            </w:tcBorders>
          </w:tcPr>
          <w:p>
            <w:pPr>
              <w:spacing w:after="0"/>
              <w:rPr>
                <w:sz w:val="13"/>
                <w:szCs w:val="13"/>
                <w:color w:val="auto"/>
              </w:rPr>
            </w:pPr>
          </w:p>
        </w:tc>
        <w:tc>
          <w:tcPr>
            <w:tcW w:w="360" w:type="dxa"/>
            <w:vAlign w:val="bottom"/>
            <w:tcBorders>
              <w:top w:val="single" w:sz="8" w:color="auto"/>
              <w:bottom w:val="single" w:sz="8" w:color="auto"/>
            </w:tcBorders>
          </w:tcPr>
          <w:p>
            <w:pPr>
              <w:spacing w:after="0"/>
              <w:rPr>
                <w:sz w:val="13"/>
                <w:szCs w:val="13"/>
                <w:color w:val="auto"/>
              </w:rPr>
            </w:pPr>
          </w:p>
        </w:tc>
        <w:tc>
          <w:tcPr>
            <w:tcW w:w="1060" w:type="dxa"/>
            <w:vAlign w:val="bottom"/>
            <w:tcBorders>
              <w:top w:val="single" w:sz="8" w:color="auto"/>
              <w:bottom w:val="single" w:sz="8" w:color="auto"/>
            </w:tcBorders>
          </w:tcPr>
          <w:p>
            <w:pPr>
              <w:jc w:val="right"/>
              <w:ind w:right="369"/>
              <w:spacing w:after="0" w:line="153" w:lineRule="exact"/>
              <w:rPr>
                <w:sz w:val="20"/>
                <w:szCs w:val="20"/>
                <w:color w:val="auto"/>
              </w:rPr>
            </w:pPr>
            <w:r>
              <w:rPr>
                <w:rFonts w:ascii="Arial" w:cs="Arial" w:eastAsia="Arial" w:hAnsi="Arial"/>
                <w:sz w:val="14"/>
                <w:szCs w:val="14"/>
                <w:b w:val="1"/>
                <w:bCs w:val="1"/>
                <w:color w:val="auto"/>
              </w:rPr>
              <w:t>2020</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Borders>
              <w:top w:val="single" w:sz="8" w:color="auto"/>
              <w:bottom w:val="single" w:sz="8" w:color="auto"/>
            </w:tcBorders>
          </w:tcPr>
          <w:p>
            <w:pPr>
              <w:spacing w:after="0"/>
              <w:rPr>
                <w:sz w:val="13"/>
                <w:szCs w:val="13"/>
                <w:color w:val="auto"/>
              </w:rPr>
            </w:pPr>
          </w:p>
        </w:tc>
        <w:tc>
          <w:tcPr>
            <w:tcW w:w="1080" w:type="dxa"/>
            <w:vAlign w:val="bottom"/>
            <w:tcBorders>
              <w:top w:val="single" w:sz="8" w:color="auto"/>
              <w:bottom w:val="single" w:sz="8" w:color="auto"/>
            </w:tcBorders>
          </w:tcPr>
          <w:p>
            <w:pPr>
              <w:jc w:val="right"/>
              <w:ind w:right="429"/>
              <w:spacing w:after="0" w:line="153"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3"/>
                <w:szCs w:val="13"/>
                <w:color w:val="auto"/>
              </w:rPr>
            </w:pPr>
          </w:p>
        </w:tc>
        <w:tc>
          <w:tcPr>
            <w:tcW w:w="360" w:type="dxa"/>
            <w:vAlign w:val="bottom"/>
            <w:tcBorders>
              <w:top w:val="single" w:sz="8" w:color="auto"/>
              <w:bottom w:val="single" w:sz="8" w:color="auto"/>
            </w:tcBorders>
          </w:tcPr>
          <w:p>
            <w:pPr>
              <w:spacing w:after="0"/>
              <w:rPr>
                <w:sz w:val="13"/>
                <w:szCs w:val="13"/>
                <w:color w:val="auto"/>
              </w:rPr>
            </w:pPr>
          </w:p>
        </w:tc>
        <w:tc>
          <w:tcPr>
            <w:tcW w:w="1060" w:type="dxa"/>
            <w:vAlign w:val="bottom"/>
            <w:tcBorders>
              <w:top w:val="single" w:sz="8" w:color="auto"/>
              <w:bottom w:val="single" w:sz="8" w:color="auto"/>
            </w:tcBorders>
          </w:tcPr>
          <w:p>
            <w:pPr>
              <w:jc w:val="right"/>
              <w:ind w:right="389"/>
              <w:spacing w:after="0" w:line="153"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53"/>
        </w:trPr>
        <w:tc>
          <w:tcPr>
            <w:tcW w:w="4940" w:type="dxa"/>
            <w:vAlign w:val="bottom"/>
          </w:tcPr>
          <w:p>
            <w:pPr>
              <w:spacing w:after="0" w:line="153" w:lineRule="exact"/>
              <w:rPr>
                <w:sz w:val="20"/>
                <w:szCs w:val="20"/>
                <w:color w:val="auto"/>
              </w:rPr>
            </w:pPr>
            <w:r>
              <w:rPr>
                <w:rFonts w:ascii="Arial" w:cs="Arial" w:eastAsia="Arial" w:hAnsi="Arial"/>
                <w:sz w:val="14"/>
                <w:szCs w:val="14"/>
                <w:b w:val="1"/>
                <w:bCs w:val="1"/>
                <w:color w:val="auto"/>
              </w:rPr>
              <w:t>Revenues:</w:t>
            </w:r>
          </w:p>
        </w:tc>
        <w:tc>
          <w:tcPr>
            <w:tcW w:w="2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Leasing</w:t>
            </w:r>
          </w:p>
        </w:tc>
        <w:tc>
          <w:tcPr>
            <w:tcW w:w="200" w:type="dxa"/>
            <w:vAlign w:val="bottom"/>
            <w:shd w:val="clear" w:color="auto" w:fill="CFF0FC"/>
          </w:tcPr>
          <w:p>
            <w:pPr>
              <w:jc w:val="right"/>
              <w:ind w:right="89"/>
              <w:spacing w:after="0"/>
              <w:rPr>
                <w:sz w:val="20"/>
                <w:szCs w:val="20"/>
                <w:color w:val="auto"/>
              </w:rPr>
            </w:pPr>
            <w:r>
              <w:rPr>
                <w:rFonts w:ascii="Arial" w:cs="Arial" w:eastAsia="Arial" w:hAnsi="Arial"/>
                <w:sz w:val="10"/>
                <w:szCs w:val="10"/>
                <w:color w:val="auto"/>
                <w:w w:val="71"/>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211,019</w:t>
            </w:r>
          </w:p>
        </w:tc>
        <w:tc>
          <w:tcPr>
            <w:tcW w:w="200" w:type="dxa"/>
            <w:vAlign w:val="bottom"/>
            <w:shd w:val="clear" w:color="auto" w:fill="CFF0FC"/>
          </w:tcPr>
          <w:p>
            <w:pPr>
              <w:spacing w:after="0"/>
              <w:rPr>
                <w:sz w:val="22"/>
                <w:szCs w:val="22"/>
                <w:color w:val="auto"/>
              </w:rPr>
            </w:pPr>
          </w:p>
        </w:tc>
        <w:tc>
          <w:tcPr>
            <w:tcW w:w="360" w:type="dxa"/>
            <w:vAlign w:val="bottom"/>
            <w:shd w:val="clear" w:color="auto" w:fill="CFF0FC"/>
          </w:tcPr>
          <w:p>
            <w:pPr>
              <w:jc w:val="right"/>
              <w:ind w:right="209"/>
              <w:spacing w:after="0"/>
              <w:rPr>
                <w:sz w:val="20"/>
                <w:szCs w:val="20"/>
                <w:color w:val="auto"/>
              </w:rPr>
            </w:pPr>
            <w:r>
              <w:rPr>
                <w:rFonts w:ascii="Arial" w:cs="Arial" w:eastAsia="Arial" w:hAnsi="Arial"/>
                <w:sz w:val="14"/>
                <w:szCs w:val="14"/>
                <w:color w:val="auto"/>
                <w:w w:val="76"/>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193,873</w:t>
            </w:r>
          </w:p>
        </w:tc>
        <w:tc>
          <w:tcPr>
            <w:tcW w:w="140" w:type="dxa"/>
            <w:vAlign w:val="bottom"/>
            <w:shd w:val="clear" w:color="auto" w:fill="CFF0FC"/>
          </w:tcPr>
          <w:p>
            <w:pPr>
              <w:spacing w:after="0"/>
              <w:rPr>
                <w:sz w:val="22"/>
                <w:szCs w:val="22"/>
                <w:color w:val="auto"/>
              </w:rPr>
            </w:pPr>
          </w:p>
        </w:tc>
        <w:tc>
          <w:tcPr>
            <w:tcW w:w="480" w:type="dxa"/>
            <w:vAlign w:val="bottom"/>
            <w:gridSpan w:val="2"/>
            <w:shd w:val="clear" w:color="auto" w:fill="CFF0FC"/>
          </w:tcPr>
          <w:p>
            <w:pPr>
              <w:jc w:val="right"/>
              <w:ind w:right="189"/>
              <w:spacing w:after="0"/>
              <w:rPr>
                <w:sz w:val="20"/>
                <w:szCs w:val="20"/>
                <w:color w:val="auto"/>
              </w:rPr>
            </w:pPr>
            <w:r>
              <w:rPr>
                <w:rFonts w:ascii="Arial" w:cs="Arial" w:eastAsia="Arial" w:hAnsi="Arial"/>
                <w:sz w:val="14"/>
                <w:szCs w:val="14"/>
                <w:color w:val="auto"/>
              </w:rPr>
              <w:t>$</w:t>
            </w: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801,497</w:t>
            </w:r>
          </w:p>
        </w:tc>
        <w:tc>
          <w:tcPr>
            <w:tcW w:w="360" w:type="dxa"/>
            <w:vAlign w:val="bottom"/>
            <w:shd w:val="clear" w:color="auto" w:fill="CFF0FC"/>
          </w:tcPr>
          <w:p>
            <w:pPr>
              <w:jc w:val="right"/>
              <w:ind w:right="209"/>
              <w:spacing w:after="0"/>
              <w:rPr>
                <w:sz w:val="20"/>
                <w:szCs w:val="20"/>
                <w:color w:val="auto"/>
              </w:rPr>
            </w:pPr>
            <w:r>
              <w:rPr>
                <w:rFonts w:ascii="Arial" w:cs="Arial" w:eastAsia="Arial" w:hAnsi="Arial"/>
                <w:sz w:val="14"/>
                <w:szCs w:val="14"/>
                <w:color w:val="auto"/>
                <w:w w:val="76"/>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745,915</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Fiber Infrastructure</w:t>
            </w:r>
          </w:p>
        </w:tc>
        <w:tc>
          <w:tcPr>
            <w:tcW w:w="200" w:type="dxa"/>
            <w:vAlign w:val="bottom"/>
          </w:tcPr>
          <w:p>
            <w:pPr>
              <w:spacing w:after="0"/>
              <w:rPr>
                <w:sz w:val="13"/>
                <w:szCs w:val="13"/>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4"/>
                <w:szCs w:val="14"/>
                <w:color w:val="auto"/>
              </w:rPr>
              <w:t>81,990</w:t>
            </w:r>
          </w:p>
        </w:tc>
        <w:tc>
          <w:tcPr>
            <w:tcW w:w="360" w:type="dxa"/>
            <w:vAlign w:val="bottom"/>
          </w:tcPr>
          <w:p>
            <w:pPr>
              <w:spacing w:after="0"/>
              <w:rPr>
                <w:sz w:val="13"/>
                <w:szCs w:val="13"/>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4"/>
                <w:szCs w:val="14"/>
                <w:color w:val="auto"/>
              </w:rPr>
              <w:t>81,421</w:t>
            </w: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299,025</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314,363</w:t>
            </w:r>
          </w:p>
        </w:tc>
        <w:tc>
          <w:tcPr>
            <w:tcW w:w="0" w:type="dxa"/>
            <w:vAlign w:val="bottom"/>
          </w:tcPr>
          <w:p>
            <w:pPr>
              <w:spacing w:after="0"/>
              <w:rPr>
                <w:sz w:val="1"/>
                <w:szCs w:val="1"/>
                <w:color w:val="auto"/>
              </w:rPr>
            </w:pPr>
          </w:p>
        </w:tc>
      </w:tr>
      <w:tr>
        <w:trPr>
          <w:trHeight w:val="160"/>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Towers</w:t>
            </w:r>
          </w:p>
        </w:tc>
        <w:tc>
          <w:tcPr>
            <w:tcW w:w="20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6,112</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Consumer CLEC</w:t>
            </w:r>
          </w:p>
        </w:tc>
        <w:tc>
          <w:tcPr>
            <w:tcW w:w="200" w:type="dxa"/>
            <w:vAlign w:val="bottom"/>
          </w:tcPr>
          <w:p>
            <w:pPr>
              <w:spacing w:after="0"/>
              <w:rPr>
                <w:sz w:val="13"/>
                <w:szCs w:val="1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651</w:t>
            </w:r>
          </w:p>
        </w:tc>
        <w:tc>
          <w:tcPr>
            <w:tcW w:w="0" w:type="dxa"/>
            <w:vAlign w:val="bottom"/>
          </w:tcPr>
          <w:p>
            <w:pPr>
              <w:spacing w:after="0"/>
              <w:rPr>
                <w:sz w:val="1"/>
                <w:szCs w:val="1"/>
                <w:color w:val="auto"/>
              </w:rPr>
            </w:pPr>
          </w:p>
        </w:tc>
      </w:tr>
      <w:tr>
        <w:trPr>
          <w:trHeight w:val="20"/>
        </w:trPr>
        <w:tc>
          <w:tcPr>
            <w:tcW w:w="494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4940" w:type="dxa"/>
            <w:vAlign w:val="bottom"/>
            <w:shd w:val="clear" w:color="auto" w:fill="CFF0FC"/>
          </w:tcPr>
          <w:p>
            <w:pPr>
              <w:ind w:left="120"/>
              <w:spacing w:after="0" w:line="153" w:lineRule="exact"/>
              <w:rPr>
                <w:sz w:val="20"/>
                <w:szCs w:val="20"/>
                <w:color w:val="auto"/>
              </w:rPr>
            </w:pPr>
            <w:r>
              <w:rPr>
                <w:rFonts w:ascii="Arial" w:cs="Arial" w:eastAsia="Arial" w:hAnsi="Arial"/>
                <w:sz w:val="14"/>
                <w:szCs w:val="14"/>
                <w:color w:val="auto"/>
              </w:rPr>
              <w:t>Total revenues</w:t>
            </w:r>
          </w:p>
        </w:tc>
        <w:tc>
          <w:tcPr>
            <w:tcW w:w="20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293,009</w:t>
            </w:r>
          </w:p>
        </w:tc>
        <w:tc>
          <w:tcPr>
            <w:tcW w:w="20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275,294</w:t>
            </w:r>
          </w:p>
        </w:tc>
        <w:tc>
          <w:tcPr>
            <w:tcW w:w="1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line="153" w:lineRule="exact"/>
              <w:rPr>
                <w:sz w:val="20"/>
                <w:szCs w:val="20"/>
                <w:color w:val="auto"/>
              </w:rPr>
            </w:pPr>
            <w:r>
              <w:rPr>
                <w:rFonts w:ascii="Arial" w:cs="Arial" w:eastAsia="Arial" w:hAnsi="Arial"/>
                <w:sz w:val="14"/>
                <w:szCs w:val="14"/>
                <w:color w:val="auto"/>
              </w:rPr>
              <w:t>1,100,522</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1,067,041</w:t>
            </w:r>
          </w:p>
        </w:tc>
        <w:tc>
          <w:tcPr>
            <w:tcW w:w="0" w:type="dxa"/>
            <w:vAlign w:val="bottom"/>
          </w:tcPr>
          <w:p>
            <w:pPr>
              <w:spacing w:after="0"/>
              <w:rPr>
                <w:sz w:val="1"/>
                <w:szCs w:val="1"/>
                <w:color w:val="auto"/>
              </w:rPr>
            </w:pPr>
          </w:p>
        </w:tc>
      </w:tr>
      <w:tr>
        <w:trPr>
          <w:trHeight w:val="307"/>
        </w:trPr>
        <w:tc>
          <w:tcPr>
            <w:tcW w:w="4940" w:type="dxa"/>
            <w:vAlign w:val="bottom"/>
          </w:tcPr>
          <w:p>
            <w:pPr>
              <w:spacing w:after="0"/>
              <w:rPr>
                <w:sz w:val="20"/>
                <w:szCs w:val="20"/>
                <w:color w:val="auto"/>
              </w:rPr>
            </w:pPr>
            <w:r>
              <w:rPr>
                <w:rFonts w:ascii="Arial" w:cs="Arial" w:eastAsia="Arial" w:hAnsi="Arial"/>
                <w:sz w:val="14"/>
                <w:szCs w:val="14"/>
                <w:b w:val="1"/>
                <w:bCs w:val="1"/>
                <w:color w:val="auto"/>
              </w:rPr>
              <w:t>Costs and expenses:</w:t>
            </w: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0"/>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Interest expense, net</w:t>
            </w:r>
          </w:p>
        </w:tc>
        <w:tc>
          <w:tcPr>
            <w:tcW w:w="20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104,534</w:t>
            </w:r>
          </w:p>
        </w:tc>
        <w:tc>
          <w:tcPr>
            <w:tcW w:w="20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108,701</w:t>
            </w:r>
          </w:p>
        </w:tc>
        <w:tc>
          <w:tcPr>
            <w:tcW w:w="1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446,296</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497,128</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Depreciation and amortization</w:t>
            </w:r>
          </w:p>
        </w:tc>
        <w:tc>
          <w:tcPr>
            <w:tcW w:w="200" w:type="dxa"/>
            <w:vAlign w:val="bottom"/>
          </w:tcPr>
          <w:p>
            <w:pPr>
              <w:spacing w:after="0"/>
              <w:rPr>
                <w:sz w:val="13"/>
                <w:szCs w:val="13"/>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4"/>
                <w:szCs w:val="14"/>
                <w:color w:val="auto"/>
              </w:rPr>
              <w:t>79,777</w:t>
            </w:r>
          </w:p>
        </w:tc>
        <w:tc>
          <w:tcPr>
            <w:tcW w:w="360" w:type="dxa"/>
            <w:vAlign w:val="bottom"/>
          </w:tcPr>
          <w:p>
            <w:pPr>
              <w:spacing w:after="0"/>
              <w:rPr>
                <w:sz w:val="13"/>
                <w:szCs w:val="13"/>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4"/>
                <w:szCs w:val="14"/>
                <w:color w:val="auto"/>
              </w:rPr>
              <w:t>78,433</w:t>
            </w: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290,942</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329,403</w:t>
            </w:r>
          </w:p>
        </w:tc>
        <w:tc>
          <w:tcPr>
            <w:tcW w:w="0" w:type="dxa"/>
            <w:vAlign w:val="bottom"/>
          </w:tcPr>
          <w:p>
            <w:pPr>
              <w:spacing w:after="0"/>
              <w:rPr>
                <w:sz w:val="1"/>
                <w:szCs w:val="1"/>
                <w:color w:val="auto"/>
              </w:rPr>
            </w:pPr>
          </w:p>
        </w:tc>
      </w:tr>
      <w:tr>
        <w:trPr>
          <w:trHeight w:val="160"/>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General and administrative expense</w:t>
            </w:r>
          </w:p>
        </w:tc>
        <w:tc>
          <w:tcPr>
            <w:tcW w:w="200" w:type="dxa"/>
            <w:vAlign w:val="bottom"/>
            <w:shd w:val="clear" w:color="auto" w:fill="CFF0FC"/>
          </w:tcPr>
          <w:p>
            <w:pPr>
              <w:spacing w:after="0"/>
              <w:rPr>
                <w:sz w:val="13"/>
                <w:szCs w:val="13"/>
                <w:color w:val="auto"/>
              </w:rPr>
            </w:pPr>
          </w:p>
        </w:tc>
        <w:tc>
          <w:tcPr>
            <w:tcW w:w="13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25,376</w:t>
            </w:r>
          </w:p>
        </w:tc>
        <w:tc>
          <w:tcPr>
            <w:tcW w:w="360" w:type="dxa"/>
            <w:vAlign w:val="bottom"/>
            <w:shd w:val="clear" w:color="auto" w:fill="CFF0FC"/>
          </w:tcPr>
          <w:p>
            <w:pPr>
              <w:spacing w:after="0"/>
              <w:rPr>
                <w:sz w:val="13"/>
                <w:szCs w:val="13"/>
                <w:color w:val="auto"/>
              </w:rPr>
            </w:pPr>
          </w:p>
        </w:tc>
        <w:tc>
          <w:tcPr>
            <w:tcW w:w="120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23,289</w:t>
            </w: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101,176</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104,975</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Operating expense (exclusive of depreciation and amortization)</w:t>
            </w:r>
          </w:p>
        </w:tc>
        <w:tc>
          <w:tcPr>
            <w:tcW w:w="200" w:type="dxa"/>
            <w:vAlign w:val="bottom"/>
          </w:tcPr>
          <w:p>
            <w:pPr>
              <w:spacing w:after="0"/>
              <w:rPr>
                <w:sz w:val="13"/>
                <w:szCs w:val="13"/>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4"/>
                <w:szCs w:val="14"/>
                <w:color w:val="auto"/>
              </w:rPr>
              <w:t>41,433</w:t>
            </w:r>
          </w:p>
        </w:tc>
        <w:tc>
          <w:tcPr>
            <w:tcW w:w="360" w:type="dxa"/>
            <w:vAlign w:val="bottom"/>
          </w:tcPr>
          <w:p>
            <w:pPr>
              <w:spacing w:after="0"/>
              <w:rPr>
                <w:sz w:val="13"/>
                <w:szCs w:val="13"/>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4"/>
                <w:szCs w:val="14"/>
                <w:color w:val="auto"/>
              </w:rPr>
              <w:t>41,029</w:t>
            </w: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146,869</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159,337</w:t>
            </w:r>
          </w:p>
        </w:tc>
        <w:tc>
          <w:tcPr>
            <w:tcW w:w="0" w:type="dxa"/>
            <w:vAlign w:val="bottom"/>
          </w:tcPr>
          <w:p>
            <w:pPr>
              <w:spacing w:after="0"/>
              <w:rPr>
                <w:sz w:val="1"/>
                <w:szCs w:val="1"/>
                <w:color w:val="auto"/>
              </w:rPr>
            </w:pPr>
          </w:p>
        </w:tc>
      </w:tr>
      <w:tr>
        <w:trPr>
          <w:trHeight w:val="160"/>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Settlement expense</w:t>
            </w:r>
          </w:p>
        </w:tc>
        <w:tc>
          <w:tcPr>
            <w:tcW w:w="20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650,000</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Goodwill impairment</w:t>
            </w:r>
          </w:p>
        </w:tc>
        <w:tc>
          <w:tcPr>
            <w:tcW w:w="200" w:type="dxa"/>
            <w:vAlign w:val="bottom"/>
          </w:tcPr>
          <w:p>
            <w:pPr>
              <w:spacing w:after="0"/>
              <w:rPr>
                <w:sz w:val="13"/>
                <w:szCs w:val="1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4"/>
                <w:szCs w:val="14"/>
                <w:color w:val="auto"/>
              </w:rPr>
              <w:t>71,000</w:t>
            </w: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71,000</w:t>
            </w:r>
          </w:p>
        </w:tc>
        <w:tc>
          <w:tcPr>
            <w:tcW w:w="0" w:type="dxa"/>
            <w:vAlign w:val="bottom"/>
          </w:tcPr>
          <w:p>
            <w:pPr>
              <w:spacing w:after="0"/>
              <w:rPr>
                <w:sz w:val="1"/>
                <w:szCs w:val="1"/>
                <w:color w:val="auto"/>
              </w:rPr>
            </w:pPr>
          </w:p>
        </w:tc>
      </w:tr>
      <w:tr>
        <w:trPr>
          <w:trHeight w:val="160"/>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Transaction related and other costs</w:t>
            </w:r>
          </w:p>
        </w:tc>
        <w:tc>
          <w:tcPr>
            <w:tcW w:w="200" w:type="dxa"/>
            <w:vAlign w:val="bottom"/>
            <w:shd w:val="clear" w:color="auto" w:fill="CFF0FC"/>
          </w:tcPr>
          <w:p>
            <w:pPr>
              <w:spacing w:after="0"/>
              <w:rPr>
                <w:sz w:val="13"/>
                <w:szCs w:val="13"/>
                <w:color w:val="auto"/>
              </w:rPr>
            </w:pPr>
          </w:p>
        </w:tc>
        <w:tc>
          <w:tcPr>
            <w:tcW w:w="13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1,920</w:t>
            </w:r>
          </w:p>
        </w:tc>
        <w:tc>
          <w:tcPr>
            <w:tcW w:w="360" w:type="dxa"/>
            <w:vAlign w:val="bottom"/>
            <w:shd w:val="clear" w:color="auto" w:fill="CFF0FC"/>
          </w:tcPr>
          <w:p>
            <w:pPr>
              <w:spacing w:after="0"/>
              <w:rPr>
                <w:sz w:val="13"/>
                <w:szCs w:val="13"/>
                <w:color w:val="auto"/>
              </w:rPr>
            </w:pPr>
          </w:p>
        </w:tc>
        <w:tc>
          <w:tcPr>
            <w:tcW w:w="120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8,531</w:t>
            </w: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7,544</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63,875</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Loss (gain) on sale of real estate</w:t>
            </w:r>
          </w:p>
        </w:tc>
        <w:tc>
          <w:tcPr>
            <w:tcW w:w="200" w:type="dxa"/>
            <w:vAlign w:val="bottom"/>
          </w:tcPr>
          <w:p>
            <w:pPr>
              <w:spacing w:after="0"/>
              <w:rPr>
                <w:sz w:val="13"/>
                <w:szCs w:val="1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4"/>
                <w:szCs w:val="14"/>
                <w:color w:val="auto"/>
              </w:rPr>
              <w:t>459</w:t>
            </w: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(442)</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(86,267)</w:t>
            </w:r>
          </w:p>
        </w:tc>
        <w:tc>
          <w:tcPr>
            <w:tcW w:w="0" w:type="dxa"/>
            <w:vAlign w:val="bottom"/>
          </w:tcPr>
          <w:p>
            <w:pPr>
              <w:spacing w:after="0"/>
              <w:rPr>
                <w:sz w:val="1"/>
                <w:szCs w:val="1"/>
                <w:color w:val="auto"/>
              </w:rPr>
            </w:pPr>
          </w:p>
        </w:tc>
      </w:tr>
      <w:tr>
        <w:trPr>
          <w:trHeight w:val="160"/>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Gain on sale of operations</w:t>
            </w:r>
          </w:p>
        </w:tc>
        <w:tc>
          <w:tcPr>
            <w:tcW w:w="20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(28,143)</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Other expense (income), net</w:t>
            </w:r>
          </w:p>
        </w:tc>
        <w:tc>
          <w:tcPr>
            <w:tcW w:w="200" w:type="dxa"/>
            <w:vAlign w:val="bottom"/>
          </w:tcPr>
          <w:p>
            <w:pPr>
              <w:spacing w:after="0"/>
              <w:rPr>
                <w:sz w:val="13"/>
                <w:szCs w:val="1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9,795</w:t>
            </w: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(483)</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18,553</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11,703</w:t>
            </w:r>
          </w:p>
        </w:tc>
        <w:tc>
          <w:tcPr>
            <w:tcW w:w="0" w:type="dxa"/>
            <w:vAlign w:val="bottom"/>
          </w:tcPr>
          <w:p>
            <w:pPr>
              <w:spacing w:after="0"/>
              <w:rPr>
                <w:sz w:val="1"/>
                <w:szCs w:val="1"/>
                <w:color w:val="auto"/>
              </w:rPr>
            </w:pPr>
          </w:p>
        </w:tc>
      </w:tr>
      <w:tr>
        <w:trPr>
          <w:trHeight w:val="20"/>
        </w:trPr>
        <w:tc>
          <w:tcPr>
            <w:tcW w:w="494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4940" w:type="dxa"/>
            <w:vAlign w:val="bottom"/>
            <w:shd w:val="clear" w:color="auto" w:fill="CFF0FC"/>
          </w:tcPr>
          <w:p>
            <w:pPr>
              <w:spacing w:after="0" w:line="153" w:lineRule="exact"/>
              <w:rPr>
                <w:sz w:val="20"/>
                <w:szCs w:val="20"/>
                <w:color w:val="auto"/>
              </w:rPr>
            </w:pPr>
            <w:r>
              <w:rPr>
                <w:rFonts w:ascii="Arial" w:cs="Arial" w:eastAsia="Arial" w:hAnsi="Arial"/>
                <w:sz w:val="14"/>
                <w:szCs w:val="14"/>
                <w:color w:val="auto"/>
              </w:rPr>
              <w:t>Total costs and expenses</w:t>
            </w:r>
          </w:p>
        </w:tc>
        <w:tc>
          <w:tcPr>
            <w:tcW w:w="20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262,835</w:t>
            </w:r>
          </w:p>
        </w:tc>
        <w:tc>
          <w:tcPr>
            <w:tcW w:w="20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330,959</w:t>
            </w:r>
          </w:p>
        </w:tc>
        <w:tc>
          <w:tcPr>
            <w:tcW w:w="1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line="153" w:lineRule="exact"/>
              <w:rPr>
                <w:sz w:val="20"/>
                <w:szCs w:val="20"/>
                <w:color w:val="auto"/>
              </w:rPr>
            </w:pPr>
            <w:r>
              <w:rPr>
                <w:rFonts w:ascii="Arial" w:cs="Arial" w:eastAsia="Arial" w:hAnsi="Arial"/>
                <w:sz w:val="14"/>
                <w:szCs w:val="14"/>
                <w:color w:val="auto"/>
              </w:rPr>
              <w:t>982,795</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1,801,154</w:t>
            </w:r>
          </w:p>
        </w:tc>
        <w:tc>
          <w:tcPr>
            <w:tcW w:w="0" w:type="dxa"/>
            <w:vAlign w:val="bottom"/>
          </w:tcPr>
          <w:p>
            <w:pPr>
              <w:spacing w:after="0"/>
              <w:rPr>
                <w:sz w:val="1"/>
                <w:szCs w:val="1"/>
                <w:color w:val="auto"/>
              </w:rPr>
            </w:pPr>
          </w:p>
        </w:tc>
      </w:tr>
      <w:tr>
        <w:trPr>
          <w:trHeight w:val="312"/>
        </w:trPr>
        <w:tc>
          <w:tcPr>
            <w:tcW w:w="4940" w:type="dxa"/>
            <w:vAlign w:val="bottom"/>
          </w:tcPr>
          <w:p>
            <w:pPr>
              <w:spacing w:after="0"/>
              <w:rPr>
                <w:sz w:val="20"/>
                <w:szCs w:val="20"/>
                <w:color w:val="auto"/>
              </w:rPr>
            </w:pPr>
            <w:r>
              <w:rPr>
                <w:rFonts w:ascii="Arial" w:cs="Arial" w:eastAsia="Arial" w:hAnsi="Arial"/>
                <w:sz w:val="14"/>
                <w:szCs w:val="14"/>
                <w:color w:val="auto"/>
              </w:rPr>
              <w:t>Income (loss) before income taxes and equity in earnings from unconsolidated</w:t>
            </w: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4940" w:type="dxa"/>
            <w:vAlign w:val="bottom"/>
          </w:tcPr>
          <w:p>
            <w:pPr>
              <w:spacing w:after="0" w:line="155" w:lineRule="exact"/>
              <w:rPr>
                <w:sz w:val="20"/>
                <w:szCs w:val="20"/>
                <w:color w:val="auto"/>
              </w:rPr>
            </w:pPr>
            <w:r>
              <w:rPr>
                <w:rFonts w:ascii="Arial" w:cs="Arial" w:eastAsia="Arial" w:hAnsi="Arial"/>
                <w:sz w:val="14"/>
                <w:szCs w:val="14"/>
                <w:color w:val="auto"/>
              </w:rPr>
              <w:t>entities</w:t>
            </w:r>
          </w:p>
        </w:tc>
        <w:tc>
          <w:tcPr>
            <w:tcW w:w="200" w:type="dxa"/>
            <w:vAlign w:val="bottom"/>
          </w:tcPr>
          <w:p>
            <w:pPr>
              <w:spacing w:after="0"/>
              <w:rPr>
                <w:sz w:val="13"/>
                <w:szCs w:val="13"/>
                <w:color w:val="auto"/>
              </w:rPr>
            </w:pPr>
          </w:p>
        </w:tc>
        <w:tc>
          <w:tcPr>
            <w:tcW w:w="1380" w:type="dxa"/>
            <w:vAlign w:val="bottom"/>
            <w:gridSpan w:val="2"/>
          </w:tcPr>
          <w:p>
            <w:pPr>
              <w:jc w:val="right"/>
              <w:ind w:right="200"/>
              <w:spacing w:after="0" w:line="155" w:lineRule="exact"/>
              <w:rPr>
                <w:sz w:val="20"/>
                <w:szCs w:val="20"/>
                <w:color w:val="auto"/>
              </w:rPr>
            </w:pPr>
            <w:r>
              <w:rPr>
                <w:rFonts w:ascii="Arial" w:cs="Arial" w:eastAsia="Arial" w:hAnsi="Arial"/>
                <w:sz w:val="14"/>
                <w:szCs w:val="14"/>
                <w:color w:val="auto"/>
              </w:rPr>
              <w:t>30,174</w:t>
            </w:r>
          </w:p>
        </w:tc>
        <w:tc>
          <w:tcPr>
            <w:tcW w:w="360" w:type="dxa"/>
            <w:vAlign w:val="bottom"/>
          </w:tcPr>
          <w:p>
            <w:pPr>
              <w:spacing w:after="0"/>
              <w:rPr>
                <w:sz w:val="13"/>
                <w:szCs w:val="13"/>
                <w:color w:val="auto"/>
              </w:rPr>
            </w:pPr>
          </w:p>
        </w:tc>
        <w:tc>
          <w:tcPr>
            <w:tcW w:w="1060" w:type="dxa"/>
            <w:vAlign w:val="bottom"/>
          </w:tcPr>
          <w:p>
            <w:pPr>
              <w:jc w:val="right"/>
              <w:spacing w:after="0" w:line="155" w:lineRule="exact"/>
              <w:rPr>
                <w:sz w:val="20"/>
                <w:szCs w:val="20"/>
                <w:color w:val="auto"/>
              </w:rPr>
            </w:pPr>
            <w:r>
              <w:rPr>
                <w:rFonts w:ascii="Arial" w:cs="Arial" w:eastAsia="Arial" w:hAnsi="Arial"/>
                <w:sz w:val="14"/>
                <w:szCs w:val="14"/>
                <w:color w:val="auto"/>
              </w:rPr>
              <w:t>(55,665)</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line="155" w:lineRule="exact"/>
              <w:rPr>
                <w:sz w:val="20"/>
                <w:szCs w:val="20"/>
                <w:color w:val="auto"/>
              </w:rPr>
            </w:pPr>
            <w:r>
              <w:rPr>
                <w:rFonts w:ascii="Arial" w:cs="Arial" w:eastAsia="Arial" w:hAnsi="Arial"/>
                <w:sz w:val="14"/>
                <w:szCs w:val="14"/>
                <w:color w:val="auto"/>
              </w:rPr>
              <w:t>117,727</w:t>
            </w:r>
          </w:p>
        </w:tc>
        <w:tc>
          <w:tcPr>
            <w:tcW w:w="360" w:type="dxa"/>
            <w:vAlign w:val="bottom"/>
          </w:tcPr>
          <w:p>
            <w:pPr>
              <w:spacing w:after="0"/>
              <w:rPr>
                <w:sz w:val="13"/>
                <w:szCs w:val="13"/>
                <w:color w:val="auto"/>
              </w:rPr>
            </w:pPr>
          </w:p>
        </w:tc>
        <w:tc>
          <w:tcPr>
            <w:tcW w:w="1060" w:type="dxa"/>
            <w:vAlign w:val="bottom"/>
          </w:tcPr>
          <w:p>
            <w:pPr>
              <w:jc w:val="right"/>
              <w:spacing w:after="0" w:line="155" w:lineRule="exact"/>
              <w:rPr>
                <w:sz w:val="20"/>
                <w:szCs w:val="20"/>
                <w:color w:val="auto"/>
              </w:rPr>
            </w:pPr>
            <w:r>
              <w:rPr>
                <w:rFonts w:ascii="Arial" w:cs="Arial" w:eastAsia="Arial" w:hAnsi="Arial"/>
                <w:sz w:val="14"/>
                <w:szCs w:val="14"/>
                <w:color w:val="auto"/>
              </w:rPr>
              <w:t>(734,113)</w:t>
            </w:r>
          </w:p>
        </w:tc>
        <w:tc>
          <w:tcPr>
            <w:tcW w:w="0" w:type="dxa"/>
            <w:vAlign w:val="bottom"/>
          </w:tcPr>
          <w:p>
            <w:pPr>
              <w:spacing w:after="0"/>
              <w:rPr>
                <w:sz w:val="1"/>
                <w:szCs w:val="1"/>
                <w:color w:val="auto"/>
              </w:rPr>
            </w:pPr>
          </w:p>
        </w:tc>
      </w:tr>
      <w:tr>
        <w:trPr>
          <w:trHeight w:val="160"/>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Income tax benefit</w:t>
            </w:r>
          </w:p>
        </w:tc>
        <w:tc>
          <w:tcPr>
            <w:tcW w:w="200" w:type="dxa"/>
            <w:vAlign w:val="bottom"/>
            <w:shd w:val="clear" w:color="auto" w:fill="CFF0FC"/>
          </w:tcPr>
          <w:p>
            <w:pPr>
              <w:spacing w:after="0"/>
              <w:rPr>
                <w:sz w:val="13"/>
                <w:szCs w:val="13"/>
                <w:color w:val="auto"/>
              </w:rPr>
            </w:pPr>
          </w:p>
        </w:tc>
        <w:tc>
          <w:tcPr>
            <w:tcW w:w="13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(5,199)</w:t>
            </w:r>
          </w:p>
        </w:tc>
        <w:tc>
          <w:tcPr>
            <w:tcW w:w="360" w:type="dxa"/>
            <w:vAlign w:val="bottom"/>
            <w:shd w:val="clear" w:color="auto" w:fill="CFF0FC"/>
          </w:tcPr>
          <w:p>
            <w:pPr>
              <w:spacing w:after="0"/>
              <w:rPr>
                <w:sz w:val="13"/>
                <w:szCs w:val="13"/>
                <w:color w:val="auto"/>
              </w:rPr>
            </w:pPr>
          </w:p>
        </w:tc>
        <w:tc>
          <w:tcPr>
            <w:tcW w:w="120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(7,553)</w:t>
            </w: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(4,916)</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(15,203)</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Equity in earnings from unconsolidated entities</w:t>
            </w:r>
          </w:p>
        </w:tc>
        <w:tc>
          <w:tcPr>
            <w:tcW w:w="200" w:type="dxa"/>
            <w:vAlign w:val="bottom"/>
          </w:tcPr>
          <w:p>
            <w:pPr>
              <w:spacing w:after="0"/>
              <w:rPr>
                <w:sz w:val="13"/>
                <w:szCs w:val="1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(553)</w:t>
            </w: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(440)</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(2,102)</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(98)</w:t>
            </w:r>
          </w:p>
        </w:tc>
        <w:tc>
          <w:tcPr>
            <w:tcW w:w="0" w:type="dxa"/>
            <w:vAlign w:val="bottom"/>
          </w:tcPr>
          <w:p>
            <w:pPr>
              <w:spacing w:after="0"/>
              <w:rPr>
                <w:sz w:val="1"/>
                <w:szCs w:val="1"/>
                <w:color w:val="auto"/>
              </w:rPr>
            </w:pPr>
          </w:p>
        </w:tc>
      </w:tr>
      <w:tr>
        <w:trPr>
          <w:trHeight w:val="20"/>
        </w:trPr>
        <w:tc>
          <w:tcPr>
            <w:tcW w:w="4940" w:type="dxa"/>
            <w:vAlign w:val="bottom"/>
            <w:vMerge w:val="restart"/>
            <w:shd w:val="clear" w:color="auto" w:fill="CFF0FC"/>
          </w:tcPr>
          <w:p>
            <w:pPr>
              <w:spacing w:after="0"/>
              <w:rPr>
                <w:sz w:val="20"/>
                <w:szCs w:val="20"/>
                <w:color w:val="auto"/>
              </w:rPr>
            </w:pPr>
            <w:r>
              <w:rPr>
                <w:rFonts w:ascii="Arial" w:cs="Arial" w:eastAsia="Arial" w:hAnsi="Arial"/>
                <w:sz w:val="14"/>
                <w:szCs w:val="14"/>
                <w:b w:val="1"/>
                <w:bCs w:val="1"/>
                <w:color w:val="auto"/>
              </w:rPr>
              <w:t>Net income (loss)</w:t>
            </w:r>
          </w:p>
        </w:tc>
        <w:tc>
          <w:tcPr>
            <w:tcW w:w="2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4940" w:type="dxa"/>
            <w:vAlign w:val="bottom"/>
            <w:vMerge w:val="continue"/>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35,926</w:t>
            </w:r>
          </w:p>
        </w:tc>
        <w:tc>
          <w:tcPr>
            <w:tcW w:w="20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(47,672)</w:t>
            </w:r>
          </w:p>
        </w:tc>
        <w:tc>
          <w:tcPr>
            <w:tcW w:w="1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line="153" w:lineRule="exact"/>
              <w:rPr>
                <w:sz w:val="20"/>
                <w:szCs w:val="20"/>
                <w:color w:val="auto"/>
              </w:rPr>
            </w:pPr>
            <w:r>
              <w:rPr>
                <w:rFonts w:ascii="Arial" w:cs="Arial" w:eastAsia="Arial" w:hAnsi="Arial"/>
                <w:sz w:val="14"/>
                <w:szCs w:val="14"/>
                <w:color w:val="auto"/>
              </w:rPr>
              <w:t>124,745</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(718,812)</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Net income (loss) attributable to noncontrolling interests</w:t>
            </w:r>
          </w:p>
        </w:tc>
        <w:tc>
          <w:tcPr>
            <w:tcW w:w="200" w:type="dxa"/>
            <w:vAlign w:val="bottom"/>
          </w:tcPr>
          <w:p>
            <w:pPr>
              <w:spacing w:after="0"/>
              <w:rPr>
                <w:sz w:val="13"/>
                <w:szCs w:val="1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101</w:t>
            </w: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(703)</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1,085</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(12,511)</w:t>
            </w:r>
          </w:p>
        </w:tc>
        <w:tc>
          <w:tcPr>
            <w:tcW w:w="0" w:type="dxa"/>
            <w:vAlign w:val="bottom"/>
          </w:tcPr>
          <w:p>
            <w:pPr>
              <w:spacing w:after="0"/>
              <w:rPr>
                <w:sz w:val="1"/>
                <w:szCs w:val="1"/>
                <w:color w:val="auto"/>
              </w:rPr>
            </w:pPr>
          </w:p>
        </w:tc>
      </w:tr>
      <w:tr>
        <w:trPr>
          <w:trHeight w:val="20"/>
        </w:trPr>
        <w:tc>
          <w:tcPr>
            <w:tcW w:w="4940" w:type="dxa"/>
            <w:vAlign w:val="bottom"/>
            <w:vMerge w:val="restart"/>
            <w:shd w:val="clear" w:color="auto" w:fill="CFF0FC"/>
          </w:tcPr>
          <w:p>
            <w:pPr>
              <w:spacing w:after="0"/>
              <w:rPr>
                <w:sz w:val="20"/>
                <w:szCs w:val="20"/>
                <w:color w:val="auto"/>
              </w:rPr>
            </w:pPr>
            <w:r>
              <w:rPr>
                <w:rFonts w:ascii="Arial" w:cs="Arial" w:eastAsia="Arial" w:hAnsi="Arial"/>
                <w:sz w:val="14"/>
                <w:szCs w:val="14"/>
                <w:b w:val="1"/>
                <w:bCs w:val="1"/>
                <w:color w:val="auto"/>
              </w:rPr>
              <w:t>Net income (loss) attributable to shareholders</w:t>
            </w:r>
          </w:p>
        </w:tc>
        <w:tc>
          <w:tcPr>
            <w:tcW w:w="2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4940" w:type="dxa"/>
            <w:vAlign w:val="bottom"/>
            <w:vMerge w:val="continue"/>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35,825</w:t>
            </w:r>
          </w:p>
        </w:tc>
        <w:tc>
          <w:tcPr>
            <w:tcW w:w="20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(46,969)</w:t>
            </w:r>
          </w:p>
        </w:tc>
        <w:tc>
          <w:tcPr>
            <w:tcW w:w="1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line="153" w:lineRule="exact"/>
              <w:rPr>
                <w:sz w:val="20"/>
                <w:szCs w:val="20"/>
                <w:color w:val="auto"/>
              </w:rPr>
            </w:pPr>
            <w:r>
              <w:rPr>
                <w:rFonts w:ascii="Arial" w:cs="Arial" w:eastAsia="Arial" w:hAnsi="Arial"/>
                <w:sz w:val="14"/>
                <w:szCs w:val="14"/>
                <w:color w:val="auto"/>
              </w:rPr>
              <w:t>123,660</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line="153" w:lineRule="exact"/>
              <w:rPr>
                <w:sz w:val="20"/>
                <w:szCs w:val="20"/>
                <w:color w:val="auto"/>
              </w:rPr>
            </w:pPr>
            <w:r>
              <w:rPr>
                <w:rFonts w:ascii="Arial" w:cs="Arial" w:eastAsia="Arial" w:hAnsi="Arial"/>
                <w:sz w:val="14"/>
                <w:szCs w:val="14"/>
                <w:color w:val="auto"/>
              </w:rPr>
              <w:t>(706,301)</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Participating securities’ share in earnings</w:t>
            </w:r>
          </w:p>
        </w:tc>
        <w:tc>
          <w:tcPr>
            <w:tcW w:w="200" w:type="dxa"/>
            <w:vAlign w:val="bottom"/>
          </w:tcPr>
          <w:p>
            <w:pPr>
              <w:spacing w:after="0"/>
              <w:rPr>
                <w:sz w:val="13"/>
                <w:szCs w:val="1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(213)</w:t>
            </w: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(225)</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(1,077)</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(1,078)</w:t>
            </w:r>
          </w:p>
        </w:tc>
        <w:tc>
          <w:tcPr>
            <w:tcW w:w="0" w:type="dxa"/>
            <w:vAlign w:val="bottom"/>
          </w:tcPr>
          <w:p>
            <w:pPr>
              <w:spacing w:after="0"/>
              <w:rPr>
                <w:sz w:val="1"/>
                <w:szCs w:val="1"/>
                <w:color w:val="auto"/>
              </w:rPr>
            </w:pPr>
          </w:p>
        </w:tc>
      </w:tr>
      <w:tr>
        <w:trPr>
          <w:trHeight w:val="160"/>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Dividends declared on convertible preferred stock</w:t>
            </w:r>
          </w:p>
        </w:tc>
        <w:tc>
          <w:tcPr>
            <w:tcW w:w="20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w:t>
            </w:r>
          </w:p>
        </w:tc>
        <w:tc>
          <w:tcPr>
            <w:tcW w:w="20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20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(3)</w:t>
            </w:r>
          </w:p>
        </w:tc>
        <w:tc>
          <w:tcPr>
            <w:tcW w:w="1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(10)</w:t>
            </w:r>
          </w:p>
        </w:tc>
        <w:tc>
          <w:tcPr>
            <w:tcW w:w="3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0"/>
        </w:trPr>
        <w:tc>
          <w:tcPr>
            <w:tcW w:w="4940" w:type="dxa"/>
            <w:vAlign w:val="bottom"/>
            <w:vMerge w:val="restart"/>
          </w:tcPr>
          <w:p>
            <w:pPr>
              <w:spacing w:after="0"/>
              <w:rPr>
                <w:sz w:val="20"/>
                <w:szCs w:val="20"/>
                <w:color w:val="auto"/>
              </w:rPr>
            </w:pPr>
            <w:r>
              <w:rPr>
                <w:rFonts w:ascii="Arial" w:cs="Arial" w:eastAsia="Arial" w:hAnsi="Arial"/>
                <w:sz w:val="14"/>
                <w:szCs w:val="14"/>
                <w:b w:val="1"/>
                <w:bCs w:val="1"/>
                <w:color w:val="auto"/>
              </w:rPr>
              <w:t>Net income (loss) attributable to common shareholders</w:t>
            </w:r>
          </w:p>
        </w:tc>
        <w:tc>
          <w:tcPr>
            <w:tcW w:w="2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4940" w:type="dxa"/>
            <w:vAlign w:val="bottom"/>
            <w:vMerge w:val="continue"/>
          </w:tcPr>
          <w:p>
            <w:pPr>
              <w:spacing w:after="0"/>
              <w:rPr>
                <w:sz w:val="13"/>
                <w:szCs w:val="13"/>
                <w:color w:val="auto"/>
              </w:rPr>
            </w:pP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180" w:type="dxa"/>
            <w:vAlign w:val="bottom"/>
          </w:tcPr>
          <w:p>
            <w:pPr>
              <w:jc w:val="right"/>
              <w:spacing w:after="0" w:line="153" w:lineRule="exact"/>
              <w:rPr>
                <w:sz w:val="20"/>
                <w:szCs w:val="20"/>
                <w:color w:val="auto"/>
              </w:rPr>
            </w:pPr>
            <w:r>
              <w:rPr>
                <w:rFonts w:ascii="Arial" w:cs="Arial" w:eastAsia="Arial" w:hAnsi="Arial"/>
                <w:sz w:val="14"/>
                <w:szCs w:val="14"/>
                <w:color w:val="auto"/>
              </w:rPr>
              <w:t>35,610</w:t>
            </w:r>
          </w:p>
        </w:tc>
        <w:tc>
          <w:tcPr>
            <w:tcW w:w="200" w:type="dxa"/>
            <w:vAlign w:val="bottom"/>
          </w:tcPr>
          <w:p>
            <w:pPr>
              <w:spacing w:after="0"/>
              <w:rPr>
                <w:sz w:val="13"/>
                <w:szCs w:val="13"/>
                <w:color w:val="auto"/>
              </w:rPr>
            </w:pPr>
          </w:p>
        </w:tc>
        <w:tc>
          <w:tcPr>
            <w:tcW w:w="360" w:type="dxa"/>
            <w:vAlign w:val="bottom"/>
          </w:tcPr>
          <w:p>
            <w:pPr>
              <w:jc w:val="right"/>
              <w:ind w:right="209"/>
              <w:spacing w:after="0" w:line="153" w:lineRule="exact"/>
              <w:rPr>
                <w:sz w:val="20"/>
                <w:szCs w:val="20"/>
                <w:color w:val="auto"/>
              </w:rPr>
            </w:pPr>
            <w:r>
              <w:rPr>
                <w:rFonts w:ascii="Arial" w:cs="Arial" w:eastAsia="Arial" w:hAnsi="Arial"/>
                <w:sz w:val="14"/>
                <w:szCs w:val="14"/>
                <w:color w:val="auto"/>
                <w:w w:val="76"/>
              </w:rPr>
              <w:t>$</w:t>
            </w:r>
          </w:p>
        </w:tc>
        <w:tc>
          <w:tcPr>
            <w:tcW w:w="1060" w:type="dxa"/>
            <w:vAlign w:val="bottom"/>
          </w:tcPr>
          <w:p>
            <w:pPr>
              <w:jc w:val="right"/>
              <w:spacing w:after="0" w:line="153" w:lineRule="exact"/>
              <w:rPr>
                <w:sz w:val="20"/>
                <w:szCs w:val="20"/>
                <w:color w:val="auto"/>
              </w:rPr>
            </w:pPr>
            <w:r>
              <w:rPr>
                <w:rFonts w:ascii="Arial" w:cs="Arial" w:eastAsia="Arial" w:hAnsi="Arial"/>
                <w:sz w:val="14"/>
                <w:szCs w:val="14"/>
                <w:color w:val="auto"/>
              </w:rPr>
              <w:t>(47,197)</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jc w:val="right"/>
              <w:ind w:right="189"/>
              <w:spacing w:after="0" w:line="153" w:lineRule="exact"/>
              <w:rPr>
                <w:sz w:val="20"/>
                <w:szCs w:val="20"/>
                <w:color w:val="auto"/>
              </w:rPr>
            </w:pPr>
            <w:r>
              <w:rPr>
                <w:rFonts w:ascii="Arial" w:cs="Arial" w:eastAsia="Arial" w:hAnsi="Arial"/>
                <w:sz w:val="14"/>
                <w:szCs w:val="14"/>
                <w:color w:val="auto"/>
                <w:w w:val="76"/>
              </w:rPr>
              <w:t>$</w:t>
            </w:r>
          </w:p>
        </w:tc>
        <w:tc>
          <w:tcPr>
            <w:tcW w:w="1260" w:type="dxa"/>
            <w:vAlign w:val="bottom"/>
            <w:gridSpan w:val="2"/>
          </w:tcPr>
          <w:p>
            <w:pPr>
              <w:jc w:val="right"/>
              <w:ind w:right="180"/>
              <w:spacing w:after="0" w:line="153" w:lineRule="exact"/>
              <w:rPr>
                <w:sz w:val="20"/>
                <w:szCs w:val="20"/>
                <w:color w:val="auto"/>
              </w:rPr>
            </w:pPr>
            <w:r>
              <w:rPr>
                <w:rFonts w:ascii="Arial" w:cs="Arial" w:eastAsia="Arial" w:hAnsi="Arial"/>
                <w:sz w:val="14"/>
                <w:szCs w:val="14"/>
                <w:color w:val="auto"/>
              </w:rPr>
              <w:t>122,573</w:t>
            </w:r>
          </w:p>
        </w:tc>
        <w:tc>
          <w:tcPr>
            <w:tcW w:w="360" w:type="dxa"/>
            <w:vAlign w:val="bottom"/>
          </w:tcPr>
          <w:p>
            <w:pPr>
              <w:jc w:val="right"/>
              <w:ind w:right="209"/>
              <w:spacing w:after="0" w:line="153" w:lineRule="exact"/>
              <w:rPr>
                <w:sz w:val="20"/>
                <w:szCs w:val="20"/>
                <w:color w:val="auto"/>
              </w:rPr>
            </w:pPr>
            <w:r>
              <w:rPr>
                <w:rFonts w:ascii="Arial" w:cs="Arial" w:eastAsia="Arial" w:hAnsi="Arial"/>
                <w:sz w:val="14"/>
                <w:szCs w:val="14"/>
                <w:color w:val="auto"/>
                <w:w w:val="76"/>
              </w:rPr>
              <w:t>$</w:t>
            </w:r>
          </w:p>
        </w:tc>
        <w:tc>
          <w:tcPr>
            <w:tcW w:w="1060" w:type="dxa"/>
            <w:vAlign w:val="bottom"/>
          </w:tcPr>
          <w:p>
            <w:pPr>
              <w:jc w:val="right"/>
              <w:spacing w:after="0" w:line="153" w:lineRule="exact"/>
              <w:rPr>
                <w:sz w:val="20"/>
                <w:szCs w:val="20"/>
                <w:color w:val="auto"/>
              </w:rPr>
            </w:pPr>
            <w:r>
              <w:rPr>
                <w:rFonts w:ascii="Arial" w:cs="Arial" w:eastAsia="Arial" w:hAnsi="Arial"/>
                <w:sz w:val="14"/>
                <w:szCs w:val="14"/>
                <w:color w:val="auto"/>
              </w:rPr>
              <w:t>(707,388)</w:t>
            </w:r>
          </w:p>
        </w:tc>
        <w:tc>
          <w:tcPr>
            <w:tcW w:w="0" w:type="dxa"/>
            <w:vAlign w:val="bottom"/>
          </w:tcPr>
          <w:p>
            <w:pPr>
              <w:spacing w:after="0"/>
              <w:rPr>
                <w:sz w:val="1"/>
                <w:szCs w:val="1"/>
                <w:color w:val="auto"/>
              </w:rPr>
            </w:pPr>
          </w:p>
        </w:tc>
      </w:tr>
      <w:tr>
        <w:trPr>
          <w:trHeight w:val="20"/>
        </w:trPr>
        <w:tc>
          <w:tcPr>
            <w:tcW w:w="49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7"/>
        </w:trPr>
        <w:tc>
          <w:tcPr>
            <w:tcW w:w="49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Net income (loss) attributable to common shareholders – Basic</w:t>
            </w:r>
          </w:p>
        </w:tc>
        <w:tc>
          <w:tcPr>
            <w:tcW w:w="200" w:type="dxa"/>
            <w:vAlign w:val="bottom"/>
            <w:shd w:val="clear" w:color="auto" w:fill="CFF0FC"/>
          </w:tcPr>
          <w:p>
            <w:pPr>
              <w:jc w:val="right"/>
              <w:ind w:right="89"/>
              <w:spacing w:after="0"/>
              <w:rPr>
                <w:sz w:val="20"/>
                <w:szCs w:val="20"/>
                <w:color w:val="auto"/>
              </w:rPr>
            </w:pPr>
            <w:r>
              <w:rPr>
                <w:rFonts w:ascii="Arial" w:cs="Arial" w:eastAsia="Arial" w:hAnsi="Arial"/>
                <w:sz w:val="10"/>
                <w:szCs w:val="10"/>
                <w:color w:val="auto"/>
                <w:w w:val="71"/>
              </w:rPr>
              <w:t>$</w:t>
            </w:r>
          </w:p>
        </w:tc>
        <w:tc>
          <w:tcPr>
            <w:tcW w:w="13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35,610</w:t>
            </w:r>
          </w:p>
        </w:tc>
        <w:tc>
          <w:tcPr>
            <w:tcW w:w="360" w:type="dxa"/>
            <w:vAlign w:val="bottom"/>
            <w:shd w:val="clear" w:color="auto" w:fill="CFF0FC"/>
          </w:tcPr>
          <w:p>
            <w:pPr>
              <w:jc w:val="right"/>
              <w:ind w:right="209"/>
              <w:spacing w:after="0"/>
              <w:rPr>
                <w:sz w:val="20"/>
                <w:szCs w:val="20"/>
                <w:color w:val="auto"/>
              </w:rPr>
            </w:pPr>
            <w:r>
              <w:rPr>
                <w:rFonts w:ascii="Arial" w:cs="Arial" w:eastAsia="Arial" w:hAnsi="Arial"/>
                <w:sz w:val="14"/>
                <w:szCs w:val="14"/>
                <w:color w:val="auto"/>
                <w:w w:val="76"/>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(47,197)</w:t>
            </w:r>
          </w:p>
        </w:tc>
        <w:tc>
          <w:tcPr>
            <w:tcW w:w="140" w:type="dxa"/>
            <w:vAlign w:val="bottom"/>
            <w:shd w:val="clear" w:color="auto" w:fill="CFF0FC"/>
          </w:tcPr>
          <w:p>
            <w:pPr>
              <w:spacing w:after="0"/>
              <w:rPr>
                <w:sz w:val="13"/>
                <w:szCs w:val="13"/>
                <w:color w:val="auto"/>
              </w:rPr>
            </w:pPr>
          </w:p>
        </w:tc>
        <w:tc>
          <w:tcPr>
            <w:tcW w:w="480" w:type="dxa"/>
            <w:vAlign w:val="bottom"/>
            <w:gridSpan w:val="2"/>
            <w:shd w:val="clear" w:color="auto" w:fill="CFF0FC"/>
          </w:tcPr>
          <w:p>
            <w:pPr>
              <w:jc w:val="right"/>
              <w:ind w:right="189"/>
              <w:spacing w:after="0"/>
              <w:rPr>
                <w:sz w:val="20"/>
                <w:szCs w:val="20"/>
                <w:color w:val="auto"/>
              </w:rPr>
            </w:pPr>
            <w:r>
              <w:rPr>
                <w:rFonts w:ascii="Arial" w:cs="Arial" w:eastAsia="Arial" w:hAnsi="Arial"/>
                <w:sz w:val="14"/>
                <w:szCs w:val="14"/>
                <w:color w:val="auto"/>
              </w:rPr>
              <w:t>$</w:t>
            </w: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122,573</w:t>
            </w:r>
          </w:p>
        </w:tc>
        <w:tc>
          <w:tcPr>
            <w:tcW w:w="360" w:type="dxa"/>
            <w:vAlign w:val="bottom"/>
            <w:shd w:val="clear" w:color="auto" w:fill="CFF0FC"/>
          </w:tcPr>
          <w:p>
            <w:pPr>
              <w:jc w:val="right"/>
              <w:ind w:right="209"/>
              <w:spacing w:after="0"/>
              <w:rPr>
                <w:sz w:val="20"/>
                <w:szCs w:val="20"/>
                <w:color w:val="auto"/>
              </w:rPr>
            </w:pPr>
            <w:r>
              <w:rPr>
                <w:rFonts w:ascii="Arial" w:cs="Arial" w:eastAsia="Arial" w:hAnsi="Arial"/>
                <w:sz w:val="14"/>
                <w:szCs w:val="14"/>
                <w:color w:val="auto"/>
                <w:w w:val="76"/>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(707,388)</w:t>
            </w:r>
          </w:p>
        </w:tc>
        <w:tc>
          <w:tcPr>
            <w:tcW w:w="0" w:type="dxa"/>
            <w:vAlign w:val="bottom"/>
          </w:tcPr>
          <w:p>
            <w:pPr>
              <w:spacing w:after="0"/>
              <w:rPr>
                <w:sz w:val="1"/>
                <w:szCs w:val="1"/>
                <w:color w:val="auto"/>
              </w:rPr>
            </w:pPr>
          </w:p>
        </w:tc>
      </w:tr>
      <w:tr>
        <w:trPr>
          <w:trHeight w:val="160"/>
        </w:trPr>
        <w:tc>
          <w:tcPr>
            <w:tcW w:w="4940" w:type="dxa"/>
            <w:vAlign w:val="bottom"/>
          </w:tcPr>
          <w:p>
            <w:pPr>
              <w:spacing w:after="0"/>
              <w:rPr>
                <w:sz w:val="20"/>
                <w:szCs w:val="20"/>
                <w:color w:val="auto"/>
              </w:rPr>
            </w:pPr>
            <w:r>
              <w:rPr>
                <w:rFonts w:ascii="Arial" w:cs="Arial" w:eastAsia="Arial" w:hAnsi="Arial"/>
                <w:sz w:val="14"/>
                <w:szCs w:val="14"/>
                <w:color w:val="auto"/>
              </w:rPr>
              <w:t>Income allocated to participating securities</w:t>
            </w:r>
          </w:p>
        </w:tc>
        <w:tc>
          <w:tcPr>
            <w:tcW w:w="200" w:type="dxa"/>
            <w:vAlign w:val="bottom"/>
          </w:tcPr>
          <w:p>
            <w:pPr>
              <w:spacing w:after="0"/>
              <w:rPr>
                <w:sz w:val="13"/>
                <w:szCs w:val="1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2,989</w:t>
            </w: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11,926</w:t>
            </w:r>
          </w:p>
        </w:tc>
        <w:tc>
          <w:tcPr>
            <w:tcW w:w="3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940" w:type="dxa"/>
            <w:vAlign w:val="bottom"/>
            <w:vMerge w:val="restart"/>
            <w:shd w:val="clear" w:color="auto" w:fill="CFF0FC"/>
          </w:tcPr>
          <w:p>
            <w:pPr>
              <w:spacing w:after="0"/>
              <w:rPr>
                <w:sz w:val="20"/>
                <w:szCs w:val="20"/>
                <w:color w:val="auto"/>
              </w:rPr>
            </w:pPr>
            <w:r>
              <w:rPr>
                <w:rFonts w:ascii="Arial" w:cs="Arial" w:eastAsia="Arial" w:hAnsi="Arial"/>
                <w:sz w:val="14"/>
                <w:szCs w:val="14"/>
                <w:color w:val="auto"/>
              </w:rPr>
              <w:t>Net income (loss) attributable to common shareholders – Diluted</w:t>
            </w:r>
          </w:p>
        </w:tc>
        <w:tc>
          <w:tcPr>
            <w:tcW w:w="2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7"/>
        </w:trPr>
        <w:tc>
          <w:tcPr>
            <w:tcW w:w="4940" w:type="dxa"/>
            <w:vAlign w:val="bottom"/>
            <w:vMerge w:val="continue"/>
            <w:shd w:val="clear" w:color="auto" w:fill="CFF0FC"/>
          </w:tcPr>
          <w:p>
            <w:pPr>
              <w:spacing w:after="0"/>
              <w:rPr>
                <w:sz w:val="14"/>
                <w:szCs w:val="14"/>
                <w:color w:val="auto"/>
              </w:rPr>
            </w:pPr>
          </w:p>
        </w:tc>
        <w:tc>
          <w:tcPr>
            <w:tcW w:w="200" w:type="dxa"/>
            <w:vAlign w:val="bottom"/>
            <w:shd w:val="clear" w:color="auto" w:fill="CFF0FC"/>
          </w:tcPr>
          <w:p>
            <w:pPr>
              <w:jc w:val="right"/>
              <w:ind w:right="89"/>
              <w:spacing w:after="0"/>
              <w:rPr>
                <w:sz w:val="20"/>
                <w:szCs w:val="20"/>
                <w:color w:val="auto"/>
              </w:rPr>
            </w:pPr>
            <w:r>
              <w:rPr>
                <w:rFonts w:ascii="Arial" w:cs="Arial" w:eastAsia="Arial" w:hAnsi="Arial"/>
                <w:sz w:val="10"/>
                <w:szCs w:val="10"/>
                <w:color w:val="auto"/>
                <w:w w:val="71"/>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38,599</w:t>
            </w:r>
          </w:p>
        </w:tc>
        <w:tc>
          <w:tcPr>
            <w:tcW w:w="200" w:type="dxa"/>
            <w:vAlign w:val="bottom"/>
            <w:shd w:val="clear" w:color="auto" w:fill="CFF0FC"/>
          </w:tcPr>
          <w:p>
            <w:pPr>
              <w:spacing w:after="0"/>
              <w:rPr>
                <w:sz w:val="14"/>
                <w:szCs w:val="14"/>
                <w:color w:val="auto"/>
              </w:rPr>
            </w:pPr>
          </w:p>
        </w:tc>
        <w:tc>
          <w:tcPr>
            <w:tcW w:w="360" w:type="dxa"/>
            <w:vAlign w:val="bottom"/>
            <w:shd w:val="clear" w:color="auto" w:fill="CFF0FC"/>
          </w:tcPr>
          <w:p>
            <w:pPr>
              <w:jc w:val="right"/>
              <w:ind w:right="209"/>
              <w:spacing w:after="0"/>
              <w:rPr>
                <w:sz w:val="20"/>
                <w:szCs w:val="20"/>
                <w:color w:val="auto"/>
              </w:rPr>
            </w:pPr>
            <w:r>
              <w:rPr>
                <w:rFonts w:ascii="Arial" w:cs="Arial" w:eastAsia="Arial" w:hAnsi="Arial"/>
                <w:sz w:val="14"/>
                <w:szCs w:val="14"/>
                <w:color w:val="auto"/>
                <w:w w:val="76"/>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(47,197)</w:t>
            </w:r>
          </w:p>
        </w:tc>
        <w:tc>
          <w:tcPr>
            <w:tcW w:w="1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340" w:type="dxa"/>
            <w:vAlign w:val="bottom"/>
            <w:shd w:val="clear" w:color="auto" w:fill="CFF0FC"/>
          </w:tcPr>
          <w:p>
            <w:pPr>
              <w:jc w:val="right"/>
              <w:ind w:right="189"/>
              <w:spacing w:after="0"/>
              <w:rPr>
                <w:sz w:val="20"/>
                <w:szCs w:val="20"/>
                <w:color w:val="auto"/>
              </w:rPr>
            </w:pPr>
            <w:r>
              <w:rPr>
                <w:rFonts w:ascii="Arial" w:cs="Arial" w:eastAsia="Arial" w:hAnsi="Arial"/>
                <w:sz w:val="14"/>
                <w:szCs w:val="14"/>
                <w:color w:val="auto"/>
                <w:w w:val="76"/>
              </w:rPr>
              <w:t>$</w:t>
            </w: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134,499</w:t>
            </w:r>
          </w:p>
        </w:tc>
        <w:tc>
          <w:tcPr>
            <w:tcW w:w="360" w:type="dxa"/>
            <w:vAlign w:val="bottom"/>
            <w:shd w:val="clear" w:color="auto" w:fill="CFF0FC"/>
          </w:tcPr>
          <w:p>
            <w:pPr>
              <w:jc w:val="right"/>
              <w:ind w:right="209"/>
              <w:spacing w:after="0"/>
              <w:rPr>
                <w:sz w:val="20"/>
                <w:szCs w:val="20"/>
                <w:color w:val="auto"/>
              </w:rPr>
            </w:pPr>
            <w:r>
              <w:rPr>
                <w:rFonts w:ascii="Arial" w:cs="Arial" w:eastAsia="Arial" w:hAnsi="Arial"/>
                <w:sz w:val="14"/>
                <w:szCs w:val="14"/>
                <w:color w:val="auto"/>
                <w:w w:val="76"/>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(707,388)</w:t>
            </w:r>
          </w:p>
        </w:tc>
        <w:tc>
          <w:tcPr>
            <w:tcW w:w="0" w:type="dxa"/>
            <w:vAlign w:val="bottom"/>
          </w:tcPr>
          <w:p>
            <w:pPr>
              <w:spacing w:after="0"/>
              <w:rPr>
                <w:sz w:val="1"/>
                <w:szCs w:val="1"/>
                <w:color w:val="auto"/>
              </w:rPr>
            </w:pPr>
          </w:p>
        </w:tc>
      </w:tr>
      <w:tr>
        <w:trPr>
          <w:trHeight w:val="20"/>
        </w:trPr>
        <w:tc>
          <w:tcPr>
            <w:tcW w:w="494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4940" w:type="dxa"/>
            <w:vAlign w:val="bottom"/>
          </w:tcPr>
          <w:p>
            <w:pPr>
              <w:spacing w:after="0" w:line="145" w:lineRule="exact"/>
              <w:rPr>
                <w:sz w:val="20"/>
                <w:szCs w:val="20"/>
                <w:color w:val="auto"/>
              </w:rPr>
            </w:pPr>
            <w:r>
              <w:rPr>
                <w:rFonts w:ascii="Arial" w:cs="Arial" w:eastAsia="Arial" w:hAnsi="Arial"/>
                <w:sz w:val="14"/>
                <w:szCs w:val="14"/>
                <w:b w:val="1"/>
                <w:bCs w:val="1"/>
                <w:color w:val="auto"/>
              </w:rPr>
              <w:t>Weighted average number of common shares outstanding:</w:t>
            </w:r>
          </w:p>
        </w:tc>
        <w:tc>
          <w:tcPr>
            <w:tcW w:w="2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4940" w:type="dxa"/>
            <w:vAlign w:val="bottom"/>
          </w:tcPr>
          <w:p>
            <w:pPr>
              <w:spacing w:after="0" w:line="155" w:lineRule="exact"/>
              <w:rPr>
                <w:sz w:val="20"/>
                <w:szCs w:val="20"/>
                <w:color w:val="auto"/>
              </w:rPr>
            </w:pPr>
            <w:r>
              <w:rPr>
                <w:rFonts w:ascii="Arial" w:cs="Arial" w:eastAsia="Arial" w:hAnsi="Arial"/>
                <w:sz w:val="14"/>
                <w:szCs w:val="14"/>
                <w:color w:val="auto"/>
              </w:rPr>
              <w:t>Basic</w:t>
            </w:r>
          </w:p>
        </w:tc>
        <w:tc>
          <w:tcPr>
            <w:tcW w:w="200" w:type="dxa"/>
            <w:vAlign w:val="bottom"/>
          </w:tcPr>
          <w:p>
            <w:pPr>
              <w:spacing w:after="0"/>
              <w:rPr>
                <w:sz w:val="15"/>
                <w:szCs w:val="15"/>
                <w:color w:val="auto"/>
              </w:rPr>
            </w:pPr>
          </w:p>
        </w:tc>
        <w:tc>
          <w:tcPr>
            <w:tcW w:w="1180" w:type="dxa"/>
            <w:vAlign w:val="bottom"/>
          </w:tcPr>
          <w:p>
            <w:pPr>
              <w:jc w:val="right"/>
              <w:spacing w:after="0" w:line="155" w:lineRule="exact"/>
              <w:rPr>
                <w:sz w:val="20"/>
                <w:szCs w:val="20"/>
                <w:color w:val="auto"/>
              </w:rPr>
            </w:pPr>
            <w:r>
              <w:rPr>
                <w:rFonts w:ascii="Arial" w:cs="Arial" w:eastAsia="Arial" w:hAnsi="Arial"/>
                <w:sz w:val="14"/>
                <w:szCs w:val="14"/>
                <w:color w:val="auto"/>
              </w:rPr>
              <w:t>234,719</w:t>
            </w:r>
          </w:p>
        </w:tc>
        <w:tc>
          <w:tcPr>
            <w:tcW w:w="2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60" w:type="dxa"/>
            <w:vAlign w:val="bottom"/>
          </w:tcPr>
          <w:p>
            <w:pPr>
              <w:jc w:val="right"/>
              <w:spacing w:after="0" w:line="155" w:lineRule="exact"/>
              <w:rPr>
                <w:sz w:val="20"/>
                <w:szCs w:val="20"/>
                <w:color w:val="auto"/>
              </w:rPr>
            </w:pPr>
            <w:r>
              <w:rPr>
                <w:rFonts w:ascii="Arial" w:cs="Arial" w:eastAsia="Arial" w:hAnsi="Arial"/>
                <w:sz w:val="14"/>
                <w:szCs w:val="14"/>
                <w:color w:val="auto"/>
              </w:rPr>
              <w:t>231,262</w:t>
            </w: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60" w:type="dxa"/>
            <w:vAlign w:val="bottom"/>
            <w:gridSpan w:val="2"/>
          </w:tcPr>
          <w:p>
            <w:pPr>
              <w:jc w:val="right"/>
              <w:ind w:right="180"/>
              <w:spacing w:after="0" w:line="155" w:lineRule="exact"/>
              <w:rPr>
                <w:sz w:val="20"/>
                <w:szCs w:val="20"/>
                <w:color w:val="auto"/>
              </w:rPr>
            </w:pPr>
            <w:r>
              <w:rPr>
                <w:rFonts w:ascii="Arial" w:cs="Arial" w:eastAsia="Arial" w:hAnsi="Arial"/>
                <w:sz w:val="14"/>
                <w:szCs w:val="14"/>
                <w:color w:val="auto"/>
              </w:rPr>
              <w:t>232,888</w:t>
            </w:r>
          </w:p>
        </w:tc>
        <w:tc>
          <w:tcPr>
            <w:tcW w:w="360" w:type="dxa"/>
            <w:vAlign w:val="bottom"/>
          </w:tcPr>
          <w:p>
            <w:pPr>
              <w:spacing w:after="0"/>
              <w:rPr>
                <w:sz w:val="15"/>
                <w:szCs w:val="15"/>
                <w:color w:val="auto"/>
              </w:rPr>
            </w:pPr>
          </w:p>
        </w:tc>
        <w:tc>
          <w:tcPr>
            <w:tcW w:w="1060" w:type="dxa"/>
            <w:vAlign w:val="bottom"/>
          </w:tcPr>
          <w:p>
            <w:pPr>
              <w:jc w:val="right"/>
              <w:spacing w:after="0" w:line="155" w:lineRule="exact"/>
              <w:rPr>
                <w:sz w:val="20"/>
                <w:szCs w:val="20"/>
                <w:color w:val="auto"/>
              </w:rPr>
            </w:pPr>
            <w:r>
              <w:rPr>
                <w:rFonts w:ascii="Arial" w:cs="Arial" w:eastAsia="Arial" w:hAnsi="Arial"/>
                <w:sz w:val="14"/>
                <w:szCs w:val="14"/>
                <w:color w:val="auto"/>
              </w:rPr>
              <w:t>203,600</w:t>
            </w:r>
          </w:p>
        </w:tc>
        <w:tc>
          <w:tcPr>
            <w:tcW w:w="0" w:type="dxa"/>
            <w:vAlign w:val="bottom"/>
          </w:tcPr>
          <w:p>
            <w:pPr>
              <w:spacing w:after="0"/>
              <w:rPr>
                <w:sz w:val="1"/>
                <w:szCs w:val="1"/>
                <w:color w:val="auto"/>
              </w:rPr>
            </w:pPr>
          </w:p>
        </w:tc>
      </w:tr>
      <w:tr>
        <w:trPr>
          <w:trHeight w:val="20"/>
        </w:trPr>
        <w:tc>
          <w:tcPr>
            <w:tcW w:w="4940" w:type="dxa"/>
            <w:vAlign w:val="bottom"/>
            <w:tcBorders>
              <w:top w:val="single" w:sz="8" w:color="CFF0FC"/>
            </w:tcBorders>
            <w:shd w:val="clear" w:color="auto" w:fill="CFF0F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FF0FC"/>
            </w:tcBorders>
            <w:shd w:val="clear" w:color="auto" w:fill="CFF0FC"/>
          </w:tcPr>
          <w:p>
            <w:pPr>
              <w:spacing w:after="0" w:line="20" w:lineRule="exact"/>
              <w:rPr>
                <w:sz w:val="1"/>
                <w:szCs w:val="1"/>
                <w:color w:val="auto"/>
              </w:rPr>
            </w:pPr>
          </w:p>
        </w:tc>
        <w:tc>
          <w:tcPr>
            <w:tcW w:w="36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CFF0FC"/>
            </w:tcBorders>
            <w:shd w:val="clear" w:color="auto" w:fill="CFF0FC"/>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08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FF0FC"/>
            </w:tcBorders>
            <w:shd w:val="clear" w:color="auto" w:fill="CFF0FC"/>
          </w:tcPr>
          <w:p>
            <w:pPr>
              <w:spacing w:after="0" w:line="20" w:lineRule="exact"/>
              <w:rPr>
                <w:sz w:val="1"/>
                <w:szCs w:val="1"/>
                <w:color w:val="auto"/>
              </w:rPr>
            </w:pPr>
          </w:p>
        </w:tc>
        <w:tc>
          <w:tcPr>
            <w:tcW w:w="36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7"/>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Diluted</w:t>
            </w:r>
          </w:p>
        </w:tc>
        <w:tc>
          <w:tcPr>
            <w:tcW w:w="200" w:type="dxa"/>
            <w:vAlign w:val="bottom"/>
            <w:shd w:val="clear" w:color="auto" w:fill="CFF0FC"/>
          </w:tcPr>
          <w:p>
            <w:pPr>
              <w:spacing w:after="0"/>
              <w:rPr>
                <w:sz w:val="14"/>
                <w:szCs w:val="14"/>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266,077</w:t>
            </w:r>
          </w:p>
        </w:tc>
        <w:tc>
          <w:tcPr>
            <w:tcW w:w="200" w:type="dxa"/>
            <w:vAlign w:val="bottom"/>
            <w:shd w:val="clear" w:color="auto" w:fill="CFF0FC"/>
          </w:tcPr>
          <w:p>
            <w:pPr>
              <w:spacing w:after="0"/>
              <w:rPr>
                <w:sz w:val="14"/>
                <w:szCs w:val="14"/>
                <w:color w:val="auto"/>
              </w:rPr>
            </w:pPr>
          </w:p>
        </w:tc>
        <w:tc>
          <w:tcPr>
            <w:tcW w:w="360" w:type="dxa"/>
            <w:vAlign w:val="bottom"/>
            <w:shd w:val="clear" w:color="auto" w:fill="CFF0FC"/>
          </w:tcPr>
          <w:p>
            <w:pPr>
              <w:spacing w:after="0"/>
              <w:rPr>
                <w:sz w:val="14"/>
                <w:szCs w:val="14"/>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231,262</w:t>
            </w:r>
          </w:p>
        </w:tc>
        <w:tc>
          <w:tcPr>
            <w:tcW w:w="1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340" w:type="dxa"/>
            <w:vAlign w:val="bottom"/>
            <w:shd w:val="clear" w:color="auto" w:fill="CFF0FC"/>
          </w:tcPr>
          <w:p>
            <w:pPr>
              <w:spacing w:after="0"/>
              <w:rPr>
                <w:sz w:val="14"/>
                <w:szCs w:val="14"/>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264,077</w:t>
            </w:r>
          </w:p>
        </w:tc>
        <w:tc>
          <w:tcPr>
            <w:tcW w:w="360" w:type="dxa"/>
            <w:vAlign w:val="bottom"/>
            <w:shd w:val="clear" w:color="auto" w:fill="CFF0FC"/>
          </w:tcPr>
          <w:p>
            <w:pPr>
              <w:spacing w:after="0"/>
              <w:rPr>
                <w:sz w:val="14"/>
                <w:szCs w:val="14"/>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203,600</w:t>
            </w:r>
          </w:p>
        </w:tc>
        <w:tc>
          <w:tcPr>
            <w:tcW w:w="0" w:type="dxa"/>
            <w:vAlign w:val="bottom"/>
          </w:tcPr>
          <w:p>
            <w:pPr>
              <w:spacing w:after="0"/>
              <w:rPr>
                <w:sz w:val="1"/>
                <w:szCs w:val="1"/>
                <w:color w:val="auto"/>
              </w:rPr>
            </w:pPr>
          </w:p>
        </w:tc>
      </w:tr>
      <w:tr>
        <w:trPr>
          <w:trHeight w:val="20"/>
        </w:trPr>
        <w:tc>
          <w:tcPr>
            <w:tcW w:w="494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7"/>
        </w:trPr>
        <w:tc>
          <w:tcPr>
            <w:tcW w:w="4940" w:type="dxa"/>
            <w:vAlign w:val="bottom"/>
          </w:tcPr>
          <w:p>
            <w:pPr>
              <w:spacing w:after="0"/>
              <w:rPr>
                <w:sz w:val="20"/>
                <w:szCs w:val="20"/>
                <w:color w:val="auto"/>
              </w:rPr>
            </w:pPr>
            <w:r>
              <w:rPr>
                <w:rFonts w:ascii="Arial" w:cs="Arial" w:eastAsia="Arial" w:hAnsi="Arial"/>
                <w:sz w:val="14"/>
                <w:szCs w:val="14"/>
                <w:b w:val="1"/>
                <w:bCs w:val="1"/>
                <w:color w:val="auto"/>
              </w:rPr>
              <w:t>Earnings (loss) per common share:</w:t>
            </w: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4940" w:type="dxa"/>
            <w:vAlign w:val="bottom"/>
            <w:shd w:val="clear" w:color="auto" w:fill="CFF0FC"/>
          </w:tcPr>
          <w:p>
            <w:pPr>
              <w:spacing w:after="0"/>
              <w:rPr>
                <w:sz w:val="20"/>
                <w:szCs w:val="20"/>
                <w:color w:val="auto"/>
              </w:rPr>
            </w:pPr>
            <w:r>
              <w:rPr>
                <w:rFonts w:ascii="Arial" w:cs="Arial" w:eastAsia="Arial" w:hAnsi="Arial"/>
                <w:sz w:val="14"/>
                <w:szCs w:val="14"/>
                <w:color w:val="auto"/>
              </w:rPr>
              <w:t>Basic</w:t>
            </w:r>
          </w:p>
        </w:tc>
        <w:tc>
          <w:tcPr>
            <w:tcW w:w="200" w:type="dxa"/>
            <w:vAlign w:val="bottom"/>
            <w:shd w:val="clear" w:color="auto" w:fill="CFF0FC"/>
          </w:tcPr>
          <w:p>
            <w:pPr>
              <w:jc w:val="right"/>
              <w:ind w:right="89"/>
              <w:spacing w:after="0"/>
              <w:rPr>
                <w:sz w:val="20"/>
                <w:szCs w:val="20"/>
                <w:color w:val="auto"/>
              </w:rPr>
            </w:pPr>
            <w:r>
              <w:rPr>
                <w:rFonts w:ascii="Arial" w:cs="Arial" w:eastAsia="Arial" w:hAnsi="Arial"/>
                <w:sz w:val="10"/>
                <w:szCs w:val="10"/>
                <w:color w:val="auto"/>
                <w:w w:val="71"/>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0.15</w:t>
            </w:r>
          </w:p>
        </w:tc>
        <w:tc>
          <w:tcPr>
            <w:tcW w:w="200" w:type="dxa"/>
            <w:vAlign w:val="bottom"/>
            <w:shd w:val="clear" w:color="auto" w:fill="CFF0FC"/>
          </w:tcPr>
          <w:p>
            <w:pPr>
              <w:spacing w:after="0"/>
              <w:rPr>
                <w:sz w:val="16"/>
                <w:szCs w:val="16"/>
                <w:color w:val="auto"/>
              </w:rPr>
            </w:pPr>
          </w:p>
        </w:tc>
        <w:tc>
          <w:tcPr>
            <w:tcW w:w="360" w:type="dxa"/>
            <w:vAlign w:val="bottom"/>
            <w:shd w:val="clear" w:color="auto" w:fill="CFF0FC"/>
          </w:tcPr>
          <w:p>
            <w:pPr>
              <w:jc w:val="right"/>
              <w:ind w:right="209"/>
              <w:spacing w:after="0"/>
              <w:rPr>
                <w:sz w:val="20"/>
                <w:szCs w:val="20"/>
                <w:color w:val="auto"/>
              </w:rPr>
            </w:pPr>
            <w:r>
              <w:rPr>
                <w:rFonts w:ascii="Arial" w:cs="Arial" w:eastAsia="Arial" w:hAnsi="Arial"/>
                <w:sz w:val="14"/>
                <w:szCs w:val="14"/>
                <w:color w:val="auto"/>
                <w:w w:val="76"/>
              </w:rPr>
              <w:t>$</w:t>
            </w:r>
          </w:p>
        </w:tc>
        <w:tc>
          <w:tcPr>
            <w:tcW w:w="120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(0.20)</w:t>
            </w:r>
          </w:p>
        </w:tc>
        <w:tc>
          <w:tcPr>
            <w:tcW w:w="480" w:type="dxa"/>
            <w:vAlign w:val="bottom"/>
            <w:gridSpan w:val="2"/>
            <w:shd w:val="clear" w:color="auto" w:fill="CFF0FC"/>
          </w:tcPr>
          <w:p>
            <w:pPr>
              <w:jc w:val="right"/>
              <w:ind w:right="189"/>
              <w:spacing w:after="0"/>
              <w:rPr>
                <w:sz w:val="20"/>
                <w:szCs w:val="20"/>
                <w:color w:val="auto"/>
              </w:rPr>
            </w:pPr>
            <w:r>
              <w:rPr>
                <w:rFonts w:ascii="Arial" w:cs="Arial" w:eastAsia="Arial" w:hAnsi="Arial"/>
                <w:sz w:val="14"/>
                <w:szCs w:val="14"/>
                <w:color w:val="auto"/>
              </w:rPr>
              <w:t>$</w:t>
            </w: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4"/>
                <w:szCs w:val="14"/>
                <w:color w:val="auto"/>
              </w:rPr>
              <w:t>0.53</w:t>
            </w:r>
          </w:p>
        </w:tc>
        <w:tc>
          <w:tcPr>
            <w:tcW w:w="360" w:type="dxa"/>
            <w:vAlign w:val="bottom"/>
            <w:shd w:val="clear" w:color="auto" w:fill="CFF0FC"/>
          </w:tcPr>
          <w:p>
            <w:pPr>
              <w:jc w:val="right"/>
              <w:ind w:right="209"/>
              <w:spacing w:after="0"/>
              <w:rPr>
                <w:sz w:val="20"/>
                <w:szCs w:val="20"/>
                <w:color w:val="auto"/>
              </w:rPr>
            </w:pPr>
            <w:r>
              <w:rPr>
                <w:rFonts w:ascii="Arial" w:cs="Arial" w:eastAsia="Arial" w:hAnsi="Arial"/>
                <w:sz w:val="14"/>
                <w:szCs w:val="14"/>
                <w:color w:val="auto"/>
                <w:w w:val="76"/>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(3.47)</w:t>
            </w:r>
          </w:p>
        </w:tc>
        <w:tc>
          <w:tcPr>
            <w:tcW w:w="0" w:type="dxa"/>
            <w:vAlign w:val="bottom"/>
          </w:tcPr>
          <w:p>
            <w:pPr>
              <w:spacing w:after="0"/>
              <w:rPr>
                <w:sz w:val="1"/>
                <w:szCs w:val="1"/>
                <w:color w:val="auto"/>
              </w:rPr>
            </w:pPr>
          </w:p>
        </w:tc>
      </w:tr>
      <w:tr>
        <w:trPr>
          <w:trHeight w:val="20"/>
        </w:trPr>
        <w:tc>
          <w:tcPr>
            <w:tcW w:w="494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7"/>
        </w:trPr>
        <w:tc>
          <w:tcPr>
            <w:tcW w:w="4940" w:type="dxa"/>
            <w:vAlign w:val="bottom"/>
          </w:tcPr>
          <w:p>
            <w:pPr>
              <w:spacing w:after="0"/>
              <w:rPr>
                <w:sz w:val="20"/>
                <w:szCs w:val="20"/>
                <w:color w:val="auto"/>
              </w:rPr>
            </w:pPr>
            <w:r>
              <w:rPr>
                <w:rFonts w:ascii="Arial" w:cs="Arial" w:eastAsia="Arial" w:hAnsi="Arial"/>
                <w:sz w:val="14"/>
                <w:szCs w:val="14"/>
                <w:color w:val="auto"/>
              </w:rPr>
              <w:t>Diluted</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380" w:type="dxa"/>
            <w:vAlign w:val="bottom"/>
            <w:gridSpan w:val="2"/>
          </w:tcPr>
          <w:p>
            <w:pPr>
              <w:jc w:val="right"/>
              <w:ind w:right="200"/>
              <w:spacing w:after="0"/>
              <w:rPr>
                <w:sz w:val="20"/>
                <w:szCs w:val="20"/>
                <w:color w:val="auto"/>
              </w:rPr>
            </w:pPr>
            <w:r>
              <w:rPr>
                <w:rFonts w:ascii="Arial" w:cs="Arial" w:eastAsia="Arial" w:hAnsi="Arial"/>
                <w:sz w:val="14"/>
                <w:szCs w:val="14"/>
                <w:color w:val="auto"/>
              </w:rPr>
              <w:t>0.15</w:t>
            </w:r>
          </w:p>
        </w:tc>
        <w:tc>
          <w:tcPr>
            <w:tcW w:w="360" w:type="dxa"/>
            <w:vAlign w:val="bottom"/>
          </w:tcPr>
          <w:p>
            <w:pPr>
              <w:jc w:val="right"/>
              <w:ind w:right="209"/>
              <w:spacing w:after="0"/>
              <w:rPr>
                <w:sz w:val="20"/>
                <w:szCs w:val="20"/>
                <w:color w:val="auto"/>
              </w:rPr>
            </w:pPr>
            <w:r>
              <w:rPr>
                <w:rFonts w:ascii="Arial" w:cs="Arial" w:eastAsia="Arial" w:hAnsi="Arial"/>
                <w:sz w:val="14"/>
                <w:szCs w:val="14"/>
                <w:color w:val="auto"/>
                <w:w w:val="76"/>
              </w:rPr>
              <w:t>$</w:t>
            </w:r>
          </w:p>
        </w:tc>
        <w:tc>
          <w:tcPr>
            <w:tcW w:w="1200" w:type="dxa"/>
            <w:vAlign w:val="bottom"/>
            <w:gridSpan w:val="2"/>
          </w:tcPr>
          <w:p>
            <w:pPr>
              <w:jc w:val="right"/>
              <w:ind w:right="140"/>
              <w:spacing w:after="0"/>
              <w:rPr>
                <w:sz w:val="20"/>
                <w:szCs w:val="20"/>
                <w:color w:val="auto"/>
              </w:rPr>
            </w:pPr>
            <w:r>
              <w:rPr>
                <w:rFonts w:ascii="Arial" w:cs="Arial" w:eastAsia="Arial" w:hAnsi="Arial"/>
                <w:sz w:val="14"/>
                <w:szCs w:val="14"/>
                <w:color w:val="auto"/>
              </w:rPr>
              <w:t>(0.20)</w:t>
            </w:r>
          </w:p>
        </w:tc>
        <w:tc>
          <w:tcPr>
            <w:tcW w:w="480" w:type="dxa"/>
            <w:vAlign w:val="bottom"/>
            <w:gridSpan w:val="2"/>
          </w:tcPr>
          <w:p>
            <w:pPr>
              <w:jc w:val="right"/>
              <w:ind w:right="189"/>
              <w:spacing w:after="0"/>
              <w:rPr>
                <w:sz w:val="20"/>
                <w:szCs w:val="20"/>
                <w:color w:val="auto"/>
              </w:rPr>
            </w:pPr>
            <w:r>
              <w:rPr>
                <w:rFonts w:ascii="Arial" w:cs="Arial" w:eastAsia="Arial" w:hAnsi="Arial"/>
                <w:sz w:val="14"/>
                <w:szCs w:val="14"/>
                <w:color w:val="auto"/>
              </w:rPr>
              <w:t>$</w:t>
            </w:r>
          </w:p>
        </w:tc>
        <w:tc>
          <w:tcPr>
            <w:tcW w:w="1260" w:type="dxa"/>
            <w:vAlign w:val="bottom"/>
            <w:gridSpan w:val="2"/>
          </w:tcPr>
          <w:p>
            <w:pPr>
              <w:jc w:val="right"/>
              <w:ind w:right="180"/>
              <w:spacing w:after="0"/>
              <w:rPr>
                <w:sz w:val="20"/>
                <w:szCs w:val="20"/>
                <w:color w:val="auto"/>
              </w:rPr>
            </w:pPr>
            <w:r>
              <w:rPr>
                <w:rFonts w:ascii="Arial" w:cs="Arial" w:eastAsia="Arial" w:hAnsi="Arial"/>
                <w:sz w:val="14"/>
                <w:szCs w:val="14"/>
                <w:color w:val="auto"/>
              </w:rPr>
              <w:t>0.51</w:t>
            </w:r>
          </w:p>
        </w:tc>
        <w:tc>
          <w:tcPr>
            <w:tcW w:w="360" w:type="dxa"/>
            <w:vAlign w:val="bottom"/>
          </w:tcPr>
          <w:p>
            <w:pPr>
              <w:jc w:val="right"/>
              <w:ind w:right="209"/>
              <w:spacing w:after="0"/>
              <w:rPr>
                <w:sz w:val="20"/>
                <w:szCs w:val="20"/>
                <w:color w:val="auto"/>
              </w:rPr>
            </w:pPr>
            <w:r>
              <w:rPr>
                <w:rFonts w:ascii="Arial" w:cs="Arial" w:eastAsia="Arial" w:hAnsi="Arial"/>
                <w:sz w:val="14"/>
                <w:szCs w:val="14"/>
                <w:color w:val="auto"/>
                <w:w w:val="76"/>
              </w:rPr>
              <w:t>$</w:t>
            </w:r>
          </w:p>
        </w:tc>
        <w:tc>
          <w:tcPr>
            <w:tcW w:w="1060" w:type="dxa"/>
            <w:vAlign w:val="bottom"/>
          </w:tcPr>
          <w:p>
            <w:pPr>
              <w:jc w:val="right"/>
              <w:spacing w:after="0"/>
              <w:rPr>
                <w:sz w:val="20"/>
                <w:szCs w:val="20"/>
                <w:color w:val="auto"/>
              </w:rPr>
            </w:pPr>
            <w:r>
              <w:rPr>
                <w:rFonts w:ascii="Arial" w:cs="Arial" w:eastAsia="Arial" w:hAnsi="Arial"/>
                <w:sz w:val="14"/>
                <w:szCs w:val="14"/>
                <w:color w:val="auto"/>
              </w:rPr>
              <w:t>(3.47)</w:t>
            </w:r>
          </w:p>
        </w:tc>
        <w:tc>
          <w:tcPr>
            <w:tcW w:w="0" w:type="dxa"/>
            <w:vAlign w:val="bottom"/>
          </w:tcPr>
          <w:p>
            <w:pPr>
              <w:spacing w:after="0"/>
              <w:rPr>
                <w:sz w:val="1"/>
                <w:szCs w:val="1"/>
                <w:color w:val="auto"/>
              </w:rPr>
            </w:pPr>
          </w:p>
        </w:tc>
      </w:tr>
      <w:tr>
        <w:trPr>
          <w:trHeight w:val="20"/>
        </w:trPr>
        <w:tc>
          <w:tcPr>
            <w:tcW w:w="49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1033"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20"/>
          <w:szCs w:val="20"/>
          <w:b w:val="1"/>
          <w:bCs w:val="1"/>
          <w:color w:val="auto"/>
        </w:rPr>
        <w:t>Uniti Group Inc.</w:t>
      </w:r>
    </w:p>
    <w:p>
      <w:pPr>
        <w:jc w:val="center"/>
        <w:spacing w:after="0" w:line="230" w:lineRule="auto"/>
        <w:rPr>
          <w:sz w:val="20"/>
          <w:szCs w:val="20"/>
          <w:color w:val="auto"/>
        </w:rPr>
      </w:pPr>
      <w:r>
        <w:rPr>
          <w:rFonts w:ascii="Arial" w:cs="Arial" w:eastAsia="Arial" w:hAnsi="Arial"/>
          <w:sz w:val="20"/>
          <w:szCs w:val="20"/>
          <w:b w:val="1"/>
          <w:bCs w:val="1"/>
          <w:color w:val="auto"/>
        </w:rPr>
        <w:t>Consolidated Statements of Cash Flows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-7620</wp:posOffset>
            </wp:positionV>
            <wp:extent cx="713422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111"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54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4"/>
          </w:tcPr>
          <w:p>
            <w:pPr>
              <w:jc w:val="right"/>
              <w:ind w:right="33"/>
              <w:spacing w:after="0"/>
              <w:rPr>
                <w:sz w:val="20"/>
                <w:szCs w:val="20"/>
                <w:color w:val="auto"/>
              </w:rPr>
            </w:pPr>
            <w:r>
              <w:rPr>
                <w:rFonts w:ascii="Arial" w:cs="Arial" w:eastAsia="Arial" w:hAnsi="Arial"/>
                <w:sz w:val="13"/>
                <w:szCs w:val="13"/>
                <w:b w:val="1"/>
                <w:bCs w:val="1"/>
                <w:color w:val="auto"/>
              </w:rPr>
              <w:t>Year Ended December 31,</w:t>
            </w:r>
          </w:p>
        </w:tc>
        <w:tc>
          <w:tcPr>
            <w:tcW w:w="12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0"/>
        </w:trPr>
        <w:tc>
          <w:tcPr>
            <w:tcW w:w="5480" w:type="dxa"/>
            <w:vAlign w:val="bottom"/>
            <w:vMerge w:val="restart"/>
          </w:tcPr>
          <w:p>
            <w:pPr>
              <w:spacing w:after="0"/>
              <w:rPr>
                <w:sz w:val="20"/>
                <w:szCs w:val="20"/>
                <w:color w:val="auto"/>
              </w:rPr>
            </w:pPr>
            <w:r>
              <w:rPr>
                <w:rFonts w:ascii="Arial" w:cs="Arial" w:eastAsia="Arial" w:hAnsi="Arial"/>
                <w:sz w:val="13"/>
                <w:szCs w:val="13"/>
                <w:b w:val="1"/>
                <w:bCs w:val="1"/>
                <w:color w:val="auto"/>
              </w:rPr>
              <w:t>Cash flow from operating activities:</w:t>
            </w:r>
          </w:p>
        </w:tc>
        <w:tc>
          <w:tcPr>
            <w:tcW w:w="1440" w:type="dxa"/>
            <w:vAlign w:val="bottom"/>
          </w:tcPr>
          <w:p>
            <w:pPr>
              <w:spacing w:after="0"/>
              <w:rPr>
                <w:sz w:val="12"/>
                <w:szCs w:val="12"/>
                <w:color w:val="auto"/>
              </w:rPr>
            </w:pPr>
          </w:p>
        </w:tc>
        <w:tc>
          <w:tcPr>
            <w:tcW w:w="1260" w:type="dxa"/>
            <w:vAlign w:val="bottom"/>
            <w:tcBorders>
              <w:bottom w:val="single" w:sz="8" w:color="auto"/>
            </w:tcBorders>
          </w:tcPr>
          <w:p>
            <w:pPr>
              <w:jc w:val="right"/>
              <w:ind w:right="33"/>
              <w:spacing w:after="0" w:line="140" w:lineRule="exact"/>
              <w:rPr>
                <w:sz w:val="20"/>
                <w:szCs w:val="20"/>
                <w:color w:val="auto"/>
              </w:rPr>
            </w:pPr>
            <w:r>
              <w:rPr>
                <w:rFonts w:ascii="Arial" w:cs="Arial" w:eastAsia="Arial" w:hAnsi="Arial"/>
                <w:sz w:val="13"/>
                <w:szCs w:val="13"/>
                <w:b w:val="1"/>
                <w:bCs w:val="1"/>
                <w:color w:val="auto"/>
              </w:rPr>
              <w:t>2021</w:t>
            </w:r>
          </w:p>
        </w:tc>
        <w:tc>
          <w:tcPr>
            <w:tcW w:w="76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1240" w:type="dxa"/>
            <w:vAlign w:val="bottom"/>
            <w:tcBorders>
              <w:bottom w:val="single" w:sz="8" w:color="auto"/>
            </w:tcBorders>
          </w:tcPr>
          <w:p>
            <w:pPr>
              <w:jc w:val="right"/>
              <w:ind w:right="793"/>
              <w:spacing w:after="0" w:line="140" w:lineRule="exact"/>
              <w:rPr>
                <w:sz w:val="20"/>
                <w:szCs w:val="20"/>
                <w:color w:val="auto"/>
              </w:rPr>
            </w:pPr>
            <w:r>
              <w:rPr>
                <w:rFonts w:ascii="Arial" w:cs="Arial" w:eastAsia="Arial" w:hAnsi="Arial"/>
                <w:sz w:val="13"/>
                <w:szCs w:val="13"/>
                <w:b w:val="1"/>
                <w:bCs w:val="1"/>
                <w:color w:val="auto"/>
              </w:rPr>
              <w:t>2020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5480" w:type="dxa"/>
            <w:vAlign w:val="bottom"/>
            <w:vMerge w:val="continue"/>
          </w:tcPr>
          <w:p>
            <w:pPr>
              <w:spacing w:after="0"/>
              <w:rPr>
                <w:sz w:val="12"/>
                <w:szCs w:val="12"/>
                <w:color w:val="auto"/>
              </w:rPr>
            </w:pP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Net income (loss)</w:t>
            </w:r>
          </w:p>
        </w:tc>
        <w:tc>
          <w:tcPr>
            <w:tcW w:w="2700" w:type="dxa"/>
            <w:vAlign w:val="bottom"/>
            <w:gridSpan w:val="2"/>
            <w:shd w:val="clear" w:color="auto" w:fill="CFF0FC"/>
          </w:tcPr>
          <w:p>
            <w:pPr>
              <w:jc w:val="right"/>
              <w:ind w:right="1113"/>
              <w:spacing w:after="0" w:line="147" w:lineRule="exact"/>
              <w:rPr>
                <w:sz w:val="20"/>
                <w:szCs w:val="20"/>
                <w:color w:val="auto"/>
              </w:rPr>
            </w:pPr>
            <w:r>
              <w:rPr>
                <w:rFonts w:ascii="Arial" w:cs="Arial" w:eastAsia="Arial" w:hAnsi="Arial"/>
                <w:sz w:val="13"/>
                <w:szCs w:val="13"/>
                <w:color w:val="auto"/>
              </w:rPr>
              <w:t>$</w:t>
            </w: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124,745</w:t>
            </w:r>
          </w:p>
        </w:tc>
        <w:tc>
          <w:tcPr>
            <w:tcW w:w="900" w:type="dxa"/>
            <w:vAlign w:val="bottom"/>
            <w:gridSpan w:val="2"/>
            <w:shd w:val="clear" w:color="auto" w:fill="CFF0FC"/>
          </w:tcPr>
          <w:p>
            <w:pPr>
              <w:jc w:val="right"/>
              <w:ind w:right="613"/>
              <w:spacing w:after="0" w:line="147" w:lineRule="exact"/>
              <w:rPr>
                <w:sz w:val="20"/>
                <w:szCs w:val="20"/>
                <w:color w:val="auto"/>
              </w:rPr>
            </w:pPr>
            <w:r>
              <w:rPr>
                <w:rFonts w:ascii="Arial" w:cs="Arial" w:eastAsia="Arial" w:hAnsi="Arial"/>
                <w:sz w:val="13"/>
                <w:szCs w:val="13"/>
                <w:color w:val="auto"/>
              </w:rPr>
              <w:t>$</w:t>
            </w: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(718,812)</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480" w:type="dxa"/>
            <w:vAlign w:val="bottom"/>
          </w:tcPr>
          <w:p>
            <w:pPr>
              <w:spacing w:after="0" w:line="146" w:lineRule="exact"/>
              <w:rPr>
                <w:sz w:val="20"/>
                <w:szCs w:val="20"/>
                <w:color w:val="auto"/>
              </w:rPr>
            </w:pPr>
            <w:r>
              <w:rPr>
                <w:rFonts w:ascii="Arial" w:cs="Arial" w:eastAsia="Arial" w:hAnsi="Arial"/>
                <w:sz w:val="13"/>
                <w:szCs w:val="13"/>
                <w:color w:val="auto"/>
              </w:rPr>
              <w:t>Adjustments to reconcile net loss to net cash provided by</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120"/>
              <w:spacing w:after="0" w:line="148" w:lineRule="exact"/>
              <w:rPr>
                <w:sz w:val="20"/>
                <w:szCs w:val="20"/>
                <w:color w:val="auto"/>
              </w:rPr>
            </w:pPr>
            <w:r>
              <w:rPr>
                <w:rFonts w:ascii="Arial" w:cs="Arial" w:eastAsia="Arial" w:hAnsi="Arial"/>
                <w:sz w:val="13"/>
                <w:szCs w:val="13"/>
                <w:color w:val="auto"/>
              </w:rPr>
              <w:t>operating activities:</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Depreciation and amortization</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290,942</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329,403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spacing w:after="0" w:line="147" w:lineRule="exact"/>
              <w:rPr>
                <w:sz w:val="20"/>
                <w:szCs w:val="20"/>
                <w:color w:val="auto"/>
              </w:rPr>
            </w:pPr>
            <w:r>
              <w:rPr>
                <w:rFonts w:ascii="Arial" w:cs="Arial" w:eastAsia="Arial" w:hAnsi="Arial"/>
                <w:sz w:val="13"/>
                <w:szCs w:val="13"/>
                <w:color w:val="auto"/>
              </w:rPr>
              <w:t>Amortization of deferred financing costs and debt discount</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18,122</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36,955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Loss on extinguishment of debt</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49,280</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73,952</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spacing w:after="0" w:line="147" w:lineRule="exact"/>
              <w:rPr>
                <w:sz w:val="20"/>
                <w:szCs w:val="20"/>
                <w:color w:val="auto"/>
              </w:rPr>
            </w:pPr>
            <w:r>
              <w:rPr>
                <w:rFonts w:ascii="Arial" w:cs="Arial" w:eastAsia="Arial" w:hAnsi="Arial"/>
                <w:sz w:val="13"/>
                <w:szCs w:val="13"/>
                <w:color w:val="auto"/>
              </w:rPr>
              <w:t>Interest rate swap termination</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11,317</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10,155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Deferred income taxes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(6,467)</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(13,891)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spacing w:after="0" w:line="147" w:lineRule="exact"/>
              <w:rPr>
                <w:sz w:val="20"/>
                <w:szCs w:val="20"/>
                <w:color w:val="auto"/>
              </w:rPr>
            </w:pPr>
            <w:r>
              <w:rPr>
                <w:rFonts w:ascii="Arial" w:cs="Arial" w:eastAsia="Arial" w:hAnsi="Arial"/>
                <w:sz w:val="13"/>
                <w:szCs w:val="13"/>
                <w:color w:val="auto"/>
              </w:rPr>
              <w:t>Equity in earnings of unconsolidated entities</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(2,102)</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(98)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Distributions of cumulative earnings from unconsolidated entities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3,922</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1,960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spacing w:after="0" w:line="147" w:lineRule="exact"/>
              <w:rPr>
                <w:sz w:val="20"/>
                <w:szCs w:val="20"/>
                <w:color w:val="auto"/>
              </w:rPr>
            </w:pPr>
            <w:r>
              <w:rPr>
                <w:rFonts w:ascii="Arial" w:cs="Arial" w:eastAsia="Arial" w:hAnsi="Arial"/>
                <w:sz w:val="13"/>
                <w:szCs w:val="13"/>
                <w:color w:val="auto"/>
              </w:rPr>
              <w:t>Cash paid for interest rate swap settlement</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(12,483)</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(7,818)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Straight-line revenues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(41,239)</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(6,872)</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spacing w:after="0" w:line="147" w:lineRule="exact"/>
              <w:rPr>
                <w:sz w:val="20"/>
                <w:szCs w:val="20"/>
                <w:color w:val="auto"/>
              </w:rPr>
            </w:pPr>
            <w:r>
              <w:rPr>
                <w:rFonts w:ascii="Arial" w:cs="Arial" w:eastAsia="Arial" w:hAnsi="Arial"/>
                <w:sz w:val="13"/>
                <w:szCs w:val="13"/>
                <w:color w:val="auto"/>
              </w:rPr>
              <w:t>Stock-based compensation</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13,847</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13,721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220"/>
              <w:spacing w:after="0" w:line="147" w:lineRule="exact"/>
              <w:rPr>
                <w:sz w:val="20"/>
                <w:szCs w:val="20"/>
                <w:color w:val="auto"/>
              </w:rPr>
            </w:pPr>
            <w:r>
              <w:rPr>
                <w:rFonts w:ascii="Arial" w:cs="Arial" w:eastAsia="Arial" w:hAnsi="Arial"/>
                <w:sz w:val="13"/>
                <w:szCs w:val="13"/>
                <w:color w:val="auto"/>
              </w:rPr>
              <w:t>Change in fair value of contingent consideration</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21</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7,163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220"/>
              <w:spacing w:after="0" w:line="147" w:lineRule="exact"/>
              <w:rPr>
                <w:sz w:val="20"/>
                <w:szCs w:val="20"/>
                <w:color w:val="auto"/>
              </w:rPr>
            </w:pPr>
            <w:r>
              <w:rPr>
                <w:rFonts w:ascii="Arial" w:cs="Arial" w:eastAsia="Arial" w:hAnsi="Arial"/>
                <w:sz w:val="13"/>
                <w:szCs w:val="13"/>
                <w:color w:val="auto"/>
              </w:rPr>
              <w:t>Goodwill impairment</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71,000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220"/>
              <w:spacing w:after="0" w:line="147" w:lineRule="exact"/>
              <w:rPr>
                <w:sz w:val="20"/>
                <w:szCs w:val="20"/>
                <w:color w:val="auto"/>
              </w:rPr>
            </w:pPr>
            <w:r>
              <w:rPr>
                <w:rFonts w:ascii="Arial" w:cs="Arial" w:eastAsia="Arial" w:hAnsi="Arial"/>
                <w:sz w:val="13"/>
                <w:szCs w:val="13"/>
                <w:color w:val="auto"/>
              </w:rPr>
              <w:t>Gain on prepayment of settlement payable</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(5,432)</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220"/>
              <w:spacing w:after="0" w:line="147" w:lineRule="exact"/>
              <w:rPr>
                <w:sz w:val="20"/>
                <w:szCs w:val="20"/>
                <w:color w:val="auto"/>
              </w:rPr>
            </w:pPr>
            <w:r>
              <w:rPr>
                <w:rFonts w:ascii="Arial" w:cs="Arial" w:eastAsia="Arial" w:hAnsi="Arial"/>
                <w:sz w:val="13"/>
                <w:szCs w:val="13"/>
                <w:color w:val="auto"/>
              </w:rPr>
              <w:t>Gain on sale of real estate</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760" w:type="dxa"/>
            <w:vAlign w:val="bottom"/>
          </w:tcPr>
          <w:p>
            <w:pPr>
              <w:jc w:val="right"/>
              <w:spacing w:after="0" w:line="147" w:lineRule="exact"/>
              <w:rPr>
                <w:sz w:val="20"/>
                <w:szCs w:val="20"/>
                <w:color w:val="auto"/>
              </w:rPr>
            </w:pPr>
            <w:r>
              <w:rPr>
                <w:rFonts w:ascii="Arial" w:cs="Arial" w:eastAsia="Arial" w:hAnsi="Arial"/>
                <w:sz w:val="13"/>
                <w:szCs w:val="13"/>
                <w:color w:val="auto"/>
              </w:rPr>
              <w:t>(442)</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(86,267)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220"/>
              <w:spacing w:after="0" w:line="147" w:lineRule="exact"/>
              <w:rPr>
                <w:sz w:val="20"/>
                <w:szCs w:val="20"/>
                <w:color w:val="auto"/>
              </w:rPr>
            </w:pPr>
            <w:r>
              <w:rPr>
                <w:rFonts w:ascii="Arial" w:cs="Arial" w:eastAsia="Arial" w:hAnsi="Arial"/>
                <w:sz w:val="13"/>
                <w:szCs w:val="13"/>
                <w:color w:val="auto"/>
              </w:rPr>
              <w:t>Gain on sale of operations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(28,143)</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220"/>
              <w:spacing w:after="0" w:line="147" w:lineRule="exact"/>
              <w:rPr>
                <w:sz w:val="20"/>
                <w:szCs w:val="20"/>
                <w:color w:val="auto"/>
              </w:rPr>
            </w:pPr>
            <w:r>
              <w:rPr>
                <w:rFonts w:ascii="Arial" w:cs="Arial" w:eastAsia="Arial" w:hAnsi="Arial"/>
                <w:sz w:val="13"/>
                <w:szCs w:val="13"/>
                <w:color w:val="auto"/>
              </w:rPr>
              <w:t>(Gain) loss on asset disposals</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760" w:type="dxa"/>
            <w:vAlign w:val="bottom"/>
          </w:tcPr>
          <w:p>
            <w:pPr>
              <w:jc w:val="right"/>
              <w:spacing w:after="0" w:line="147" w:lineRule="exact"/>
              <w:rPr>
                <w:sz w:val="20"/>
                <w:szCs w:val="20"/>
                <w:color w:val="auto"/>
              </w:rPr>
            </w:pPr>
            <w:r>
              <w:rPr>
                <w:rFonts w:ascii="Arial" w:cs="Arial" w:eastAsia="Arial" w:hAnsi="Arial"/>
                <w:sz w:val="13"/>
                <w:szCs w:val="13"/>
                <w:color w:val="auto"/>
              </w:rPr>
              <w:t>(213)</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1,796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Accretion of settlement payable</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16,901</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spacing w:after="0" w:line="147" w:lineRule="exact"/>
              <w:rPr>
                <w:sz w:val="20"/>
                <w:szCs w:val="20"/>
                <w:color w:val="auto"/>
              </w:rPr>
            </w:pPr>
            <w:r>
              <w:rPr>
                <w:rFonts w:ascii="Arial" w:cs="Arial" w:eastAsia="Arial" w:hAnsi="Arial"/>
                <w:sz w:val="13"/>
                <w:szCs w:val="13"/>
                <w:color w:val="auto"/>
              </w:rPr>
              <w:t>Other</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124</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(297)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Changes in assets and liabilities, net of acquisitions: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spacing w:after="0" w:line="147" w:lineRule="exact"/>
              <w:rPr>
                <w:sz w:val="20"/>
                <w:szCs w:val="20"/>
                <w:color w:val="auto"/>
              </w:rPr>
            </w:pPr>
            <w:r>
              <w:rPr>
                <w:rFonts w:ascii="Arial" w:cs="Arial" w:eastAsia="Arial" w:hAnsi="Arial"/>
                <w:sz w:val="13"/>
                <w:szCs w:val="13"/>
                <w:color w:val="auto"/>
              </w:rPr>
              <w:t>Accounts receivable</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24,497</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12,634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Other assets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14,161</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(24,141)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spacing w:after="0" w:line="147" w:lineRule="exact"/>
              <w:rPr>
                <w:sz w:val="20"/>
                <w:szCs w:val="20"/>
                <w:color w:val="auto"/>
              </w:rPr>
            </w:pPr>
            <w:r>
              <w:rPr>
                <w:rFonts w:ascii="Arial" w:cs="Arial" w:eastAsia="Arial" w:hAnsi="Arial"/>
                <w:sz w:val="13"/>
                <w:szCs w:val="13"/>
                <w:color w:val="auto"/>
              </w:rPr>
              <w:t>Accounts payable, accrued expenses and other liabilities</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27,799</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37,850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Settlement payable</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418,840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5480" w:type="dxa"/>
            <w:vAlign w:val="bottom"/>
          </w:tcPr>
          <w:p>
            <w:pPr>
              <w:spacing w:after="0" w:line="140" w:lineRule="exact"/>
              <w:rPr>
                <w:sz w:val="20"/>
                <w:szCs w:val="20"/>
                <w:color w:val="auto"/>
              </w:rPr>
            </w:pPr>
            <w:r>
              <w:rPr>
                <w:rFonts w:ascii="Arial" w:cs="Arial" w:eastAsia="Arial" w:hAnsi="Arial"/>
                <w:sz w:val="13"/>
                <w:szCs w:val="13"/>
                <w:color w:val="auto"/>
              </w:rPr>
              <w:t>Net cash provided by operating activities</w:t>
            </w:r>
          </w:p>
        </w:tc>
        <w:tc>
          <w:tcPr>
            <w:tcW w:w="1440" w:type="dxa"/>
            <w:vAlign w:val="bottom"/>
          </w:tcPr>
          <w:p>
            <w:pPr>
              <w:spacing w:after="0"/>
              <w:rPr>
                <w:sz w:val="12"/>
                <w:szCs w:val="12"/>
                <w:color w:val="auto"/>
              </w:rPr>
            </w:pPr>
          </w:p>
        </w:tc>
        <w:tc>
          <w:tcPr>
            <w:tcW w:w="126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499,157</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Borders>
              <w:top w:val="single" w:sz="8" w:color="auto"/>
              <w:bottom w:val="single" w:sz="8" w:color="auto"/>
            </w:tcBorders>
          </w:tcPr>
          <w:p>
            <w:pPr>
              <w:spacing w:after="0"/>
              <w:rPr>
                <w:sz w:val="12"/>
                <w:szCs w:val="12"/>
                <w:color w:val="auto"/>
              </w:rPr>
            </w:pPr>
          </w:p>
        </w:tc>
        <w:tc>
          <w:tcPr>
            <w:tcW w:w="124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157,233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7"/>
        </w:trPr>
        <w:tc>
          <w:tcPr>
            <w:tcW w:w="5480" w:type="dxa"/>
            <w:vAlign w:val="bottom"/>
          </w:tcPr>
          <w:p>
            <w:pPr>
              <w:spacing w:after="0"/>
              <w:rPr>
                <w:sz w:val="20"/>
                <w:szCs w:val="20"/>
                <w:color w:val="auto"/>
              </w:rPr>
            </w:pPr>
            <w:r>
              <w:rPr>
                <w:rFonts w:ascii="Arial" w:cs="Arial" w:eastAsia="Arial" w:hAnsi="Arial"/>
                <w:sz w:val="13"/>
                <w:szCs w:val="13"/>
                <w:b w:val="1"/>
                <w:bCs w:val="1"/>
                <w:color w:val="auto"/>
              </w:rPr>
              <w:t>Cash flows from investing activities:</w:t>
            </w:r>
          </w:p>
        </w:tc>
        <w:tc>
          <w:tcPr>
            <w:tcW w:w="1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Other capital expenditures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(385,855)</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(317,084)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120"/>
              <w:spacing w:after="0" w:line="147" w:lineRule="exact"/>
              <w:rPr>
                <w:sz w:val="20"/>
                <w:szCs w:val="20"/>
                <w:color w:val="auto"/>
              </w:rPr>
            </w:pPr>
            <w:r>
              <w:rPr>
                <w:rFonts w:ascii="Arial" w:cs="Arial" w:eastAsia="Arial" w:hAnsi="Arial"/>
                <w:sz w:val="13"/>
                <w:szCs w:val="13"/>
                <w:color w:val="auto"/>
              </w:rPr>
              <w:t>Proceeds from sale of real estate, net of cash</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1,034</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391,885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Proceeds from sale of operations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62,113</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120"/>
              <w:spacing w:after="0" w:line="147" w:lineRule="exact"/>
              <w:rPr>
                <w:sz w:val="20"/>
                <w:szCs w:val="20"/>
                <w:color w:val="auto"/>
              </w:rPr>
            </w:pPr>
            <w:r>
              <w:rPr>
                <w:rFonts w:ascii="Arial" w:cs="Arial" w:eastAsia="Arial" w:hAnsi="Arial"/>
                <w:sz w:val="13"/>
                <w:szCs w:val="13"/>
                <w:color w:val="auto"/>
              </w:rPr>
              <w:t>Proceeds from sale of other equipment</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1,487</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Asset acquisitions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(73,407)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5480" w:type="dxa"/>
            <w:vAlign w:val="bottom"/>
          </w:tcPr>
          <w:p>
            <w:pPr>
              <w:spacing w:after="0" w:line="140" w:lineRule="exact"/>
              <w:rPr>
                <w:sz w:val="20"/>
                <w:szCs w:val="20"/>
                <w:color w:val="auto"/>
              </w:rPr>
            </w:pPr>
            <w:r>
              <w:rPr>
                <w:rFonts w:ascii="Arial" w:cs="Arial" w:eastAsia="Arial" w:hAnsi="Arial"/>
                <w:sz w:val="13"/>
                <w:szCs w:val="13"/>
                <w:color w:val="auto"/>
              </w:rPr>
              <w:t>Net cash (used in) provided by investing activities</w:t>
            </w:r>
          </w:p>
        </w:tc>
        <w:tc>
          <w:tcPr>
            <w:tcW w:w="1440" w:type="dxa"/>
            <w:vAlign w:val="bottom"/>
          </w:tcPr>
          <w:p>
            <w:pPr>
              <w:spacing w:after="0"/>
              <w:rPr>
                <w:sz w:val="12"/>
                <w:szCs w:val="12"/>
                <w:color w:val="auto"/>
              </w:rPr>
            </w:pPr>
          </w:p>
        </w:tc>
        <w:tc>
          <w:tcPr>
            <w:tcW w:w="126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(321,221)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Borders>
              <w:top w:val="single" w:sz="8" w:color="auto"/>
              <w:bottom w:val="single" w:sz="8" w:color="auto"/>
            </w:tcBorders>
          </w:tcPr>
          <w:p>
            <w:pPr>
              <w:spacing w:after="0"/>
              <w:rPr>
                <w:sz w:val="12"/>
                <w:szCs w:val="12"/>
                <w:color w:val="auto"/>
              </w:rPr>
            </w:pPr>
          </w:p>
        </w:tc>
        <w:tc>
          <w:tcPr>
            <w:tcW w:w="124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1,394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548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b w:val="1"/>
                <w:bCs w:val="1"/>
                <w:color w:val="auto"/>
              </w:rPr>
              <w:t>Cash flows from financing activities: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spacing w:after="0" w:line="147" w:lineRule="exact"/>
              <w:rPr>
                <w:sz w:val="20"/>
                <w:szCs w:val="20"/>
                <w:color w:val="auto"/>
              </w:rPr>
            </w:pPr>
            <w:r>
              <w:rPr>
                <w:rFonts w:ascii="Arial" w:cs="Arial" w:eastAsia="Arial" w:hAnsi="Arial"/>
                <w:sz w:val="13"/>
                <w:szCs w:val="13"/>
                <w:color w:val="auto"/>
              </w:rPr>
              <w:t>Repayment of debt</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(2,260,000)</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(2,044,728)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Proceeds from issuance of notes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7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2,380,000</w:t>
            </w:r>
          </w:p>
        </w:tc>
        <w:tc>
          <w:tcPr>
            <w:tcW w:w="16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2,250,000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120"/>
              <w:spacing w:after="0" w:line="147" w:lineRule="exact"/>
              <w:rPr>
                <w:sz w:val="20"/>
                <w:szCs w:val="20"/>
                <w:color w:val="auto"/>
              </w:rPr>
            </w:pPr>
            <w:r>
              <w:rPr>
                <w:rFonts w:ascii="Arial" w:cs="Arial" w:eastAsia="Arial" w:hAnsi="Arial"/>
                <w:sz w:val="13"/>
                <w:szCs w:val="13"/>
                <w:color w:val="auto"/>
              </w:rPr>
              <w:t>Dividends paid</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(141,371)</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(135,676)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Payments of settlement payable</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(190,924)</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120"/>
              <w:spacing w:after="0" w:line="147" w:lineRule="exact"/>
              <w:rPr>
                <w:sz w:val="20"/>
                <w:szCs w:val="20"/>
                <w:color w:val="auto"/>
              </w:rPr>
            </w:pPr>
            <w:r>
              <w:rPr>
                <w:rFonts w:ascii="Arial" w:cs="Arial" w:eastAsia="Arial" w:hAnsi="Arial"/>
                <w:sz w:val="13"/>
                <w:szCs w:val="13"/>
                <w:color w:val="auto"/>
              </w:rPr>
              <w:t>Payments of contingent consideration</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(2,979)</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(15,713)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Distributions paid to noncontrolling interests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(1,700)</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(2,322)</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120"/>
              <w:spacing w:after="0" w:line="147" w:lineRule="exact"/>
              <w:rPr>
                <w:sz w:val="20"/>
                <w:szCs w:val="20"/>
                <w:color w:val="auto"/>
              </w:rPr>
            </w:pPr>
            <w:r>
              <w:rPr>
                <w:rFonts w:ascii="Arial" w:cs="Arial" w:eastAsia="Arial" w:hAnsi="Arial"/>
                <w:sz w:val="13"/>
                <w:szCs w:val="13"/>
                <w:color w:val="auto"/>
              </w:rPr>
              <w:t>Borrowings under revolving credit facility</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310,000</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170,000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Payments under revolving credit facility</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(220,000)</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(635,019)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120"/>
              <w:spacing w:after="0" w:line="147" w:lineRule="exact"/>
              <w:rPr>
                <w:sz w:val="20"/>
                <w:szCs w:val="20"/>
                <w:color w:val="auto"/>
              </w:rPr>
            </w:pPr>
            <w:r>
              <w:rPr>
                <w:rFonts w:ascii="Arial" w:cs="Arial" w:eastAsia="Arial" w:hAnsi="Arial"/>
                <w:sz w:val="13"/>
                <w:szCs w:val="13"/>
                <w:color w:val="auto"/>
              </w:rPr>
              <w:t>Finance lease payments</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(2,019)</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(3,702)</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Payments for financing costs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(27,660)</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(50,875)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120"/>
              <w:spacing w:after="0" w:line="147" w:lineRule="exact"/>
              <w:rPr>
                <w:sz w:val="20"/>
                <w:szCs w:val="20"/>
                <w:color w:val="auto"/>
              </w:rPr>
            </w:pPr>
            <w:r>
              <w:rPr>
                <w:rFonts w:ascii="Arial" w:cs="Arial" w:eastAsia="Arial" w:hAnsi="Arial"/>
                <w:sz w:val="13"/>
                <w:szCs w:val="13"/>
                <w:color w:val="auto"/>
              </w:rPr>
              <w:t>Costs related to the early repayment of debt</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(36,486)</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Settlement Common Stock issuance</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244,550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ind w:left="120"/>
              <w:spacing w:after="0" w:line="147" w:lineRule="exact"/>
              <w:rPr>
                <w:sz w:val="20"/>
                <w:szCs w:val="20"/>
                <w:color w:val="auto"/>
              </w:rPr>
            </w:pPr>
            <w:r>
              <w:rPr>
                <w:rFonts w:ascii="Arial" w:cs="Arial" w:eastAsia="Arial" w:hAnsi="Arial"/>
                <w:sz w:val="13"/>
                <w:szCs w:val="13"/>
                <w:color w:val="auto"/>
              </w:rPr>
              <w:t>Employee stock purchase program</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672</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676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Payments related to tax withholding for stock-based compensation</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920" w:type="dxa"/>
            <w:vAlign w:val="bottom"/>
            <w:gridSpan w:val="2"/>
            <w:shd w:val="clear" w:color="auto" w:fill="CFF0FC"/>
          </w:tcPr>
          <w:p>
            <w:pPr>
              <w:jc w:val="right"/>
              <w:ind w:right="160"/>
              <w:spacing w:after="0" w:line="147" w:lineRule="exact"/>
              <w:rPr>
                <w:sz w:val="20"/>
                <w:szCs w:val="20"/>
                <w:color w:val="auto"/>
              </w:rPr>
            </w:pPr>
            <w:r>
              <w:rPr>
                <w:rFonts w:ascii="Arial" w:cs="Arial" w:eastAsia="Arial" w:hAnsi="Arial"/>
                <w:sz w:val="13"/>
                <w:szCs w:val="13"/>
                <w:color w:val="auto"/>
              </w:rPr>
              <w:t>(4,100)</w:t>
            </w: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(1,097)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5480" w:type="dxa"/>
            <w:vAlign w:val="bottom"/>
            <w:tcBorders>
              <w:bottom w:val="single" w:sz="8" w:color="CFF0FC"/>
            </w:tcBorders>
          </w:tcPr>
          <w:p>
            <w:pPr>
              <w:spacing w:after="0" w:line="140" w:lineRule="exact"/>
              <w:rPr>
                <w:sz w:val="20"/>
                <w:szCs w:val="20"/>
                <w:color w:val="auto"/>
              </w:rPr>
            </w:pPr>
            <w:r>
              <w:rPr>
                <w:rFonts w:ascii="Arial" w:cs="Arial" w:eastAsia="Arial" w:hAnsi="Arial"/>
                <w:sz w:val="13"/>
                <w:szCs w:val="13"/>
                <w:color w:val="auto"/>
              </w:rPr>
              <w:t>Net cash used in financing activities</w:t>
            </w:r>
          </w:p>
        </w:tc>
        <w:tc>
          <w:tcPr>
            <w:tcW w:w="1440" w:type="dxa"/>
            <w:vAlign w:val="bottom"/>
            <w:tcBorders>
              <w:bottom w:val="single" w:sz="8" w:color="CFF0FC"/>
            </w:tcBorders>
          </w:tcPr>
          <w:p>
            <w:pPr>
              <w:spacing w:after="0"/>
              <w:rPr>
                <w:sz w:val="12"/>
                <w:szCs w:val="12"/>
                <w:color w:val="auto"/>
              </w:rPr>
            </w:pPr>
          </w:p>
        </w:tc>
        <w:tc>
          <w:tcPr>
            <w:tcW w:w="126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(196,567)</w:t>
            </w:r>
          </w:p>
        </w:tc>
        <w:tc>
          <w:tcPr>
            <w:tcW w:w="160" w:type="dxa"/>
            <w:vAlign w:val="bottom"/>
            <w:tcBorders>
              <w:bottom w:val="single" w:sz="8" w:color="CFF0FC"/>
            </w:tcBorders>
          </w:tcPr>
          <w:p>
            <w:pPr>
              <w:spacing w:after="0"/>
              <w:rPr>
                <w:sz w:val="12"/>
                <w:szCs w:val="12"/>
                <w:color w:val="auto"/>
              </w:rPr>
            </w:pPr>
          </w:p>
        </w:tc>
        <w:tc>
          <w:tcPr>
            <w:tcW w:w="140" w:type="dxa"/>
            <w:vAlign w:val="bottom"/>
            <w:tcBorders>
              <w:bottom w:val="single" w:sz="8" w:color="CFF0FC"/>
            </w:tcBorders>
          </w:tcPr>
          <w:p>
            <w:pPr>
              <w:spacing w:after="0"/>
              <w:rPr>
                <w:sz w:val="12"/>
                <w:szCs w:val="12"/>
                <w:color w:val="auto"/>
              </w:rPr>
            </w:pPr>
          </w:p>
        </w:tc>
        <w:tc>
          <w:tcPr>
            <w:tcW w:w="760" w:type="dxa"/>
            <w:vAlign w:val="bottom"/>
            <w:tcBorders>
              <w:top w:val="single" w:sz="8" w:color="auto"/>
              <w:bottom w:val="single" w:sz="8" w:color="auto"/>
            </w:tcBorders>
          </w:tcPr>
          <w:p>
            <w:pPr>
              <w:spacing w:after="0"/>
              <w:rPr>
                <w:sz w:val="12"/>
                <w:szCs w:val="12"/>
                <w:color w:val="auto"/>
              </w:rPr>
            </w:pPr>
          </w:p>
        </w:tc>
        <w:tc>
          <w:tcPr>
            <w:tcW w:w="124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(223,906)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5480" w:type="dxa"/>
            <w:vAlign w:val="bottom"/>
            <w:shd w:val="clear" w:color="auto" w:fill="CFF0FC"/>
          </w:tcPr>
          <w:p>
            <w:pPr>
              <w:spacing w:after="0" w:line="140" w:lineRule="exact"/>
              <w:rPr>
                <w:sz w:val="20"/>
                <w:szCs w:val="20"/>
                <w:color w:val="auto"/>
              </w:rPr>
            </w:pPr>
            <w:r>
              <w:rPr>
                <w:rFonts w:ascii="Arial" w:cs="Arial" w:eastAsia="Arial" w:hAnsi="Arial"/>
                <w:sz w:val="13"/>
                <w:szCs w:val="13"/>
                <w:b w:val="1"/>
                <w:bCs w:val="1"/>
                <w:color w:val="auto"/>
              </w:rPr>
              <w:t>Net (decrease) increase in cash and cash equivalents</w:t>
            </w:r>
          </w:p>
        </w:tc>
        <w:tc>
          <w:tcPr>
            <w:tcW w:w="14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760" w:type="dxa"/>
            <w:vAlign w:val="bottom"/>
            <w:shd w:val="clear" w:color="auto" w:fill="CFF0FC"/>
          </w:tcPr>
          <w:p>
            <w:pPr>
              <w:jc w:val="right"/>
              <w:spacing w:after="0" w:line="140" w:lineRule="exact"/>
              <w:rPr>
                <w:sz w:val="20"/>
                <w:szCs w:val="20"/>
                <w:color w:val="auto"/>
              </w:rPr>
            </w:pPr>
            <w:r>
              <w:rPr>
                <w:rFonts w:ascii="Arial" w:cs="Arial" w:eastAsia="Arial" w:hAnsi="Arial"/>
                <w:sz w:val="13"/>
                <w:szCs w:val="13"/>
                <w:color w:val="auto"/>
              </w:rPr>
              <w:t>(18,631)</w:t>
            </w:r>
          </w:p>
        </w:tc>
        <w:tc>
          <w:tcPr>
            <w:tcW w:w="16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40" w:type="dxa"/>
            <w:vAlign w:val="bottom"/>
            <w:shd w:val="clear" w:color="auto" w:fill="CFF0FC"/>
          </w:tcPr>
          <w:p>
            <w:pPr>
              <w:jc w:val="right"/>
              <w:spacing w:after="0" w:line="140" w:lineRule="exact"/>
              <w:rPr>
                <w:sz w:val="20"/>
                <w:szCs w:val="20"/>
                <w:color w:val="auto"/>
              </w:rPr>
            </w:pPr>
            <w:r>
              <w:rPr>
                <w:rFonts w:ascii="Arial" w:cs="Arial" w:eastAsia="Arial" w:hAnsi="Arial"/>
                <w:sz w:val="13"/>
                <w:szCs w:val="13"/>
                <w:color w:val="auto"/>
              </w:rPr>
              <w:t>(65,279)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5480" w:type="dxa"/>
            <w:vAlign w:val="bottom"/>
          </w:tcPr>
          <w:p>
            <w:pPr>
              <w:spacing w:after="0" w:line="147" w:lineRule="exact"/>
              <w:rPr>
                <w:sz w:val="20"/>
                <w:szCs w:val="20"/>
                <w:color w:val="auto"/>
              </w:rPr>
            </w:pPr>
            <w:r>
              <w:rPr>
                <w:rFonts w:ascii="Arial" w:cs="Arial" w:eastAsia="Arial" w:hAnsi="Arial"/>
                <w:sz w:val="13"/>
                <w:szCs w:val="13"/>
                <w:color w:val="auto"/>
              </w:rPr>
              <w:t>Cash and cash equivalents at beginning of period</w:t>
            </w:r>
          </w:p>
        </w:tc>
        <w:tc>
          <w:tcPr>
            <w:tcW w:w="1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920" w:type="dxa"/>
            <w:vAlign w:val="bottom"/>
            <w:gridSpan w:val="2"/>
          </w:tcPr>
          <w:p>
            <w:pPr>
              <w:jc w:val="right"/>
              <w:ind w:right="160"/>
              <w:spacing w:after="0" w:line="147" w:lineRule="exact"/>
              <w:rPr>
                <w:sz w:val="20"/>
                <w:szCs w:val="20"/>
                <w:color w:val="auto"/>
              </w:rPr>
            </w:pPr>
            <w:r>
              <w:rPr>
                <w:rFonts w:ascii="Arial" w:cs="Arial" w:eastAsia="Arial" w:hAnsi="Arial"/>
                <w:sz w:val="13"/>
                <w:szCs w:val="13"/>
                <w:color w:val="auto"/>
              </w:rPr>
              <w:t>77,534</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40" w:type="dxa"/>
            <w:vAlign w:val="bottom"/>
          </w:tcPr>
          <w:p>
            <w:pPr>
              <w:jc w:val="right"/>
              <w:spacing w:after="0" w:line="147" w:lineRule="exact"/>
              <w:rPr>
                <w:sz w:val="20"/>
                <w:szCs w:val="20"/>
                <w:color w:val="auto"/>
              </w:rPr>
            </w:pPr>
            <w:r>
              <w:rPr>
                <w:rFonts w:ascii="Arial" w:cs="Arial" w:eastAsia="Arial" w:hAnsi="Arial"/>
                <w:sz w:val="13"/>
                <w:szCs w:val="13"/>
                <w:color w:val="auto"/>
              </w:rPr>
              <w:t>142,813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5480" w:type="dxa"/>
            <w:vAlign w:val="bottom"/>
            <w:tcBorders>
              <w:top w:val="single" w:sz="8" w:color="CFF0FC"/>
              <w:bottom w:val="single" w:sz="8" w:color="CFF0FC"/>
            </w:tcBorders>
            <w:shd w:val="clear" w:color="auto" w:fill="CFF0FC"/>
          </w:tcPr>
          <w:p>
            <w:pPr>
              <w:spacing w:after="0" w:line="140" w:lineRule="exact"/>
              <w:rPr>
                <w:sz w:val="20"/>
                <w:szCs w:val="20"/>
                <w:color w:val="auto"/>
              </w:rPr>
            </w:pPr>
            <w:r>
              <w:rPr>
                <w:rFonts w:ascii="Arial" w:cs="Arial" w:eastAsia="Arial" w:hAnsi="Arial"/>
                <w:sz w:val="13"/>
                <w:szCs w:val="13"/>
                <w:color w:val="auto"/>
              </w:rPr>
              <w:t>Cash and cash equivalents at end of period</w:t>
            </w:r>
          </w:p>
        </w:tc>
        <w:tc>
          <w:tcPr>
            <w:tcW w:w="1440" w:type="dxa"/>
            <w:vAlign w:val="bottom"/>
            <w:tcBorders>
              <w:top w:val="single" w:sz="8" w:color="CFF0FC"/>
              <w:bottom w:val="single" w:sz="8" w:color="CFF0FC"/>
            </w:tcBorders>
            <w:shd w:val="clear" w:color="auto" w:fill="CFF0FC"/>
          </w:tcPr>
          <w:p>
            <w:pPr>
              <w:spacing w:after="0"/>
              <w:rPr>
                <w:sz w:val="12"/>
                <w:szCs w:val="12"/>
                <w:color w:val="auto"/>
              </w:rPr>
            </w:pPr>
          </w:p>
        </w:tc>
        <w:tc>
          <w:tcPr>
            <w:tcW w:w="1260" w:type="dxa"/>
            <w:vAlign w:val="bottom"/>
            <w:tcBorders>
              <w:top w:val="single" w:sz="8" w:color="auto"/>
              <w:bottom w:val="single" w:sz="8" w:color="auto"/>
            </w:tcBorders>
            <w:shd w:val="clear" w:color="auto" w:fill="CFF0FC"/>
          </w:tcPr>
          <w:p>
            <w:pPr>
              <w:jc w:val="right"/>
              <w:ind w:right="1113"/>
              <w:spacing w:after="0" w:line="140" w:lineRule="exact"/>
              <w:rPr>
                <w:sz w:val="20"/>
                <w:szCs w:val="20"/>
                <w:color w:val="auto"/>
              </w:rPr>
            </w:pPr>
            <w:r>
              <w:rPr>
                <w:rFonts w:ascii="Arial" w:cs="Arial" w:eastAsia="Arial" w:hAnsi="Arial"/>
                <w:sz w:val="13"/>
                <w:szCs w:val="13"/>
                <w:color w:val="auto"/>
                <w:w w:val="82"/>
              </w:rPr>
              <w:t>$</w:t>
            </w:r>
          </w:p>
        </w:tc>
        <w:tc>
          <w:tcPr>
            <w:tcW w:w="760" w:type="dxa"/>
            <w:vAlign w:val="bottom"/>
            <w:tcBorders>
              <w:top w:val="single" w:sz="8" w:color="auto"/>
              <w:bottom w:val="single" w:sz="8" w:color="auto"/>
            </w:tcBorders>
            <w:shd w:val="clear" w:color="auto" w:fill="CFF0FC"/>
          </w:tcPr>
          <w:p>
            <w:pPr>
              <w:jc w:val="right"/>
              <w:spacing w:after="0" w:line="140" w:lineRule="exact"/>
              <w:rPr>
                <w:sz w:val="20"/>
                <w:szCs w:val="20"/>
                <w:color w:val="auto"/>
              </w:rPr>
            </w:pPr>
            <w:r>
              <w:rPr>
                <w:rFonts w:ascii="Arial" w:cs="Arial" w:eastAsia="Arial" w:hAnsi="Arial"/>
                <w:sz w:val="13"/>
                <w:szCs w:val="13"/>
                <w:color w:val="auto"/>
              </w:rPr>
              <w:t>58,903</w:t>
            </w:r>
          </w:p>
        </w:tc>
        <w:tc>
          <w:tcPr>
            <w:tcW w:w="160" w:type="dxa"/>
            <w:vAlign w:val="bottom"/>
            <w:tcBorders>
              <w:top w:val="single" w:sz="8" w:color="CFF0FC"/>
              <w:bottom w:val="single" w:sz="8" w:color="CFF0FC"/>
            </w:tcBorders>
            <w:shd w:val="clear" w:color="auto" w:fill="CFF0FC"/>
          </w:tcPr>
          <w:p>
            <w:pPr>
              <w:spacing w:after="0"/>
              <w:rPr>
                <w:sz w:val="12"/>
                <w:szCs w:val="12"/>
                <w:color w:val="auto"/>
              </w:rPr>
            </w:pPr>
          </w:p>
        </w:tc>
        <w:tc>
          <w:tcPr>
            <w:tcW w:w="140" w:type="dxa"/>
            <w:vAlign w:val="bottom"/>
            <w:tcBorders>
              <w:top w:val="single" w:sz="8" w:color="CFF0FC"/>
              <w:bottom w:val="single" w:sz="8" w:color="CFF0FC"/>
            </w:tcBorders>
            <w:shd w:val="clear" w:color="auto" w:fill="CFF0FC"/>
          </w:tcPr>
          <w:p>
            <w:pPr>
              <w:spacing w:after="0"/>
              <w:rPr>
                <w:sz w:val="12"/>
                <w:szCs w:val="12"/>
                <w:color w:val="auto"/>
              </w:rPr>
            </w:pPr>
          </w:p>
        </w:tc>
        <w:tc>
          <w:tcPr>
            <w:tcW w:w="760" w:type="dxa"/>
            <w:vAlign w:val="bottom"/>
            <w:tcBorders>
              <w:top w:val="single" w:sz="8" w:color="auto"/>
              <w:bottom w:val="single" w:sz="8" w:color="auto"/>
            </w:tcBorders>
            <w:shd w:val="clear" w:color="auto" w:fill="CFF0FC"/>
          </w:tcPr>
          <w:p>
            <w:pPr>
              <w:jc w:val="right"/>
              <w:ind w:right="613"/>
              <w:spacing w:after="0" w:line="140" w:lineRule="exact"/>
              <w:rPr>
                <w:sz w:val="20"/>
                <w:szCs w:val="20"/>
                <w:color w:val="auto"/>
              </w:rPr>
            </w:pPr>
            <w:r>
              <w:rPr>
                <w:rFonts w:ascii="Arial" w:cs="Arial" w:eastAsia="Arial" w:hAnsi="Arial"/>
                <w:sz w:val="13"/>
                <w:szCs w:val="13"/>
                <w:color w:val="auto"/>
                <w:w w:val="82"/>
              </w:rPr>
              <w:t>$</w:t>
            </w:r>
          </w:p>
        </w:tc>
        <w:tc>
          <w:tcPr>
            <w:tcW w:w="1240" w:type="dxa"/>
            <w:vAlign w:val="bottom"/>
            <w:tcBorders>
              <w:top w:val="single" w:sz="8" w:color="auto"/>
              <w:bottom w:val="single" w:sz="8" w:color="auto"/>
            </w:tcBorders>
            <w:shd w:val="clear" w:color="auto" w:fill="CFF0FC"/>
          </w:tcPr>
          <w:p>
            <w:pPr>
              <w:jc w:val="right"/>
              <w:spacing w:after="0" w:line="140" w:lineRule="exact"/>
              <w:rPr>
                <w:sz w:val="20"/>
                <w:szCs w:val="20"/>
                <w:color w:val="auto"/>
              </w:rPr>
            </w:pPr>
            <w:r>
              <w:rPr>
                <w:rFonts w:ascii="Arial" w:cs="Arial" w:eastAsia="Arial" w:hAnsi="Arial"/>
                <w:sz w:val="13"/>
                <w:szCs w:val="13"/>
                <w:color w:val="auto"/>
              </w:rPr>
              <w:t>77,534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48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4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1033" w:right="339" w:bottom="1440" w:gutter="0" w:footer="0" w:header="0"/>
        </w:sectPr>
      </w:pPr>
    </w:p>
    <w:bookmarkStart w:id="10" w:name="page11"/>
    <w:bookmarkEnd w:id="10"/>
    <w:p>
      <w:pPr>
        <w:jc w:val="center"/>
        <w:spacing w:after="0"/>
        <w:rPr>
          <w:sz w:val="20"/>
          <w:szCs w:val="20"/>
          <w:color w:val="auto"/>
        </w:rPr>
      </w:pPr>
      <w:r>
        <w:rPr>
          <w:rFonts w:ascii="Arial" w:cs="Arial" w:eastAsia="Arial" w:hAnsi="Arial"/>
          <w:sz w:val="20"/>
          <w:szCs w:val="20"/>
          <w:b w:val="1"/>
          <w:bCs w:val="1"/>
          <w:color w:val="auto"/>
        </w:rPr>
        <w:t>Uniti Group Inc.</w:t>
      </w:r>
    </w:p>
    <w:p>
      <w:pPr>
        <w:jc w:val="center"/>
        <w:spacing w:after="0" w:line="230" w:lineRule="auto"/>
        <w:rPr>
          <w:sz w:val="20"/>
          <w:szCs w:val="20"/>
          <w:color w:val="auto"/>
        </w:rPr>
      </w:pPr>
      <w:r>
        <w:rPr>
          <w:rFonts w:ascii="Arial" w:cs="Arial" w:eastAsia="Arial" w:hAnsi="Arial"/>
          <w:sz w:val="20"/>
          <w:szCs w:val="20"/>
          <w:b w:val="1"/>
          <w:bCs w:val="1"/>
          <w:color w:val="auto"/>
        </w:rPr>
        <w:t>Reconciliation of Net Income to FFO and AFFO</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(In thousands, except per share data)</w:t>
      </w: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4520" w:type="dxa"/>
            <w:vAlign w:val="bottom"/>
          </w:tcPr>
          <w:p>
            <w:pPr>
              <w:spacing w:after="0"/>
              <w:rPr>
                <w:sz w:val="14"/>
                <w:szCs w:val="14"/>
                <w:color w:val="auto"/>
              </w:rPr>
            </w:pPr>
          </w:p>
        </w:tc>
        <w:tc>
          <w:tcPr>
            <w:tcW w:w="2720" w:type="dxa"/>
            <w:vAlign w:val="bottom"/>
            <w:tcBorders>
              <w:bottom w:val="single" w:sz="8" w:color="auto"/>
            </w:tcBorders>
            <w:gridSpan w:val="4"/>
          </w:tcPr>
          <w:p>
            <w:pPr>
              <w:jc w:val="right"/>
              <w:spacing w:after="0"/>
              <w:rPr>
                <w:sz w:val="20"/>
                <w:szCs w:val="20"/>
                <w:color w:val="auto"/>
              </w:rPr>
            </w:pPr>
            <w:r>
              <w:rPr>
                <w:rFonts w:ascii="Arial" w:cs="Arial" w:eastAsia="Arial" w:hAnsi="Arial"/>
                <w:sz w:val="13"/>
                <w:szCs w:val="13"/>
                <w:b w:val="1"/>
                <w:bCs w:val="1"/>
                <w:color w:val="auto"/>
              </w:rPr>
              <w:t>Three Months Ended December 31,</w:t>
            </w:r>
          </w:p>
        </w:tc>
        <w:tc>
          <w:tcPr>
            <w:tcW w:w="50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860" w:type="dxa"/>
            <w:vAlign w:val="bottom"/>
            <w:tcBorders>
              <w:bottom w:val="single" w:sz="8" w:color="auto"/>
            </w:tcBorders>
            <w:gridSpan w:val="5"/>
          </w:tcPr>
          <w:p>
            <w:pPr>
              <w:jc w:val="right"/>
              <w:ind w:right="713"/>
              <w:spacing w:after="0"/>
              <w:rPr>
                <w:sz w:val="20"/>
                <w:szCs w:val="20"/>
                <w:color w:val="auto"/>
              </w:rPr>
            </w:pPr>
            <w:r>
              <w:rPr>
                <w:rFonts w:ascii="Arial" w:cs="Arial" w:eastAsia="Arial" w:hAnsi="Arial"/>
                <w:sz w:val="13"/>
                <w:szCs w:val="13"/>
                <w:b w:val="1"/>
                <w:bCs w:val="1"/>
                <w:color w:val="auto"/>
              </w:rPr>
              <w:t>Year Ended December 31,</w:t>
            </w:r>
          </w:p>
        </w:tc>
        <w:tc>
          <w:tcPr>
            <w:tcW w:w="0" w:type="dxa"/>
            <w:vAlign w:val="bottom"/>
          </w:tcPr>
          <w:p>
            <w:pPr>
              <w:spacing w:after="0"/>
              <w:rPr>
                <w:sz w:val="1"/>
                <w:szCs w:val="1"/>
                <w:color w:val="auto"/>
              </w:rPr>
            </w:pPr>
          </w:p>
        </w:tc>
      </w:tr>
      <w:tr>
        <w:trPr>
          <w:trHeight w:val="140"/>
        </w:trPr>
        <w:tc>
          <w:tcPr>
            <w:tcW w:w="4520" w:type="dxa"/>
            <w:vAlign w:val="bottom"/>
            <w:tcBorders>
              <w:bottom w:val="single" w:sz="8" w:color="CFF0FC"/>
            </w:tcBorders>
          </w:tcPr>
          <w:p>
            <w:pPr>
              <w:spacing w:after="0"/>
              <w:rPr>
                <w:sz w:val="12"/>
                <w:szCs w:val="12"/>
                <w:color w:val="auto"/>
              </w:rPr>
            </w:pPr>
          </w:p>
        </w:tc>
        <w:tc>
          <w:tcPr>
            <w:tcW w:w="960" w:type="dxa"/>
            <w:vAlign w:val="bottom"/>
            <w:tcBorders>
              <w:bottom w:val="single" w:sz="8" w:color="auto"/>
            </w:tcBorders>
          </w:tcPr>
          <w:p>
            <w:pPr>
              <w:jc w:val="right"/>
              <w:spacing w:after="0" w:line="140" w:lineRule="exact"/>
              <w:rPr>
                <w:sz w:val="20"/>
                <w:szCs w:val="20"/>
                <w:color w:val="auto"/>
              </w:rPr>
            </w:pPr>
            <w:r>
              <w:rPr>
                <w:rFonts w:ascii="Arial" w:cs="Arial" w:eastAsia="Arial" w:hAnsi="Arial"/>
                <w:sz w:val="13"/>
                <w:szCs w:val="13"/>
                <w:b w:val="1"/>
                <w:bCs w:val="1"/>
                <w:color w:val="auto"/>
              </w:rPr>
              <w:t>2021</w:t>
            </w:r>
          </w:p>
        </w:tc>
        <w:tc>
          <w:tcPr>
            <w:tcW w:w="540" w:type="dxa"/>
            <w:vAlign w:val="bottom"/>
            <w:tcBorders>
              <w:bottom w:val="single" w:sz="8" w:color="auto"/>
            </w:tcBorders>
          </w:tcPr>
          <w:p>
            <w:pPr>
              <w:spacing w:after="0"/>
              <w:rPr>
                <w:sz w:val="12"/>
                <w:szCs w:val="12"/>
                <w:color w:val="auto"/>
              </w:rPr>
            </w:pPr>
          </w:p>
        </w:tc>
        <w:tc>
          <w:tcPr>
            <w:tcW w:w="220" w:type="dxa"/>
            <w:vAlign w:val="bottom"/>
            <w:tcBorders>
              <w:bottom w:val="single" w:sz="8" w:color="CFF0FC"/>
            </w:tcBorders>
          </w:tcPr>
          <w:p>
            <w:pPr>
              <w:spacing w:after="0"/>
              <w:rPr>
                <w:sz w:val="12"/>
                <w:szCs w:val="12"/>
                <w:color w:val="auto"/>
              </w:rPr>
            </w:pPr>
          </w:p>
        </w:tc>
        <w:tc>
          <w:tcPr>
            <w:tcW w:w="1000" w:type="dxa"/>
            <w:vAlign w:val="bottom"/>
            <w:tcBorders>
              <w:bottom w:val="single" w:sz="8" w:color="auto"/>
            </w:tcBorders>
          </w:tcPr>
          <w:p>
            <w:pPr>
              <w:jc w:val="right"/>
              <w:spacing w:after="0" w:line="140" w:lineRule="exact"/>
              <w:rPr>
                <w:sz w:val="20"/>
                <w:szCs w:val="20"/>
                <w:color w:val="auto"/>
              </w:rPr>
            </w:pPr>
            <w:r>
              <w:rPr>
                <w:rFonts w:ascii="Arial" w:cs="Arial" w:eastAsia="Arial" w:hAnsi="Arial"/>
                <w:sz w:val="13"/>
                <w:szCs w:val="13"/>
                <w:b w:val="1"/>
                <w:bCs w:val="1"/>
                <w:color w:val="auto"/>
              </w:rPr>
              <w:t>2020</w:t>
            </w:r>
          </w:p>
        </w:tc>
        <w:tc>
          <w:tcPr>
            <w:tcW w:w="500" w:type="dxa"/>
            <w:vAlign w:val="bottom"/>
            <w:tcBorders>
              <w:bottom w:val="single" w:sz="8" w:color="auto"/>
            </w:tcBorders>
          </w:tcPr>
          <w:p>
            <w:pPr>
              <w:spacing w:after="0"/>
              <w:rPr>
                <w:sz w:val="12"/>
                <w:szCs w:val="12"/>
                <w:color w:val="auto"/>
              </w:rPr>
            </w:pPr>
          </w:p>
        </w:tc>
        <w:tc>
          <w:tcPr>
            <w:tcW w:w="320" w:type="dxa"/>
            <w:vAlign w:val="bottom"/>
            <w:tcBorders>
              <w:bottom w:val="single" w:sz="8" w:color="CFF0FC"/>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160" w:type="dxa"/>
            <w:vAlign w:val="bottom"/>
            <w:tcBorders>
              <w:bottom w:val="single" w:sz="8" w:color="auto"/>
            </w:tcBorders>
          </w:tcPr>
          <w:p>
            <w:pPr>
              <w:jc w:val="right"/>
              <w:ind w:right="533"/>
              <w:spacing w:after="0" w:line="140" w:lineRule="exact"/>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FF0FC"/>
            </w:tcBorders>
          </w:tcPr>
          <w:p>
            <w:pPr>
              <w:spacing w:after="0"/>
              <w:rPr>
                <w:sz w:val="12"/>
                <w:szCs w:val="12"/>
                <w:color w:val="auto"/>
              </w:rPr>
            </w:pPr>
          </w:p>
        </w:tc>
        <w:tc>
          <w:tcPr>
            <w:tcW w:w="100" w:type="dxa"/>
            <w:vAlign w:val="bottom"/>
            <w:tcBorders>
              <w:bottom w:val="single" w:sz="8" w:color="CFF0FC"/>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160" w:type="dxa"/>
            <w:vAlign w:val="bottom"/>
            <w:tcBorders>
              <w:bottom w:val="single" w:sz="8" w:color="auto"/>
            </w:tcBorders>
          </w:tcPr>
          <w:p>
            <w:pPr>
              <w:jc w:val="right"/>
              <w:ind w:right="533"/>
              <w:spacing w:after="0" w:line="140" w:lineRule="exact"/>
              <w:rPr>
                <w:sz w:val="20"/>
                <w:szCs w:val="20"/>
                <w:color w:val="auto"/>
              </w:rPr>
            </w:pPr>
            <w:r>
              <w:rPr>
                <w:rFonts w:ascii="Arial" w:cs="Arial" w:eastAsia="Arial" w:hAnsi="Arial"/>
                <w:sz w:val="13"/>
                <w:szCs w:val="13"/>
                <w:b w:val="1"/>
                <w:bCs w:val="1"/>
                <w:color w:val="auto"/>
              </w:rPr>
              <w:t>2020</w:t>
            </w:r>
          </w:p>
        </w:tc>
        <w:tc>
          <w:tcPr>
            <w:tcW w:w="0" w:type="dxa"/>
            <w:vAlign w:val="bottom"/>
          </w:tcPr>
          <w:p>
            <w:pPr>
              <w:spacing w:after="0"/>
              <w:rPr>
                <w:sz w:val="1"/>
                <w:szCs w:val="1"/>
                <w:color w:val="auto"/>
              </w:rPr>
            </w:pPr>
          </w:p>
        </w:tc>
      </w:tr>
      <w:tr>
        <w:trPr>
          <w:trHeight w:val="140"/>
        </w:trPr>
        <w:tc>
          <w:tcPr>
            <w:tcW w:w="4520" w:type="dxa"/>
            <w:vAlign w:val="bottom"/>
            <w:shd w:val="clear" w:color="auto" w:fill="CFF0FC"/>
          </w:tcPr>
          <w:p>
            <w:pPr>
              <w:spacing w:after="0" w:line="140" w:lineRule="exact"/>
              <w:rPr>
                <w:sz w:val="20"/>
                <w:szCs w:val="20"/>
                <w:color w:val="auto"/>
              </w:rPr>
            </w:pPr>
            <w:r>
              <w:rPr>
                <w:rFonts w:ascii="Arial" w:cs="Arial" w:eastAsia="Arial" w:hAnsi="Arial"/>
                <w:sz w:val="13"/>
                <w:szCs w:val="13"/>
                <w:b w:val="1"/>
                <w:bCs w:val="1"/>
                <w:color w:val="auto"/>
              </w:rPr>
              <w:t>Net income (loss) attributable to common shareholders</w:t>
            </w:r>
          </w:p>
        </w:tc>
        <w:tc>
          <w:tcPr>
            <w:tcW w:w="960" w:type="dxa"/>
            <w:vAlign w:val="bottom"/>
            <w:shd w:val="clear" w:color="auto" w:fill="CFF0FC"/>
          </w:tcPr>
          <w:p>
            <w:pPr>
              <w:jc w:val="right"/>
              <w:ind w:right="813"/>
              <w:spacing w:after="0" w:line="140" w:lineRule="exact"/>
              <w:rPr>
                <w:sz w:val="20"/>
                <w:szCs w:val="20"/>
                <w:color w:val="auto"/>
              </w:rPr>
            </w:pPr>
            <w:r>
              <w:rPr>
                <w:rFonts w:ascii="Arial" w:cs="Arial" w:eastAsia="Arial" w:hAnsi="Arial"/>
                <w:sz w:val="13"/>
                <w:szCs w:val="13"/>
                <w:color w:val="auto"/>
                <w:w w:val="82"/>
              </w:rPr>
              <w:t>$</w:t>
            </w:r>
          </w:p>
        </w:tc>
        <w:tc>
          <w:tcPr>
            <w:tcW w:w="540" w:type="dxa"/>
            <w:vAlign w:val="bottom"/>
            <w:shd w:val="clear" w:color="auto" w:fill="CFF0FC"/>
          </w:tcPr>
          <w:p>
            <w:pPr>
              <w:jc w:val="right"/>
              <w:spacing w:after="0" w:line="140" w:lineRule="exact"/>
              <w:rPr>
                <w:sz w:val="20"/>
                <w:szCs w:val="20"/>
                <w:color w:val="auto"/>
              </w:rPr>
            </w:pPr>
            <w:r>
              <w:rPr>
                <w:rFonts w:ascii="Arial" w:cs="Arial" w:eastAsia="Arial" w:hAnsi="Arial"/>
                <w:sz w:val="13"/>
                <w:szCs w:val="13"/>
                <w:color w:val="auto"/>
              </w:rPr>
              <w:t>35,610</w:t>
            </w:r>
          </w:p>
        </w:tc>
        <w:tc>
          <w:tcPr>
            <w:tcW w:w="220" w:type="dxa"/>
            <w:vAlign w:val="bottom"/>
            <w:shd w:val="clear" w:color="auto" w:fill="CFF0FC"/>
          </w:tcPr>
          <w:p>
            <w:pPr>
              <w:spacing w:after="0"/>
              <w:rPr>
                <w:sz w:val="12"/>
                <w:szCs w:val="12"/>
                <w:color w:val="auto"/>
              </w:rPr>
            </w:pPr>
          </w:p>
        </w:tc>
        <w:tc>
          <w:tcPr>
            <w:tcW w:w="1000" w:type="dxa"/>
            <w:vAlign w:val="bottom"/>
            <w:shd w:val="clear" w:color="auto" w:fill="CFF0FC"/>
          </w:tcPr>
          <w:p>
            <w:pPr>
              <w:jc w:val="right"/>
              <w:ind w:right="853"/>
              <w:spacing w:after="0" w:line="140" w:lineRule="exact"/>
              <w:rPr>
                <w:sz w:val="20"/>
                <w:szCs w:val="20"/>
                <w:color w:val="auto"/>
              </w:rPr>
            </w:pPr>
            <w:r>
              <w:rPr>
                <w:rFonts w:ascii="Arial" w:cs="Arial" w:eastAsia="Arial" w:hAnsi="Arial"/>
                <w:sz w:val="13"/>
                <w:szCs w:val="13"/>
                <w:color w:val="auto"/>
                <w:w w:val="82"/>
              </w:rPr>
              <w:t>$</w:t>
            </w:r>
          </w:p>
        </w:tc>
        <w:tc>
          <w:tcPr>
            <w:tcW w:w="500" w:type="dxa"/>
            <w:vAlign w:val="bottom"/>
            <w:shd w:val="clear" w:color="auto" w:fill="CFF0FC"/>
          </w:tcPr>
          <w:p>
            <w:pPr>
              <w:jc w:val="right"/>
              <w:spacing w:after="0" w:line="140" w:lineRule="exact"/>
              <w:rPr>
                <w:sz w:val="20"/>
                <w:szCs w:val="20"/>
                <w:color w:val="auto"/>
              </w:rPr>
            </w:pPr>
            <w:r>
              <w:rPr>
                <w:rFonts w:ascii="Arial" w:cs="Arial" w:eastAsia="Arial" w:hAnsi="Arial"/>
                <w:sz w:val="13"/>
                <w:szCs w:val="13"/>
                <w:color w:val="auto"/>
                <w:w w:val="99"/>
              </w:rPr>
              <w:t>(47,197)</w:t>
            </w:r>
          </w:p>
        </w:tc>
        <w:tc>
          <w:tcPr>
            <w:tcW w:w="320" w:type="dxa"/>
            <w:vAlign w:val="bottom"/>
            <w:shd w:val="clear" w:color="auto" w:fill="CFF0FC"/>
          </w:tcPr>
          <w:p>
            <w:pPr>
              <w:spacing w:after="0"/>
              <w:rPr>
                <w:sz w:val="12"/>
                <w:szCs w:val="12"/>
                <w:color w:val="auto"/>
              </w:rPr>
            </w:pPr>
          </w:p>
        </w:tc>
        <w:tc>
          <w:tcPr>
            <w:tcW w:w="320" w:type="dxa"/>
            <w:vAlign w:val="bottom"/>
            <w:shd w:val="clear" w:color="auto" w:fill="CFF0FC"/>
          </w:tcPr>
          <w:p>
            <w:pPr>
              <w:jc w:val="right"/>
              <w:ind w:right="210"/>
              <w:spacing w:after="0"/>
              <w:rPr>
                <w:sz w:val="20"/>
                <w:szCs w:val="20"/>
                <w:color w:val="auto"/>
              </w:rPr>
            </w:pPr>
            <w:r>
              <w:rPr>
                <w:rFonts w:ascii="Arial" w:cs="Arial" w:eastAsia="Arial" w:hAnsi="Arial"/>
                <w:sz w:val="10"/>
                <w:szCs w:val="10"/>
                <w:color w:val="auto"/>
                <w:w w:val="71"/>
              </w:rPr>
              <w:t>$</w:t>
            </w:r>
          </w:p>
        </w:tc>
        <w:tc>
          <w:tcPr>
            <w:tcW w:w="1160" w:type="dxa"/>
            <w:vAlign w:val="bottom"/>
            <w:shd w:val="clear" w:color="auto" w:fill="CFF0FC"/>
          </w:tcPr>
          <w:p>
            <w:pPr>
              <w:jc w:val="right"/>
              <w:spacing w:after="0" w:line="140" w:lineRule="exact"/>
              <w:rPr>
                <w:sz w:val="20"/>
                <w:szCs w:val="20"/>
                <w:color w:val="auto"/>
              </w:rPr>
            </w:pPr>
            <w:r>
              <w:rPr>
                <w:rFonts w:ascii="Arial" w:cs="Arial" w:eastAsia="Arial" w:hAnsi="Arial"/>
                <w:sz w:val="13"/>
                <w:szCs w:val="13"/>
                <w:color w:val="auto"/>
              </w:rPr>
              <w:t>122,573</w:t>
            </w:r>
          </w:p>
        </w:tc>
        <w:tc>
          <w:tcPr>
            <w:tcW w:w="1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193"/>
              <w:spacing w:after="0" w:line="140" w:lineRule="exact"/>
              <w:rPr>
                <w:sz w:val="20"/>
                <w:szCs w:val="20"/>
                <w:color w:val="auto"/>
              </w:rPr>
            </w:pPr>
            <w:r>
              <w:rPr>
                <w:rFonts w:ascii="Arial" w:cs="Arial" w:eastAsia="Arial" w:hAnsi="Arial"/>
                <w:sz w:val="13"/>
                <w:szCs w:val="13"/>
                <w:color w:val="auto"/>
                <w:w w:val="82"/>
              </w:rPr>
              <w:t>$</w:t>
            </w:r>
          </w:p>
        </w:tc>
        <w:tc>
          <w:tcPr>
            <w:tcW w:w="1160" w:type="dxa"/>
            <w:vAlign w:val="bottom"/>
            <w:shd w:val="clear" w:color="auto" w:fill="CFF0FC"/>
          </w:tcPr>
          <w:p>
            <w:pPr>
              <w:jc w:val="right"/>
              <w:spacing w:after="0" w:line="140" w:lineRule="exact"/>
              <w:rPr>
                <w:sz w:val="20"/>
                <w:szCs w:val="20"/>
                <w:color w:val="auto"/>
              </w:rPr>
            </w:pPr>
            <w:r>
              <w:rPr>
                <w:rFonts w:ascii="Arial" w:cs="Arial" w:eastAsia="Arial" w:hAnsi="Arial"/>
                <w:sz w:val="13"/>
                <w:szCs w:val="13"/>
                <w:color w:val="auto"/>
              </w:rPr>
              <w:t>(707,388)</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Real estate depreciation and amortization</w:t>
            </w:r>
          </w:p>
        </w:tc>
        <w:tc>
          <w:tcPr>
            <w:tcW w:w="960" w:type="dxa"/>
            <w:vAlign w:val="bottom"/>
          </w:tcPr>
          <w:p>
            <w:pPr>
              <w:spacing w:after="0"/>
              <w:rPr>
                <w:sz w:val="12"/>
                <w:szCs w:val="12"/>
                <w:color w:val="auto"/>
              </w:rPr>
            </w:pP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52,297</w:t>
            </w:r>
          </w:p>
        </w:tc>
        <w:tc>
          <w:tcPr>
            <w:tcW w:w="1000" w:type="dxa"/>
            <w:vAlign w:val="bottom"/>
          </w:tcPr>
          <w:p>
            <w:pPr>
              <w:spacing w:after="0"/>
              <w:rPr>
                <w:sz w:val="12"/>
                <w:szCs w:val="12"/>
                <w:color w:val="auto"/>
              </w:rPr>
            </w:pP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61,336</w:t>
            </w: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211,472</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246,713</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Loss (gain) on sale of real estate assets, net of tax</w:t>
            </w:r>
          </w:p>
        </w:tc>
        <w:tc>
          <w:tcPr>
            <w:tcW w:w="960" w:type="dxa"/>
            <w:vAlign w:val="bottom"/>
            <w:shd w:val="clear" w:color="auto" w:fill="CFF0FC"/>
          </w:tcPr>
          <w:p>
            <w:pPr>
              <w:spacing w:after="0"/>
              <w:rPr>
                <w:sz w:val="12"/>
                <w:szCs w:val="12"/>
                <w:color w:val="auto"/>
              </w:rPr>
            </w:pPr>
          </w:p>
        </w:tc>
        <w:tc>
          <w:tcPr>
            <w:tcW w:w="5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220" w:type="dxa"/>
            <w:vAlign w:val="bottom"/>
            <w:shd w:val="clear" w:color="auto" w:fill="CFF0FC"/>
          </w:tcPr>
          <w:p>
            <w:pPr>
              <w:spacing w:after="0"/>
              <w:rPr>
                <w:sz w:val="12"/>
                <w:szCs w:val="12"/>
                <w:color w:val="auto"/>
              </w:rPr>
            </w:pPr>
          </w:p>
        </w:tc>
        <w:tc>
          <w:tcPr>
            <w:tcW w:w="100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320"/>
              <w:spacing w:after="0" w:line="147" w:lineRule="exact"/>
              <w:rPr>
                <w:sz w:val="20"/>
                <w:szCs w:val="20"/>
                <w:color w:val="auto"/>
              </w:rPr>
            </w:pPr>
            <w:r>
              <w:rPr>
                <w:rFonts w:ascii="Arial" w:cs="Arial" w:eastAsia="Arial" w:hAnsi="Arial"/>
                <w:sz w:val="13"/>
                <w:szCs w:val="13"/>
                <w:color w:val="auto"/>
              </w:rPr>
              <w:t>459</w:t>
            </w:r>
          </w:p>
        </w:tc>
        <w:tc>
          <w:tcPr>
            <w:tcW w:w="32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(442)</w:t>
            </w:r>
          </w:p>
        </w:tc>
        <w:tc>
          <w:tcPr>
            <w:tcW w:w="1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(85,860)</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Participating securities share in earnings</w:t>
            </w:r>
          </w:p>
        </w:tc>
        <w:tc>
          <w:tcPr>
            <w:tcW w:w="960" w:type="dxa"/>
            <w:vAlign w:val="bottom"/>
          </w:tcPr>
          <w:p>
            <w:pPr>
              <w:spacing w:after="0"/>
              <w:rPr>
                <w:sz w:val="12"/>
                <w:szCs w:val="12"/>
                <w:color w:val="auto"/>
              </w:rPr>
            </w:pP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213</w:t>
            </w:r>
          </w:p>
        </w:tc>
        <w:tc>
          <w:tcPr>
            <w:tcW w:w="1000" w:type="dxa"/>
            <w:vAlign w:val="bottom"/>
          </w:tcPr>
          <w:p>
            <w:pPr>
              <w:spacing w:after="0"/>
              <w:rPr>
                <w:sz w:val="12"/>
                <w:szCs w:val="12"/>
                <w:color w:val="auto"/>
              </w:rPr>
            </w:pP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225</w:t>
            </w: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1,077</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1,078</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Participating securities share in FFO</w:t>
            </w:r>
          </w:p>
        </w:tc>
        <w:tc>
          <w:tcPr>
            <w:tcW w:w="960" w:type="dxa"/>
            <w:vAlign w:val="bottom"/>
            <w:shd w:val="clear" w:color="auto" w:fill="CFF0FC"/>
          </w:tcPr>
          <w:p>
            <w:pPr>
              <w:spacing w:after="0"/>
              <w:rPr>
                <w:sz w:val="12"/>
                <w:szCs w:val="12"/>
                <w:color w:val="auto"/>
              </w:rPr>
            </w:pPr>
          </w:p>
        </w:tc>
        <w:tc>
          <w:tcPr>
            <w:tcW w:w="5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(528)</w:t>
            </w:r>
          </w:p>
        </w:tc>
        <w:tc>
          <w:tcPr>
            <w:tcW w:w="220" w:type="dxa"/>
            <w:vAlign w:val="bottom"/>
            <w:shd w:val="clear" w:color="auto" w:fill="CFF0FC"/>
          </w:tcPr>
          <w:p>
            <w:pPr>
              <w:spacing w:after="0"/>
              <w:rPr>
                <w:sz w:val="12"/>
                <w:szCs w:val="12"/>
                <w:color w:val="auto"/>
              </w:rPr>
            </w:pPr>
          </w:p>
        </w:tc>
        <w:tc>
          <w:tcPr>
            <w:tcW w:w="1000" w:type="dxa"/>
            <w:vAlign w:val="bottom"/>
            <w:shd w:val="clear" w:color="auto" w:fill="CFF0FC"/>
          </w:tcPr>
          <w:p>
            <w:pPr>
              <w:spacing w:after="0"/>
              <w:rPr>
                <w:sz w:val="12"/>
                <w:szCs w:val="12"/>
                <w:color w:val="auto"/>
              </w:rPr>
            </w:pPr>
          </w:p>
        </w:tc>
        <w:tc>
          <w:tcPr>
            <w:tcW w:w="50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(225)</w:t>
            </w:r>
          </w:p>
        </w:tc>
        <w:tc>
          <w:tcPr>
            <w:tcW w:w="320" w:type="dxa"/>
            <w:vAlign w:val="bottom"/>
            <w:shd w:val="clear" w:color="auto" w:fill="CFF0FC"/>
          </w:tcPr>
          <w:p>
            <w:pPr>
              <w:spacing w:after="0"/>
              <w:rPr>
                <w:sz w:val="12"/>
                <w:szCs w:val="12"/>
                <w:color w:val="auto"/>
              </w:rPr>
            </w:pP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(2,188)</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(1,162)</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Real estate depreciation and amortization from unconsolidated entities</w:t>
            </w:r>
          </w:p>
        </w:tc>
        <w:tc>
          <w:tcPr>
            <w:tcW w:w="960" w:type="dxa"/>
            <w:vAlign w:val="bottom"/>
          </w:tcPr>
          <w:p>
            <w:pPr>
              <w:spacing w:after="0"/>
              <w:rPr>
                <w:sz w:val="12"/>
                <w:szCs w:val="12"/>
                <w:color w:val="auto"/>
              </w:rPr>
            </w:pP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589</w:t>
            </w:r>
          </w:p>
        </w:tc>
        <w:tc>
          <w:tcPr>
            <w:tcW w:w="1000" w:type="dxa"/>
            <w:vAlign w:val="bottom"/>
          </w:tcPr>
          <w:p>
            <w:pPr>
              <w:spacing w:after="0"/>
              <w:rPr>
                <w:sz w:val="12"/>
                <w:szCs w:val="12"/>
                <w:color w:val="auto"/>
              </w:rPr>
            </w:pP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682</w:t>
            </w: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2,465</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1,048</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Adjustments for noncontrolling interests</w:t>
            </w:r>
          </w:p>
        </w:tc>
        <w:tc>
          <w:tcPr>
            <w:tcW w:w="960" w:type="dxa"/>
            <w:vAlign w:val="bottom"/>
            <w:shd w:val="clear" w:color="auto" w:fill="CFF0FC"/>
          </w:tcPr>
          <w:p>
            <w:pPr>
              <w:spacing w:after="0"/>
              <w:rPr>
                <w:sz w:val="12"/>
                <w:szCs w:val="12"/>
                <w:color w:val="auto"/>
              </w:rPr>
            </w:pPr>
          </w:p>
        </w:tc>
        <w:tc>
          <w:tcPr>
            <w:tcW w:w="5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(175)</w:t>
            </w:r>
          </w:p>
        </w:tc>
        <w:tc>
          <w:tcPr>
            <w:tcW w:w="220" w:type="dxa"/>
            <w:vAlign w:val="bottom"/>
            <w:shd w:val="clear" w:color="auto" w:fill="CFF0FC"/>
          </w:tcPr>
          <w:p>
            <w:pPr>
              <w:spacing w:after="0"/>
              <w:rPr>
                <w:sz w:val="12"/>
                <w:szCs w:val="12"/>
                <w:color w:val="auto"/>
              </w:rPr>
            </w:pPr>
          </w:p>
        </w:tc>
        <w:tc>
          <w:tcPr>
            <w:tcW w:w="1000" w:type="dxa"/>
            <w:vAlign w:val="bottom"/>
            <w:shd w:val="clear" w:color="auto" w:fill="CFF0FC"/>
          </w:tcPr>
          <w:p>
            <w:pPr>
              <w:spacing w:after="0"/>
              <w:rPr>
                <w:sz w:val="12"/>
                <w:szCs w:val="12"/>
                <w:color w:val="auto"/>
              </w:rPr>
            </w:pPr>
          </w:p>
        </w:tc>
        <w:tc>
          <w:tcPr>
            <w:tcW w:w="50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(922)</w:t>
            </w:r>
          </w:p>
        </w:tc>
        <w:tc>
          <w:tcPr>
            <w:tcW w:w="320" w:type="dxa"/>
            <w:vAlign w:val="bottom"/>
            <w:shd w:val="clear" w:color="auto" w:fill="CFF0FC"/>
          </w:tcPr>
          <w:p>
            <w:pPr>
              <w:spacing w:after="0"/>
              <w:rPr>
                <w:sz w:val="12"/>
                <w:szCs w:val="12"/>
                <w:color w:val="auto"/>
              </w:rPr>
            </w:pP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(2,154)</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(2,622)</w:t>
            </w:r>
          </w:p>
        </w:tc>
        <w:tc>
          <w:tcPr>
            <w:tcW w:w="0" w:type="dxa"/>
            <w:vAlign w:val="bottom"/>
          </w:tcPr>
          <w:p>
            <w:pPr>
              <w:spacing w:after="0"/>
              <w:rPr>
                <w:sz w:val="1"/>
                <w:szCs w:val="1"/>
                <w:color w:val="auto"/>
              </w:rPr>
            </w:pPr>
          </w:p>
        </w:tc>
      </w:tr>
      <w:tr>
        <w:trPr>
          <w:trHeight w:val="140"/>
        </w:trPr>
        <w:tc>
          <w:tcPr>
            <w:tcW w:w="4520" w:type="dxa"/>
            <w:vAlign w:val="bottom"/>
          </w:tcPr>
          <w:p>
            <w:pPr>
              <w:spacing w:after="0" w:line="140" w:lineRule="exact"/>
              <w:rPr>
                <w:sz w:val="20"/>
                <w:szCs w:val="20"/>
                <w:color w:val="auto"/>
              </w:rPr>
            </w:pPr>
            <w:r>
              <w:rPr>
                <w:rFonts w:ascii="Arial" w:cs="Arial" w:eastAsia="Arial" w:hAnsi="Arial"/>
                <w:sz w:val="13"/>
                <w:szCs w:val="13"/>
                <w:b w:val="1"/>
                <w:bCs w:val="1"/>
                <w:color w:val="auto"/>
              </w:rPr>
              <w:t>FFO attributable to common shareholders</w:t>
            </w:r>
          </w:p>
        </w:tc>
        <w:tc>
          <w:tcPr>
            <w:tcW w:w="96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jc w:val="right"/>
              <w:spacing w:after="0" w:line="140" w:lineRule="exact"/>
              <w:rPr>
                <w:sz w:val="20"/>
                <w:szCs w:val="20"/>
                <w:color w:val="auto"/>
              </w:rPr>
            </w:pPr>
            <w:r>
              <w:rPr>
                <w:rFonts w:ascii="Arial" w:cs="Arial" w:eastAsia="Arial" w:hAnsi="Arial"/>
                <w:sz w:val="13"/>
                <w:szCs w:val="13"/>
                <w:color w:val="auto"/>
              </w:rPr>
              <w:t>88,006</w:t>
            </w:r>
          </w:p>
        </w:tc>
        <w:tc>
          <w:tcPr>
            <w:tcW w:w="220" w:type="dxa"/>
            <w:vAlign w:val="bottom"/>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0" w:lineRule="exact"/>
              <w:rPr>
                <w:sz w:val="20"/>
                <w:szCs w:val="20"/>
                <w:color w:val="auto"/>
              </w:rPr>
            </w:pPr>
            <w:r>
              <w:rPr>
                <w:rFonts w:ascii="Arial" w:cs="Arial" w:eastAsia="Arial" w:hAnsi="Arial"/>
                <w:sz w:val="13"/>
                <w:szCs w:val="13"/>
                <w:color w:val="auto"/>
              </w:rPr>
              <w:t>14,358</w:t>
            </w:r>
          </w:p>
        </w:tc>
        <w:tc>
          <w:tcPr>
            <w:tcW w:w="320" w:type="dxa"/>
            <w:vAlign w:val="bottom"/>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tcPr>
          <w:p>
            <w:pPr>
              <w:jc w:val="right"/>
              <w:spacing w:after="0" w:line="140" w:lineRule="exact"/>
              <w:rPr>
                <w:sz w:val="20"/>
                <w:szCs w:val="20"/>
                <w:color w:val="auto"/>
              </w:rPr>
            </w:pPr>
            <w:r>
              <w:rPr>
                <w:rFonts w:ascii="Arial" w:cs="Arial" w:eastAsia="Arial" w:hAnsi="Arial"/>
                <w:sz w:val="13"/>
                <w:szCs w:val="13"/>
                <w:color w:val="auto"/>
              </w:rPr>
              <w:t>332,803</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tcPr>
          <w:p>
            <w:pPr>
              <w:jc w:val="right"/>
              <w:spacing w:after="0" w:line="140" w:lineRule="exact"/>
              <w:rPr>
                <w:sz w:val="20"/>
                <w:szCs w:val="20"/>
                <w:color w:val="auto"/>
              </w:rPr>
            </w:pPr>
            <w:r>
              <w:rPr>
                <w:rFonts w:ascii="Arial" w:cs="Arial" w:eastAsia="Arial" w:hAnsi="Arial"/>
                <w:sz w:val="13"/>
                <w:szCs w:val="13"/>
                <w:color w:val="auto"/>
              </w:rPr>
              <w:t>(548,193)</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Transaction related and other costs</w:t>
            </w:r>
          </w:p>
        </w:tc>
        <w:tc>
          <w:tcPr>
            <w:tcW w:w="9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220"/>
              <w:spacing w:after="0" w:line="147" w:lineRule="exact"/>
              <w:rPr>
                <w:sz w:val="20"/>
                <w:szCs w:val="20"/>
                <w:color w:val="auto"/>
              </w:rPr>
            </w:pPr>
            <w:r>
              <w:rPr>
                <w:rFonts w:ascii="Arial" w:cs="Arial" w:eastAsia="Arial" w:hAnsi="Arial"/>
                <w:sz w:val="13"/>
                <w:szCs w:val="13"/>
                <w:color w:val="auto"/>
              </w:rPr>
              <w:t>1,920</w:t>
            </w:r>
          </w:p>
        </w:tc>
        <w:tc>
          <w:tcPr>
            <w:tcW w:w="100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320"/>
              <w:spacing w:after="0" w:line="147" w:lineRule="exact"/>
              <w:rPr>
                <w:sz w:val="20"/>
                <w:szCs w:val="20"/>
                <w:color w:val="auto"/>
              </w:rPr>
            </w:pPr>
            <w:r>
              <w:rPr>
                <w:rFonts w:ascii="Arial" w:cs="Arial" w:eastAsia="Arial" w:hAnsi="Arial"/>
                <w:sz w:val="13"/>
                <w:szCs w:val="13"/>
                <w:color w:val="auto"/>
              </w:rPr>
              <w:t>8,531</w:t>
            </w: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7,544</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63,875</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Change in fair value of contingent consideration</w:t>
            </w:r>
          </w:p>
        </w:tc>
        <w:tc>
          <w:tcPr>
            <w:tcW w:w="960" w:type="dxa"/>
            <w:vAlign w:val="bottom"/>
          </w:tcPr>
          <w:p>
            <w:pPr>
              <w:spacing w:after="0"/>
              <w:rPr>
                <w:sz w:val="12"/>
                <w:szCs w:val="12"/>
                <w:color w:val="auto"/>
              </w:rPr>
            </w:pPr>
          </w:p>
        </w:tc>
        <w:tc>
          <w:tcPr>
            <w:tcW w:w="540" w:type="dxa"/>
            <w:vAlign w:val="bottom"/>
          </w:tcPr>
          <w:p>
            <w:pPr>
              <w:jc w:val="right"/>
              <w:spacing w:after="0" w:line="147" w:lineRule="exact"/>
              <w:rPr>
                <w:sz w:val="20"/>
                <w:szCs w:val="20"/>
                <w:color w:val="auto"/>
              </w:rPr>
            </w:pPr>
            <w:r>
              <w:rPr>
                <w:rFonts w:ascii="Arial" w:cs="Arial" w:eastAsia="Arial" w:hAnsi="Arial"/>
                <w:sz w:val="13"/>
                <w:szCs w:val="13"/>
                <w:color w:val="auto"/>
              </w:rPr>
              <w:t>-</w:t>
            </w:r>
          </w:p>
        </w:tc>
        <w:tc>
          <w:tcPr>
            <w:tcW w:w="2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500" w:type="dxa"/>
            <w:vAlign w:val="bottom"/>
          </w:tcPr>
          <w:p>
            <w:pPr>
              <w:jc w:val="right"/>
              <w:spacing w:after="0" w:line="147" w:lineRule="exact"/>
              <w:rPr>
                <w:sz w:val="20"/>
                <w:szCs w:val="20"/>
                <w:color w:val="auto"/>
              </w:rPr>
            </w:pPr>
            <w:r>
              <w:rPr>
                <w:rFonts w:ascii="Arial" w:cs="Arial" w:eastAsia="Arial" w:hAnsi="Arial"/>
                <w:sz w:val="13"/>
                <w:szCs w:val="13"/>
                <w:color w:val="auto"/>
              </w:rPr>
              <w:t>(923)</w:t>
            </w:r>
          </w:p>
        </w:tc>
        <w:tc>
          <w:tcPr>
            <w:tcW w:w="3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21</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7,163</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Amortization of deferred financing costs and debt discount</w:t>
            </w:r>
          </w:p>
        </w:tc>
        <w:tc>
          <w:tcPr>
            <w:tcW w:w="9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220"/>
              <w:spacing w:after="0" w:line="147" w:lineRule="exact"/>
              <w:rPr>
                <w:sz w:val="20"/>
                <w:szCs w:val="20"/>
                <w:color w:val="auto"/>
              </w:rPr>
            </w:pPr>
            <w:r>
              <w:rPr>
                <w:rFonts w:ascii="Arial" w:cs="Arial" w:eastAsia="Arial" w:hAnsi="Arial"/>
                <w:sz w:val="13"/>
                <w:szCs w:val="13"/>
                <w:color w:val="auto"/>
              </w:rPr>
              <w:t>4,399</w:t>
            </w:r>
          </w:p>
        </w:tc>
        <w:tc>
          <w:tcPr>
            <w:tcW w:w="100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320"/>
              <w:spacing w:after="0" w:line="147" w:lineRule="exact"/>
              <w:rPr>
                <w:sz w:val="20"/>
                <w:szCs w:val="20"/>
                <w:color w:val="auto"/>
              </w:rPr>
            </w:pPr>
            <w:r>
              <w:rPr>
                <w:rFonts w:ascii="Arial" w:cs="Arial" w:eastAsia="Arial" w:hAnsi="Arial"/>
                <w:sz w:val="13"/>
                <w:szCs w:val="13"/>
                <w:color w:val="auto"/>
              </w:rPr>
              <w:t>9,252</w:t>
            </w: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18,122</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36,955</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Costs related to the early repayment of debt</w:t>
            </w:r>
          </w:p>
        </w:tc>
        <w:tc>
          <w:tcPr>
            <w:tcW w:w="960" w:type="dxa"/>
            <w:vAlign w:val="bottom"/>
          </w:tcPr>
          <w:p>
            <w:pPr>
              <w:spacing w:after="0"/>
              <w:rPr>
                <w:sz w:val="12"/>
                <w:szCs w:val="12"/>
                <w:color w:val="auto"/>
              </w:rPr>
            </w:pP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20,929</w:t>
            </w:r>
          </w:p>
        </w:tc>
        <w:tc>
          <w:tcPr>
            <w:tcW w:w="1000" w:type="dxa"/>
            <w:vAlign w:val="bottom"/>
          </w:tcPr>
          <w:p>
            <w:pPr>
              <w:spacing w:after="0"/>
              <w:rPr>
                <w:sz w:val="12"/>
                <w:szCs w:val="12"/>
                <w:color w:val="auto"/>
              </w:rPr>
            </w:pPr>
          </w:p>
        </w:tc>
        <w:tc>
          <w:tcPr>
            <w:tcW w:w="500" w:type="dxa"/>
            <w:vAlign w:val="bottom"/>
          </w:tcPr>
          <w:p>
            <w:pPr>
              <w:jc w:val="right"/>
              <w:spacing w:after="0" w:line="147" w:lineRule="exact"/>
              <w:rPr>
                <w:sz w:val="20"/>
                <w:szCs w:val="20"/>
                <w:color w:val="auto"/>
              </w:rPr>
            </w:pPr>
            <w:r>
              <w:rPr>
                <w:rFonts w:ascii="Arial" w:cs="Arial" w:eastAsia="Arial" w:hAnsi="Arial"/>
                <w:sz w:val="13"/>
                <w:szCs w:val="13"/>
                <w:color w:val="auto"/>
              </w:rPr>
              <w:t>-</w:t>
            </w:r>
          </w:p>
        </w:tc>
        <w:tc>
          <w:tcPr>
            <w:tcW w:w="3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49,414</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Write off of deferred financing costs and debt discount</w:t>
            </w:r>
          </w:p>
        </w:tc>
        <w:tc>
          <w:tcPr>
            <w:tcW w:w="9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220"/>
              <w:spacing w:after="0" w:line="147" w:lineRule="exact"/>
              <w:rPr>
                <w:sz w:val="20"/>
                <w:szCs w:val="20"/>
                <w:color w:val="auto"/>
              </w:rPr>
            </w:pPr>
            <w:r>
              <w:rPr>
                <w:rFonts w:ascii="Arial" w:cs="Arial" w:eastAsia="Arial" w:hAnsi="Arial"/>
                <w:sz w:val="13"/>
                <w:szCs w:val="13"/>
                <w:color w:val="auto"/>
              </w:rPr>
              <w:t>1,759</w:t>
            </w:r>
          </w:p>
        </w:tc>
        <w:tc>
          <w:tcPr>
            <w:tcW w:w="1000" w:type="dxa"/>
            <w:vAlign w:val="bottom"/>
            <w:shd w:val="clear" w:color="auto" w:fill="CFF0FC"/>
          </w:tcPr>
          <w:p>
            <w:pPr>
              <w:spacing w:after="0"/>
              <w:rPr>
                <w:sz w:val="12"/>
                <w:szCs w:val="12"/>
                <w:color w:val="auto"/>
              </w:rPr>
            </w:pPr>
          </w:p>
        </w:tc>
        <w:tc>
          <w:tcPr>
            <w:tcW w:w="50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320" w:type="dxa"/>
            <w:vAlign w:val="bottom"/>
            <w:shd w:val="clear" w:color="auto" w:fill="CFF0FC"/>
          </w:tcPr>
          <w:p>
            <w:pPr>
              <w:spacing w:after="0"/>
              <w:rPr>
                <w:sz w:val="12"/>
                <w:szCs w:val="12"/>
                <w:color w:val="auto"/>
              </w:rPr>
            </w:pP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24,587</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73,952</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Stock based compensation</w:t>
            </w:r>
          </w:p>
        </w:tc>
        <w:tc>
          <w:tcPr>
            <w:tcW w:w="960" w:type="dxa"/>
            <w:vAlign w:val="bottom"/>
          </w:tcPr>
          <w:p>
            <w:pPr>
              <w:spacing w:after="0"/>
              <w:rPr>
                <w:sz w:val="12"/>
                <w:szCs w:val="12"/>
                <w:color w:val="auto"/>
              </w:rPr>
            </w:pP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2,884</w:t>
            </w:r>
          </w:p>
        </w:tc>
        <w:tc>
          <w:tcPr>
            <w:tcW w:w="1000" w:type="dxa"/>
            <w:vAlign w:val="bottom"/>
          </w:tcPr>
          <w:p>
            <w:pPr>
              <w:spacing w:after="0"/>
              <w:rPr>
                <w:sz w:val="12"/>
                <w:szCs w:val="12"/>
                <w:color w:val="auto"/>
              </w:rPr>
            </w:pP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3,275</w:t>
            </w: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13,847</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13,721</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Gain on sale of operations</w:t>
            </w:r>
          </w:p>
        </w:tc>
        <w:tc>
          <w:tcPr>
            <w:tcW w:w="960" w:type="dxa"/>
            <w:vAlign w:val="bottom"/>
            <w:shd w:val="clear" w:color="auto" w:fill="CFF0FC"/>
          </w:tcPr>
          <w:p>
            <w:pPr>
              <w:spacing w:after="0"/>
              <w:rPr>
                <w:sz w:val="12"/>
                <w:szCs w:val="12"/>
                <w:color w:val="auto"/>
              </w:rPr>
            </w:pPr>
          </w:p>
        </w:tc>
        <w:tc>
          <w:tcPr>
            <w:tcW w:w="5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220" w:type="dxa"/>
            <w:vAlign w:val="bottom"/>
            <w:shd w:val="clear" w:color="auto" w:fill="CFF0FC"/>
          </w:tcPr>
          <w:p>
            <w:pPr>
              <w:spacing w:after="0"/>
              <w:rPr>
                <w:sz w:val="12"/>
                <w:szCs w:val="12"/>
                <w:color w:val="auto"/>
              </w:rPr>
            </w:pPr>
          </w:p>
        </w:tc>
        <w:tc>
          <w:tcPr>
            <w:tcW w:w="1000" w:type="dxa"/>
            <w:vAlign w:val="bottom"/>
            <w:shd w:val="clear" w:color="auto" w:fill="CFF0FC"/>
          </w:tcPr>
          <w:p>
            <w:pPr>
              <w:spacing w:after="0"/>
              <w:rPr>
                <w:sz w:val="12"/>
                <w:szCs w:val="12"/>
                <w:color w:val="auto"/>
              </w:rPr>
            </w:pPr>
          </w:p>
        </w:tc>
        <w:tc>
          <w:tcPr>
            <w:tcW w:w="50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320" w:type="dxa"/>
            <w:vAlign w:val="bottom"/>
            <w:shd w:val="clear" w:color="auto" w:fill="CFF0FC"/>
          </w:tcPr>
          <w:p>
            <w:pPr>
              <w:spacing w:after="0"/>
              <w:rPr>
                <w:sz w:val="12"/>
                <w:szCs w:val="12"/>
                <w:color w:val="auto"/>
              </w:rPr>
            </w:pP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(28,143)</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Non-real estate depreciation and amortization</w:t>
            </w:r>
          </w:p>
        </w:tc>
        <w:tc>
          <w:tcPr>
            <w:tcW w:w="960" w:type="dxa"/>
            <w:vAlign w:val="bottom"/>
          </w:tcPr>
          <w:p>
            <w:pPr>
              <w:spacing w:after="0"/>
              <w:rPr>
                <w:sz w:val="12"/>
                <w:szCs w:val="12"/>
                <w:color w:val="auto"/>
              </w:rPr>
            </w:pP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27,480</w:t>
            </w:r>
          </w:p>
        </w:tc>
        <w:tc>
          <w:tcPr>
            <w:tcW w:w="1000" w:type="dxa"/>
            <w:vAlign w:val="bottom"/>
          </w:tcPr>
          <w:p>
            <w:pPr>
              <w:spacing w:after="0"/>
              <w:rPr>
                <w:sz w:val="12"/>
                <w:szCs w:val="12"/>
                <w:color w:val="auto"/>
              </w:rPr>
            </w:pP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17,097</w:t>
            </w: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79,470</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82,690</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Settlement expense</w:t>
            </w:r>
          </w:p>
        </w:tc>
        <w:tc>
          <w:tcPr>
            <w:tcW w:w="960" w:type="dxa"/>
            <w:vAlign w:val="bottom"/>
            <w:shd w:val="clear" w:color="auto" w:fill="CFF0FC"/>
          </w:tcPr>
          <w:p>
            <w:pPr>
              <w:spacing w:after="0"/>
              <w:rPr>
                <w:sz w:val="12"/>
                <w:szCs w:val="12"/>
                <w:color w:val="auto"/>
              </w:rPr>
            </w:pPr>
          </w:p>
        </w:tc>
        <w:tc>
          <w:tcPr>
            <w:tcW w:w="5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220" w:type="dxa"/>
            <w:vAlign w:val="bottom"/>
            <w:shd w:val="clear" w:color="auto" w:fill="CFF0FC"/>
          </w:tcPr>
          <w:p>
            <w:pPr>
              <w:spacing w:after="0"/>
              <w:rPr>
                <w:sz w:val="12"/>
                <w:szCs w:val="12"/>
                <w:color w:val="auto"/>
              </w:rPr>
            </w:pPr>
          </w:p>
        </w:tc>
        <w:tc>
          <w:tcPr>
            <w:tcW w:w="1000" w:type="dxa"/>
            <w:vAlign w:val="bottom"/>
            <w:shd w:val="clear" w:color="auto" w:fill="CFF0FC"/>
          </w:tcPr>
          <w:p>
            <w:pPr>
              <w:spacing w:after="0"/>
              <w:rPr>
                <w:sz w:val="12"/>
                <w:szCs w:val="12"/>
                <w:color w:val="auto"/>
              </w:rPr>
            </w:pPr>
          </w:p>
        </w:tc>
        <w:tc>
          <w:tcPr>
            <w:tcW w:w="50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320" w:type="dxa"/>
            <w:vAlign w:val="bottom"/>
            <w:shd w:val="clear" w:color="auto" w:fill="CFF0FC"/>
          </w:tcPr>
          <w:p>
            <w:pPr>
              <w:spacing w:after="0"/>
              <w:rPr>
                <w:sz w:val="12"/>
                <w:szCs w:val="12"/>
                <w:color w:val="auto"/>
              </w:rPr>
            </w:pPr>
          </w:p>
        </w:tc>
        <w:tc>
          <w:tcPr>
            <w:tcW w:w="32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650,000</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Goodwill impairment</w:t>
            </w:r>
          </w:p>
        </w:tc>
        <w:tc>
          <w:tcPr>
            <w:tcW w:w="960" w:type="dxa"/>
            <w:vAlign w:val="bottom"/>
          </w:tcPr>
          <w:p>
            <w:pPr>
              <w:spacing w:after="0"/>
              <w:rPr>
                <w:sz w:val="12"/>
                <w:szCs w:val="12"/>
                <w:color w:val="auto"/>
              </w:rPr>
            </w:pPr>
          </w:p>
        </w:tc>
        <w:tc>
          <w:tcPr>
            <w:tcW w:w="540" w:type="dxa"/>
            <w:vAlign w:val="bottom"/>
          </w:tcPr>
          <w:p>
            <w:pPr>
              <w:jc w:val="right"/>
              <w:spacing w:after="0" w:line="147" w:lineRule="exact"/>
              <w:rPr>
                <w:sz w:val="20"/>
                <w:szCs w:val="20"/>
                <w:color w:val="auto"/>
              </w:rPr>
            </w:pPr>
            <w:r>
              <w:rPr>
                <w:rFonts w:ascii="Arial" w:cs="Arial" w:eastAsia="Arial" w:hAnsi="Arial"/>
                <w:sz w:val="13"/>
                <w:szCs w:val="13"/>
                <w:color w:val="auto"/>
              </w:rPr>
              <w:t>-</w:t>
            </w:r>
          </w:p>
        </w:tc>
        <w:tc>
          <w:tcPr>
            <w:tcW w:w="2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71,000</w:t>
            </w:r>
          </w:p>
        </w:tc>
        <w:tc>
          <w:tcPr>
            <w:tcW w:w="32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71,000</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Straight-line revenues</w:t>
            </w:r>
          </w:p>
        </w:tc>
        <w:tc>
          <w:tcPr>
            <w:tcW w:w="9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220"/>
              <w:spacing w:after="0" w:line="147" w:lineRule="exact"/>
              <w:rPr>
                <w:sz w:val="20"/>
                <w:szCs w:val="20"/>
                <w:color w:val="auto"/>
              </w:rPr>
            </w:pPr>
            <w:r>
              <w:rPr>
                <w:rFonts w:ascii="Arial" w:cs="Arial" w:eastAsia="Arial" w:hAnsi="Arial"/>
                <w:sz w:val="13"/>
                <w:szCs w:val="13"/>
                <w:color w:val="auto"/>
              </w:rPr>
              <w:t>(18,784)</w:t>
            </w:r>
          </w:p>
        </w:tc>
        <w:tc>
          <w:tcPr>
            <w:tcW w:w="100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320"/>
              <w:spacing w:after="0" w:line="147" w:lineRule="exact"/>
              <w:rPr>
                <w:sz w:val="20"/>
                <w:szCs w:val="20"/>
                <w:color w:val="auto"/>
              </w:rPr>
            </w:pPr>
            <w:r>
              <w:rPr>
                <w:rFonts w:ascii="Arial" w:cs="Arial" w:eastAsia="Arial" w:hAnsi="Arial"/>
                <w:sz w:val="13"/>
                <w:szCs w:val="13"/>
                <w:color w:val="auto"/>
              </w:rPr>
              <w:t>(5,836)</w:t>
            </w: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(41,239)</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(6,872)</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Maintenance capital expenditures</w:t>
            </w:r>
          </w:p>
        </w:tc>
        <w:tc>
          <w:tcPr>
            <w:tcW w:w="960" w:type="dxa"/>
            <w:vAlign w:val="bottom"/>
          </w:tcPr>
          <w:p>
            <w:pPr>
              <w:spacing w:after="0"/>
              <w:rPr>
                <w:sz w:val="12"/>
                <w:szCs w:val="12"/>
                <w:color w:val="auto"/>
              </w:rPr>
            </w:pP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(2,020)</w:t>
            </w:r>
          </w:p>
        </w:tc>
        <w:tc>
          <w:tcPr>
            <w:tcW w:w="1000" w:type="dxa"/>
            <w:vAlign w:val="bottom"/>
          </w:tcPr>
          <w:p>
            <w:pPr>
              <w:spacing w:after="0"/>
              <w:rPr>
                <w:sz w:val="12"/>
                <w:szCs w:val="12"/>
                <w:color w:val="auto"/>
              </w:rPr>
            </w:pP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(2,171)</w:t>
            </w: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(8,342)</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(7,149)</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Other, net</w:t>
            </w:r>
          </w:p>
        </w:tc>
        <w:tc>
          <w:tcPr>
            <w:tcW w:w="9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220"/>
              <w:spacing w:after="0" w:line="147" w:lineRule="exact"/>
              <w:rPr>
                <w:sz w:val="20"/>
                <w:szCs w:val="20"/>
                <w:color w:val="auto"/>
              </w:rPr>
            </w:pPr>
            <w:r>
              <w:rPr>
                <w:rFonts w:ascii="Arial" w:cs="Arial" w:eastAsia="Arial" w:hAnsi="Arial"/>
                <w:sz w:val="13"/>
                <w:szCs w:val="13"/>
                <w:color w:val="auto"/>
              </w:rPr>
              <w:t>(12,736)</w:t>
            </w:r>
          </w:p>
        </w:tc>
        <w:tc>
          <w:tcPr>
            <w:tcW w:w="100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320"/>
              <w:spacing w:after="0" w:line="147" w:lineRule="exact"/>
              <w:rPr>
                <w:sz w:val="20"/>
                <w:szCs w:val="20"/>
                <w:color w:val="auto"/>
              </w:rPr>
            </w:pPr>
            <w:r>
              <w:rPr>
                <w:rFonts w:ascii="Arial" w:cs="Arial" w:eastAsia="Arial" w:hAnsi="Arial"/>
                <w:sz w:val="13"/>
                <w:szCs w:val="13"/>
                <w:color w:val="auto"/>
              </w:rPr>
              <w:t>(7,103)</w:t>
            </w: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(17,694)</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(32,374)</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Adjustments for equity in earnings from unconsolidated entities</w:t>
            </w:r>
          </w:p>
        </w:tc>
        <w:tc>
          <w:tcPr>
            <w:tcW w:w="960" w:type="dxa"/>
            <w:vAlign w:val="bottom"/>
          </w:tcPr>
          <w:p>
            <w:pPr>
              <w:spacing w:after="0"/>
              <w:rPr>
                <w:sz w:val="12"/>
                <w:szCs w:val="12"/>
                <w:color w:val="auto"/>
              </w:rPr>
            </w:pP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293</w:t>
            </w:r>
          </w:p>
        </w:tc>
        <w:tc>
          <w:tcPr>
            <w:tcW w:w="1000" w:type="dxa"/>
            <w:vAlign w:val="bottom"/>
          </w:tcPr>
          <w:p>
            <w:pPr>
              <w:spacing w:after="0"/>
              <w:rPr>
                <w:sz w:val="12"/>
                <w:szCs w:val="12"/>
                <w:color w:val="auto"/>
              </w:rPr>
            </w:pP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317</w:t>
            </w: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1,026</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1,238</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Adjustments for noncontrolling interests</w:t>
            </w:r>
          </w:p>
        </w:tc>
        <w:tc>
          <w:tcPr>
            <w:tcW w:w="960" w:type="dxa"/>
            <w:vAlign w:val="bottom"/>
            <w:shd w:val="clear" w:color="auto" w:fill="CFF0FC"/>
          </w:tcPr>
          <w:p>
            <w:pPr>
              <w:spacing w:after="0"/>
              <w:rPr>
                <w:sz w:val="12"/>
                <w:szCs w:val="12"/>
                <w:color w:val="auto"/>
              </w:rPr>
            </w:pPr>
          </w:p>
        </w:tc>
        <w:tc>
          <w:tcPr>
            <w:tcW w:w="5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(100)</w:t>
            </w:r>
          </w:p>
        </w:tc>
        <w:tc>
          <w:tcPr>
            <w:tcW w:w="220" w:type="dxa"/>
            <w:vAlign w:val="bottom"/>
            <w:shd w:val="clear" w:color="auto" w:fill="CFF0FC"/>
          </w:tcPr>
          <w:p>
            <w:pPr>
              <w:spacing w:after="0"/>
              <w:rPr>
                <w:sz w:val="12"/>
                <w:szCs w:val="12"/>
                <w:color w:val="auto"/>
              </w:rPr>
            </w:pPr>
          </w:p>
        </w:tc>
        <w:tc>
          <w:tcPr>
            <w:tcW w:w="100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320"/>
              <w:spacing w:after="0" w:line="147" w:lineRule="exact"/>
              <w:rPr>
                <w:sz w:val="20"/>
                <w:szCs w:val="20"/>
                <w:color w:val="auto"/>
              </w:rPr>
            </w:pPr>
            <w:r>
              <w:rPr>
                <w:rFonts w:ascii="Arial" w:cs="Arial" w:eastAsia="Arial" w:hAnsi="Arial"/>
                <w:sz w:val="13"/>
                <w:szCs w:val="13"/>
                <w:color w:val="auto"/>
              </w:rPr>
              <w:t>(1,382)</w:t>
            </w: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(1,090)</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(16,496)</w:t>
            </w:r>
          </w:p>
        </w:tc>
        <w:tc>
          <w:tcPr>
            <w:tcW w:w="0" w:type="dxa"/>
            <w:vAlign w:val="bottom"/>
          </w:tcPr>
          <w:p>
            <w:pPr>
              <w:spacing w:after="0"/>
              <w:rPr>
                <w:sz w:val="1"/>
                <w:szCs w:val="1"/>
                <w:color w:val="auto"/>
              </w:rPr>
            </w:pPr>
          </w:p>
        </w:tc>
      </w:tr>
      <w:tr>
        <w:trPr>
          <w:trHeight w:val="140"/>
        </w:trPr>
        <w:tc>
          <w:tcPr>
            <w:tcW w:w="4520" w:type="dxa"/>
            <w:vAlign w:val="bottom"/>
          </w:tcPr>
          <w:p>
            <w:pPr>
              <w:spacing w:after="0" w:line="140" w:lineRule="exact"/>
              <w:rPr>
                <w:sz w:val="20"/>
                <w:szCs w:val="20"/>
                <w:color w:val="auto"/>
              </w:rPr>
            </w:pPr>
            <w:r>
              <w:rPr>
                <w:rFonts w:ascii="Arial" w:cs="Arial" w:eastAsia="Arial" w:hAnsi="Arial"/>
                <w:sz w:val="13"/>
                <w:szCs w:val="13"/>
                <w:b w:val="1"/>
                <w:bCs w:val="1"/>
                <w:color w:val="auto"/>
              </w:rPr>
              <w:t>Adjusted FFO attributable to common shareholders</w:t>
            </w:r>
          </w:p>
        </w:tc>
        <w:tc>
          <w:tcPr>
            <w:tcW w:w="960" w:type="dxa"/>
            <w:vAlign w:val="bottom"/>
            <w:tcBorders>
              <w:top w:val="single" w:sz="8" w:color="auto"/>
              <w:bottom w:val="single" w:sz="8" w:color="auto"/>
            </w:tcBorders>
          </w:tcPr>
          <w:p>
            <w:pPr>
              <w:jc w:val="right"/>
              <w:ind w:right="813"/>
              <w:spacing w:after="0" w:line="140" w:lineRule="exact"/>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114,030</w:t>
            </w:r>
          </w:p>
        </w:tc>
        <w:tc>
          <w:tcPr>
            <w:tcW w:w="220" w:type="dxa"/>
            <w:vAlign w:val="bottom"/>
          </w:tcPr>
          <w:p>
            <w:pPr>
              <w:spacing w:after="0"/>
              <w:rPr>
                <w:sz w:val="12"/>
                <w:szCs w:val="12"/>
                <w:color w:val="auto"/>
              </w:rPr>
            </w:pPr>
          </w:p>
        </w:tc>
        <w:tc>
          <w:tcPr>
            <w:tcW w:w="1000" w:type="dxa"/>
            <w:vAlign w:val="bottom"/>
            <w:tcBorders>
              <w:top w:val="single" w:sz="8" w:color="auto"/>
              <w:bottom w:val="single" w:sz="8" w:color="auto"/>
            </w:tcBorders>
          </w:tcPr>
          <w:p>
            <w:pPr>
              <w:jc w:val="right"/>
              <w:ind w:right="853"/>
              <w:spacing w:after="0" w:line="140" w:lineRule="exact"/>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106,415</w:t>
            </w:r>
          </w:p>
        </w:tc>
        <w:tc>
          <w:tcPr>
            <w:tcW w:w="320" w:type="dxa"/>
            <w:vAlign w:val="bottom"/>
          </w:tcPr>
          <w:p>
            <w:pPr>
              <w:spacing w:after="0"/>
              <w:rPr>
                <w:sz w:val="12"/>
                <w:szCs w:val="12"/>
                <w:color w:val="auto"/>
              </w:rPr>
            </w:pPr>
          </w:p>
        </w:tc>
        <w:tc>
          <w:tcPr>
            <w:tcW w:w="32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0"/>
                <w:szCs w:val="10"/>
                <w:color w:val="auto"/>
                <w:w w:val="71"/>
              </w:rPr>
              <w:t>$</w:t>
            </w:r>
          </w:p>
        </w:tc>
        <w:tc>
          <w:tcPr>
            <w:tcW w:w="116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430,326</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top w:val="single" w:sz="8" w:color="auto"/>
              <w:bottom w:val="single" w:sz="8" w:color="auto"/>
            </w:tcBorders>
          </w:tcPr>
          <w:p>
            <w:pPr>
              <w:jc w:val="right"/>
              <w:ind w:right="193"/>
              <w:spacing w:after="0" w:line="140" w:lineRule="exact"/>
              <w:rPr>
                <w:sz w:val="20"/>
                <w:szCs w:val="20"/>
                <w:color w:val="auto"/>
              </w:rPr>
            </w:pPr>
            <w:r>
              <w:rPr>
                <w:rFonts w:ascii="Arial" w:cs="Arial" w:eastAsia="Arial" w:hAnsi="Arial"/>
                <w:sz w:val="13"/>
                <w:szCs w:val="13"/>
                <w:color w:val="auto"/>
                <w:w w:val="82"/>
              </w:rPr>
              <w:t>$</w:t>
            </w:r>
          </w:p>
        </w:tc>
        <w:tc>
          <w:tcPr>
            <w:tcW w:w="116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389,510</w:t>
            </w:r>
          </w:p>
        </w:tc>
        <w:tc>
          <w:tcPr>
            <w:tcW w:w="0" w:type="dxa"/>
            <w:vAlign w:val="bottom"/>
          </w:tcPr>
          <w:p>
            <w:pPr>
              <w:spacing w:after="0"/>
              <w:rPr>
                <w:sz w:val="1"/>
                <w:szCs w:val="1"/>
                <w:color w:val="auto"/>
              </w:rPr>
            </w:pPr>
          </w:p>
        </w:tc>
      </w:tr>
      <w:tr>
        <w:trPr>
          <w:trHeight w:val="20"/>
        </w:trPr>
        <w:tc>
          <w:tcPr>
            <w:tcW w:w="45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7"/>
        </w:trPr>
        <w:tc>
          <w:tcPr>
            <w:tcW w:w="45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b w:val="1"/>
                <w:bCs w:val="1"/>
                <w:color w:val="auto"/>
              </w:rPr>
              <w:t>Reconciliation of Diluted FFO and AFFO:</w:t>
            </w:r>
          </w:p>
        </w:tc>
        <w:tc>
          <w:tcPr>
            <w:tcW w:w="960" w:type="dxa"/>
            <w:vAlign w:val="bottom"/>
            <w:shd w:val="clear" w:color="auto" w:fill="CFF0FC"/>
          </w:tcPr>
          <w:p>
            <w:pPr>
              <w:spacing w:after="0"/>
              <w:rPr>
                <w:sz w:val="12"/>
                <w:szCs w:val="12"/>
                <w:color w:val="auto"/>
              </w:rPr>
            </w:pPr>
          </w:p>
        </w:tc>
        <w:tc>
          <w:tcPr>
            <w:tcW w:w="54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0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320" w:type="dxa"/>
            <w:vAlign w:val="bottom"/>
            <w:shd w:val="clear" w:color="auto" w:fill="CFF0FC"/>
          </w:tcPr>
          <w:p>
            <w:pPr>
              <w:spacing w:after="0"/>
              <w:rPr>
                <w:sz w:val="12"/>
                <w:szCs w:val="12"/>
                <w:color w:val="auto"/>
              </w:rPr>
            </w:pPr>
          </w:p>
        </w:tc>
        <w:tc>
          <w:tcPr>
            <w:tcW w:w="320" w:type="dxa"/>
            <w:vAlign w:val="bottom"/>
            <w:shd w:val="clear" w:color="auto" w:fill="CFF0FC"/>
          </w:tcPr>
          <w:p>
            <w:pPr>
              <w:spacing w:after="0"/>
              <w:rPr>
                <w:sz w:val="12"/>
                <w:szCs w:val="12"/>
                <w:color w:val="auto"/>
              </w:rPr>
            </w:pPr>
          </w:p>
        </w:tc>
        <w:tc>
          <w:tcPr>
            <w:tcW w:w="1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FFO Attributable to common shareholders – Basic</w:t>
            </w:r>
          </w:p>
        </w:tc>
        <w:tc>
          <w:tcPr>
            <w:tcW w:w="960" w:type="dxa"/>
            <w:vAlign w:val="bottom"/>
          </w:tcPr>
          <w:p>
            <w:pPr>
              <w:jc w:val="right"/>
              <w:ind w:right="813"/>
              <w:spacing w:after="0" w:line="147" w:lineRule="exact"/>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88,006</w:t>
            </w:r>
          </w:p>
        </w:tc>
        <w:tc>
          <w:tcPr>
            <w:tcW w:w="1000" w:type="dxa"/>
            <w:vAlign w:val="bottom"/>
          </w:tcPr>
          <w:p>
            <w:pPr>
              <w:jc w:val="right"/>
              <w:ind w:right="853"/>
              <w:spacing w:after="0" w:line="147" w:lineRule="exact"/>
              <w:rPr>
                <w:sz w:val="20"/>
                <w:szCs w:val="20"/>
                <w:color w:val="auto"/>
              </w:rPr>
            </w:pPr>
            <w:r>
              <w:rPr>
                <w:rFonts w:ascii="Arial" w:cs="Arial" w:eastAsia="Arial" w:hAnsi="Arial"/>
                <w:sz w:val="13"/>
                <w:szCs w:val="13"/>
                <w:color w:val="auto"/>
                <w:w w:val="82"/>
              </w:rPr>
              <w:t>$</w:t>
            </w: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14,358</w:t>
            </w:r>
          </w:p>
        </w:tc>
        <w:tc>
          <w:tcPr>
            <w:tcW w:w="320" w:type="dxa"/>
            <w:vAlign w:val="bottom"/>
          </w:tcPr>
          <w:p>
            <w:pPr>
              <w:jc w:val="right"/>
              <w:ind w:right="210"/>
              <w:spacing w:after="0"/>
              <w:rPr>
                <w:sz w:val="20"/>
                <w:szCs w:val="20"/>
                <w:color w:val="auto"/>
              </w:rPr>
            </w:pPr>
            <w:r>
              <w:rPr>
                <w:rFonts w:ascii="Arial" w:cs="Arial" w:eastAsia="Arial" w:hAnsi="Arial"/>
                <w:sz w:val="10"/>
                <w:szCs w:val="10"/>
                <w:color w:val="auto"/>
                <w:w w:val="71"/>
              </w:rPr>
              <w:t>$</w:t>
            </w: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332,803</w:t>
            </w:r>
          </w:p>
        </w:tc>
        <w:tc>
          <w:tcPr>
            <w:tcW w:w="440" w:type="dxa"/>
            <w:vAlign w:val="bottom"/>
            <w:gridSpan w:val="2"/>
          </w:tcPr>
          <w:p>
            <w:pPr>
              <w:jc w:val="right"/>
              <w:ind w:right="193"/>
              <w:spacing w:after="0" w:line="147" w:lineRule="exact"/>
              <w:rPr>
                <w:sz w:val="20"/>
                <w:szCs w:val="20"/>
                <w:color w:val="auto"/>
              </w:rPr>
            </w:pPr>
            <w:r>
              <w:rPr>
                <w:rFonts w:ascii="Arial" w:cs="Arial" w:eastAsia="Arial" w:hAnsi="Arial"/>
                <w:sz w:val="13"/>
                <w:szCs w:val="13"/>
                <w:color w:val="auto"/>
              </w:rPr>
              <w:t>$</w:t>
            </w: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(548,193)</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Impact of if-converted dilutive securities</w:t>
            </w:r>
          </w:p>
        </w:tc>
        <w:tc>
          <w:tcPr>
            <w:tcW w:w="9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220"/>
              <w:spacing w:after="0" w:line="147" w:lineRule="exact"/>
              <w:rPr>
                <w:sz w:val="20"/>
                <w:szCs w:val="20"/>
                <w:color w:val="auto"/>
              </w:rPr>
            </w:pPr>
            <w:r>
              <w:rPr>
                <w:rFonts w:ascii="Arial" w:cs="Arial" w:eastAsia="Arial" w:hAnsi="Arial"/>
                <w:sz w:val="13"/>
                <w:szCs w:val="13"/>
                <w:color w:val="auto"/>
              </w:rPr>
              <w:t>2,989</w:t>
            </w:r>
          </w:p>
        </w:tc>
        <w:tc>
          <w:tcPr>
            <w:tcW w:w="100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320"/>
              <w:spacing w:after="0" w:line="147" w:lineRule="exact"/>
              <w:rPr>
                <w:sz w:val="20"/>
                <w:szCs w:val="20"/>
                <w:color w:val="auto"/>
              </w:rPr>
            </w:pPr>
            <w:r>
              <w:rPr>
                <w:rFonts w:ascii="Arial" w:cs="Arial" w:eastAsia="Arial" w:hAnsi="Arial"/>
                <w:sz w:val="13"/>
                <w:szCs w:val="13"/>
                <w:color w:val="auto"/>
              </w:rPr>
              <w:t>-</w:t>
            </w: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11,926</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0"/>
        </w:trPr>
        <w:tc>
          <w:tcPr>
            <w:tcW w:w="4520" w:type="dxa"/>
            <w:vAlign w:val="bottom"/>
          </w:tcPr>
          <w:p>
            <w:pPr>
              <w:spacing w:after="0" w:line="140" w:lineRule="exact"/>
              <w:rPr>
                <w:sz w:val="20"/>
                <w:szCs w:val="20"/>
                <w:color w:val="auto"/>
              </w:rPr>
            </w:pPr>
            <w:r>
              <w:rPr>
                <w:rFonts w:ascii="Arial" w:cs="Arial" w:eastAsia="Arial" w:hAnsi="Arial"/>
                <w:sz w:val="13"/>
                <w:szCs w:val="13"/>
                <w:color w:val="auto"/>
              </w:rPr>
              <w:t>FFO Attributable to common shareholders – Diluted</w:t>
            </w:r>
          </w:p>
        </w:tc>
        <w:tc>
          <w:tcPr>
            <w:tcW w:w="960" w:type="dxa"/>
            <w:vAlign w:val="bottom"/>
            <w:tcBorders>
              <w:top w:val="single" w:sz="8" w:color="auto"/>
              <w:bottom w:val="single" w:sz="8" w:color="auto"/>
            </w:tcBorders>
          </w:tcPr>
          <w:p>
            <w:pPr>
              <w:jc w:val="right"/>
              <w:ind w:right="813"/>
              <w:spacing w:after="0" w:line="140" w:lineRule="exact"/>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90,995</w:t>
            </w:r>
          </w:p>
        </w:tc>
        <w:tc>
          <w:tcPr>
            <w:tcW w:w="220" w:type="dxa"/>
            <w:vAlign w:val="bottom"/>
          </w:tcPr>
          <w:p>
            <w:pPr>
              <w:spacing w:after="0"/>
              <w:rPr>
                <w:sz w:val="12"/>
                <w:szCs w:val="12"/>
                <w:color w:val="auto"/>
              </w:rPr>
            </w:pPr>
          </w:p>
        </w:tc>
        <w:tc>
          <w:tcPr>
            <w:tcW w:w="1000" w:type="dxa"/>
            <w:vAlign w:val="bottom"/>
            <w:tcBorders>
              <w:top w:val="single" w:sz="8" w:color="auto"/>
              <w:bottom w:val="single" w:sz="8" w:color="auto"/>
            </w:tcBorders>
          </w:tcPr>
          <w:p>
            <w:pPr>
              <w:jc w:val="right"/>
              <w:ind w:right="853"/>
              <w:spacing w:after="0" w:line="140" w:lineRule="exact"/>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14358</w:t>
            </w:r>
          </w:p>
        </w:tc>
        <w:tc>
          <w:tcPr>
            <w:tcW w:w="320" w:type="dxa"/>
            <w:vAlign w:val="bottom"/>
          </w:tcPr>
          <w:p>
            <w:pPr>
              <w:spacing w:after="0"/>
              <w:rPr>
                <w:sz w:val="12"/>
                <w:szCs w:val="12"/>
                <w:color w:val="auto"/>
              </w:rPr>
            </w:pPr>
          </w:p>
        </w:tc>
        <w:tc>
          <w:tcPr>
            <w:tcW w:w="32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0"/>
                <w:szCs w:val="10"/>
                <w:color w:val="auto"/>
                <w:w w:val="71"/>
              </w:rPr>
              <w:t>$</w:t>
            </w:r>
          </w:p>
        </w:tc>
        <w:tc>
          <w:tcPr>
            <w:tcW w:w="116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344,729</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top w:val="single" w:sz="8" w:color="auto"/>
              <w:bottom w:val="single" w:sz="8" w:color="auto"/>
            </w:tcBorders>
          </w:tcPr>
          <w:p>
            <w:pPr>
              <w:jc w:val="right"/>
              <w:ind w:right="193"/>
              <w:spacing w:after="0" w:line="140" w:lineRule="exact"/>
              <w:rPr>
                <w:sz w:val="20"/>
                <w:szCs w:val="20"/>
                <w:color w:val="auto"/>
              </w:rPr>
            </w:pPr>
            <w:r>
              <w:rPr>
                <w:rFonts w:ascii="Arial" w:cs="Arial" w:eastAsia="Arial" w:hAnsi="Arial"/>
                <w:sz w:val="13"/>
                <w:szCs w:val="13"/>
                <w:color w:val="auto"/>
                <w:w w:val="82"/>
              </w:rPr>
              <w:t>$</w:t>
            </w:r>
          </w:p>
        </w:tc>
        <w:tc>
          <w:tcPr>
            <w:tcW w:w="1160" w:type="dxa"/>
            <w:vAlign w:val="bottom"/>
            <w:tcBorders>
              <w:top w:val="single" w:sz="8" w:color="auto"/>
              <w:bottom w:val="single" w:sz="8" w:color="auto"/>
            </w:tcBorders>
          </w:tcPr>
          <w:p>
            <w:pPr>
              <w:jc w:val="right"/>
              <w:spacing w:after="0" w:line="140" w:lineRule="exact"/>
              <w:rPr>
                <w:sz w:val="20"/>
                <w:szCs w:val="20"/>
                <w:color w:val="auto"/>
              </w:rPr>
            </w:pPr>
            <w:r>
              <w:rPr>
                <w:rFonts w:ascii="Arial" w:cs="Arial" w:eastAsia="Arial" w:hAnsi="Arial"/>
                <w:sz w:val="13"/>
                <w:szCs w:val="13"/>
                <w:color w:val="auto"/>
              </w:rPr>
              <w:t>(548,193)</w:t>
            </w:r>
          </w:p>
        </w:tc>
        <w:tc>
          <w:tcPr>
            <w:tcW w:w="0" w:type="dxa"/>
            <w:vAlign w:val="bottom"/>
          </w:tcPr>
          <w:p>
            <w:pPr>
              <w:spacing w:after="0"/>
              <w:rPr>
                <w:sz w:val="1"/>
                <w:szCs w:val="1"/>
                <w:color w:val="auto"/>
              </w:rPr>
            </w:pPr>
          </w:p>
        </w:tc>
      </w:tr>
      <w:tr>
        <w:trPr>
          <w:trHeight w:val="20"/>
        </w:trPr>
        <w:tc>
          <w:tcPr>
            <w:tcW w:w="45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7"/>
        </w:trPr>
        <w:tc>
          <w:tcPr>
            <w:tcW w:w="45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AFFO Attributable to common shareholders – Basic</w:t>
            </w:r>
          </w:p>
        </w:tc>
        <w:tc>
          <w:tcPr>
            <w:tcW w:w="960" w:type="dxa"/>
            <w:vAlign w:val="bottom"/>
            <w:shd w:val="clear" w:color="auto" w:fill="CFF0FC"/>
          </w:tcPr>
          <w:p>
            <w:pPr>
              <w:jc w:val="right"/>
              <w:ind w:right="813"/>
              <w:spacing w:after="0" w:line="147" w:lineRule="exact"/>
              <w:rPr>
                <w:sz w:val="20"/>
                <w:szCs w:val="20"/>
                <w:color w:val="auto"/>
              </w:rPr>
            </w:pPr>
            <w:r>
              <w:rPr>
                <w:rFonts w:ascii="Arial" w:cs="Arial" w:eastAsia="Arial" w:hAnsi="Arial"/>
                <w:sz w:val="13"/>
                <w:szCs w:val="13"/>
                <w:color w:val="auto"/>
                <w:w w:val="82"/>
              </w:rPr>
              <w:t>$</w:t>
            </w:r>
          </w:p>
        </w:tc>
        <w:tc>
          <w:tcPr>
            <w:tcW w:w="54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114,030</w:t>
            </w:r>
          </w:p>
        </w:tc>
        <w:tc>
          <w:tcPr>
            <w:tcW w:w="220" w:type="dxa"/>
            <w:vAlign w:val="bottom"/>
            <w:shd w:val="clear" w:color="auto" w:fill="CFF0FC"/>
          </w:tcPr>
          <w:p>
            <w:pPr>
              <w:spacing w:after="0"/>
              <w:rPr>
                <w:sz w:val="12"/>
                <w:szCs w:val="12"/>
                <w:color w:val="auto"/>
              </w:rPr>
            </w:pPr>
          </w:p>
        </w:tc>
        <w:tc>
          <w:tcPr>
            <w:tcW w:w="1000" w:type="dxa"/>
            <w:vAlign w:val="bottom"/>
            <w:shd w:val="clear" w:color="auto" w:fill="CFF0FC"/>
          </w:tcPr>
          <w:p>
            <w:pPr>
              <w:jc w:val="right"/>
              <w:ind w:right="853"/>
              <w:spacing w:after="0" w:line="147" w:lineRule="exact"/>
              <w:rPr>
                <w:sz w:val="20"/>
                <w:szCs w:val="20"/>
                <w:color w:val="auto"/>
              </w:rPr>
            </w:pPr>
            <w:r>
              <w:rPr>
                <w:rFonts w:ascii="Arial" w:cs="Arial" w:eastAsia="Arial" w:hAnsi="Arial"/>
                <w:sz w:val="13"/>
                <w:szCs w:val="13"/>
                <w:color w:val="auto"/>
                <w:w w:val="82"/>
              </w:rPr>
              <w:t>$</w:t>
            </w:r>
          </w:p>
        </w:tc>
        <w:tc>
          <w:tcPr>
            <w:tcW w:w="50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106,415</w:t>
            </w:r>
          </w:p>
        </w:tc>
        <w:tc>
          <w:tcPr>
            <w:tcW w:w="320" w:type="dxa"/>
            <w:vAlign w:val="bottom"/>
            <w:shd w:val="clear" w:color="auto" w:fill="CFF0FC"/>
          </w:tcPr>
          <w:p>
            <w:pPr>
              <w:spacing w:after="0"/>
              <w:rPr>
                <w:sz w:val="12"/>
                <w:szCs w:val="12"/>
                <w:color w:val="auto"/>
              </w:rPr>
            </w:pPr>
          </w:p>
        </w:tc>
        <w:tc>
          <w:tcPr>
            <w:tcW w:w="320" w:type="dxa"/>
            <w:vAlign w:val="bottom"/>
            <w:shd w:val="clear" w:color="auto" w:fill="CFF0FC"/>
          </w:tcPr>
          <w:p>
            <w:pPr>
              <w:jc w:val="right"/>
              <w:ind w:right="210"/>
              <w:spacing w:after="0"/>
              <w:rPr>
                <w:sz w:val="20"/>
                <w:szCs w:val="20"/>
                <w:color w:val="auto"/>
              </w:rPr>
            </w:pPr>
            <w:r>
              <w:rPr>
                <w:rFonts w:ascii="Arial" w:cs="Arial" w:eastAsia="Arial" w:hAnsi="Arial"/>
                <w:sz w:val="10"/>
                <w:szCs w:val="10"/>
                <w:color w:val="auto"/>
                <w:w w:val="71"/>
              </w:rPr>
              <w:t>$</w:t>
            </w: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430,326</w:t>
            </w:r>
          </w:p>
        </w:tc>
        <w:tc>
          <w:tcPr>
            <w:tcW w:w="440" w:type="dxa"/>
            <w:vAlign w:val="bottom"/>
            <w:gridSpan w:val="2"/>
            <w:shd w:val="clear" w:color="auto" w:fill="CFF0FC"/>
          </w:tcPr>
          <w:p>
            <w:pPr>
              <w:jc w:val="right"/>
              <w:ind w:right="193"/>
              <w:spacing w:after="0" w:line="147" w:lineRule="exact"/>
              <w:rPr>
                <w:sz w:val="20"/>
                <w:szCs w:val="20"/>
                <w:color w:val="auto"/>
              </w:rPr>
            </w:pPr>
            <w:r>
              <w:rPr>
                <w:rFonts w:ascii="Arial" w:cs="Arial" w:eastAsia="Arial" w:hAnsi="Arial"/>
                <w:sz w:val="13"/>
                <w:szCs w:val="13"/>
                <w:color w:val="auto"/>
              </w:rPr>
              <w:t>$</w:t>
            </w: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389,510</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Impact of if-converted dilutive securities</w:t>
            </w:r>
          </w:p>
        </w:tc>
        <w:tc>
          <w:tcPr>
            <w:tcW w:w="960" w:type="dxa"/>
            <w:vAlign w:val="bottom"/>
          </w:tcPr>
          <w:p>
            <w:pPr>
              <w:spacing w:after="0"/>
              <w:rPr>
                <w:sz w:val="12"/>
                <w:szCs w:val="12"/>
                <w:color w:val="auto"/>
              </w:rPr>
            </w:pP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3,450</w:t>
            </w:r>
          </w:p>
        </w:tc>
        <w:tc>
          <w:tcPr>
            <w:tcW w:w="1000" w:type="dxa"/>
            <w:vAlign w:val="bottom"/>
          </w:tcPr>
          <w:p>
            <w:pPr>
              <w:spacing w:after="0"/>
              <w:rPr>
                <w:sz w:val="12"/>
                <w:szCs w:val="12"/>
                <w:color w:val="auto"/>
              </w:rPr>
            </w:pP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3,450</w:t>
            </w: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13,800</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13,800</w:t>
            </w:r>
          </w:p>
        </w:tc>
        <w:tc>
          <w:tcPr>
            <w:tcW w:w="0" w:type="dxa"/>
            <w:vAlign w:val="bottom"/>
          </w:tcPr>
          <w:p>
            <w:pPr>
              <w:spacing w:after="0"/>
              <w:rPr>
                <w:sz w:val="1"/>
                <w:szCs w:val="1"/>
                <w:color w:val="auto"/>
              </w:rPr>
            </w:pPr>
          </w:p>
        </w:tc>
      </w:tr>
      <w:tr>
        <w:trPr>
          <w:trHeight w:val="140"/>
        </w:trPr>
        <w:tc>
          <w:tcPr>
            <w:tcW w:w="4520" w:type="dxa"/>
            <w:vAlign w:val="bottom"/>
            <w:tcBorders>
              <w:top w:val="single" w:sz="8" w:color="CFF0FC"/>
              <w:bottom w:val="single" w:sz="8" w:color="CFF0FC"/>
            </w:tcBorders>
            <w:shd w:val="clear" w:color="auto" w:fill="CFF0FC"/>
          </w:tcPr>
          <w:p>
            <w:pPr>
              <w:spacing w:after="0" w:line="140" w:lineRule="exact"/>
              <w:rPr>
                <w:sz w:val="20"/>
                <w:szCs w:val="20"/>
                <w:color w:val="auto"/>
              </w:rPr>
            </w:pPr>
            <w:r>
              <w:rPr>
                <w:rFonts w:ascii="Arial" w:cs="Arial" w:eastAsia="Arial" w:hAnsi="Arial"/>
                <w:sz w:val="13"/>
                <w:szCs w:val="13"/>
                <w:color w:val="auto"/>
              </w:rPr>
              <w:t>AFFO Attributable to common shareholders – Diluted</w:t>
            </w:r>
          </w:p>
        </w:tc>
        <w:tc>
          <w:tcPr>
            <w:tcW w:w="960" w:type="dxa"/>
            <w:vAlign w:val="bottom"/>
            <w:tcBorders>
              <w:top w:val="single" w:sz="8" w:color="auto"/>
              <w:bottom w:val="single" w:sz="8" w:color="auto"/>
            </w:tcBorders>
            <w:shd w:val="clear" w:color="auto" w:fill="CFF0FC"/>
          </w:tcPr>
          <w:p>
            <w:pPr>
              <w:jc w:val="right"/>
              <w:ind w:right="813"/>
              <w:spacing w:after="0" w:line="140" w:lineRule="exact"/>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shd w:val="clear" w:color="auto" w:fill="CFF0FC"/>
          </w:tcPr>
          <w:p>
            <w:pPr>
              <w:jc w:val="right"/>
              <w:spacing w:after="0" w:line="140" w:lineRule="exact"/>
              <w:rPr>
                <w:sz w:val="20"/>
                <w:szCs w:val="20"/>
                <w:color w:val="auto"/>
              </w:rPr>
            </w:pPr>
            <w:r>
              <w:rPr>
                <w:rFonts w:ascii="Arial" w:cs="Arial" w:eastAsia="Arial" w:hAnsi="Arial"/>
                <w:sz w:val="13"/>
                <w:szCs w:val="13"/>
                <w:color w:val="auto"/>
              </w:rPr>
              <w:t>117,480</w:t>
            </w:r>
          </w:p>
        </w:tc>
        <w:tc>
          <w:tcPr>
            <w:tcW w:w="220" w:type="dxa"/>
            <w:vAlign w:val="bottom"/>
            <w:tcBorders>
              <w:top w:val="single" w:sz="8" w:color="CFF0FC"/>
              <w:bottom w:val="single" w:sz="8" w:color="CFF0FC"/>
            </w:tcBorders>
            <w:shd w:val="clear" w:color="auto" w:fill="CFF0FC"/>
          </w:tcPr>
          <w:p>
            <w:pPr>
              <w:spacing w:after="0"/>
              <w:rPr>
                <w:sz w:val="12"/>
                <w:szCs w:val="12"/>
                <w:color w:val="auto"/>
              </w:rPr>
            </w:pPr>
          </w:p>
        </w:tc>
        <w:tc>
          <w:tcPr>
            <w:tcW w:w="1000" w:type="dxa"/>
            <w:vAlign w:val="bottom"/>
            <w:tcBorders>
              <w:top w:val="single" w:sz="8" w:color="auto"/>
              <w:bottom w:val="single" w:sz="8" w:color="auto"/>
            </w:tcBorders>
            <w:shd w:val="clear" w:color="auto" w:fill="CFF0FC"/>
          </w:tcPr>
          <w:p>
            <w:pPr>
              <w:jc w:val="right"/>
              <w:ind w:right="853"/>
              <w:spacing w:after="0" w:line="140" w:lineRule="exact"/>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shd w:val="clear" w:color="auto" w:fill="CFF0FC"/>
          </w:tcPr>
          <w:p>
            <w:pPr>
              <w:jc w:val="right"/>
              <w:spacing w:after="0" w:line="140" w:lineRule="exact"/>
              <w:rPr>
                <w:sz w:val="20"/>
                <w:szCs w:val="20"/>
                <w:color w:val="auto"/>
              </w:rPr>
            </w:pPr>
            <w:r>
              <w:rPr>
                <w:rFonts w:ascii="Arial" w:cs="Arial" w:eastAsia="Arial" w:hAnsi="Arial"/>
                <w:sz w:val="13"/>
                <w:szCs w:val="13"/>
                <w:color w:val="auto"/>
              </w:rPr>
              <w:t>109,865</w:t>
            </w:r>
          </w:p>
        </w:tc>
        <w:tc>
          <w:tcPr>
            <w:tcW w:w="320" w:type="dxa"/>
            <w:vAlign w:val="bottom"/>
            <w:tcBorders>
              <w:top w:val="single" w:sz="8" w:color="CFF0FC"/>
              <w:bottom w:val="single" w:sz="8" w:color="CFF0FC"/>
            </w:tcBorders>
            <w:shd w:val="clear" w:color="auto" w:fill="CFF0FC"/>
          </w:tcPr>
          <w:p>
            <w:pPr>
              <w:spacing w:after="0"/>
              <w:rPr>
                <w:sz w:val="12"/>
                <w:szCs w:val="12"/>
                <w:color w:val="auto"/>
              </w:rPr>
            </w:pPr>
          </w:p>
        </w:tc>
        <w:tc>
          <w:tcPr>
            <w:tcW w:w="320" w:type="dxa"/>
            <w:vAlign w:val="bottom"/>
            <w:tcBorders>
              <w:top w:val="single" w:sz="8" w:color="auto"/>
              <w:bottom w:val="single" w:sz="8" w:color="auto"/>
            </w:tcBorders>
            <w:shd w:val="clear" w:color="auto" w:fill="CFF0FC"/>
          </w:tcPr>
          <w:p>
            <w:pPr>
              <w:jc w:val="right"/>
              <w:ind w:right="210"/>
              <w:spacing w:after="0"/>
              <w:rPr>
                <w:sz w:val="20"/>
                <w:szCs w:val="20"/>
                <w:color w:val="auto"/>
              </w:rPr>
            </w:pPr>
            <w:r>
              <w:rPr>
                <w:rFonts w:ascii="Arial" w:cs="Arial" w:eastAsia="Arial" w:hAnsi="Arial"/>
                <w:sz w:val="10"/>
                <w:szCs w:val="10"/>
                <w:color w:val="auto"/>
                <w:w w:val="71"/>
              </w:rPr>
              <w:t>$</w:t>
            </w:r>
          </w:p>
        </w:tc>
        <w:tc>
          <w:tcPr>
            <w:tcW w:w="1160" w:type="dxa"/>
            <w:vAlign w:val="bottom"/>
            <w:tcBorders>
              <w:top w:val="single" w:sz="8" w:color="auto"/>
              <w:bottom w:val="single" w:sz="8" w:color="auto"/>
            </w:tcBorders>
            <w:shd w:val="clear" w:color="auto" w:fill="CFF0FC"/>
          </w:tcPr>
          <w:p>
            <w:pPr>
              <w:jc w:val="right"/>
              <w:spacing w:after="0" w:line="140" w:lineRule="exact"/>
              <w:rPr>
                <w:sz w:val="20"/>
                <w:szCs w:val="20"/>
                <w:color w:val="auto"/>
              </w:rPr>
            </w:pPr>
            <w:r>
              <w:rPr>
                <w:rFonts w:ascii="Arial" w:cs="Arial" w:eastAsia="Arial" w:hAnsi="Arial"/>
                <w:sz w:val="13"/>
                <w:szCs w:val="13"/>
                <w:color w:val="auto"/>
              </w:rPr>
              <w:t>444,126</w:t>
            </w:r>
          </w:p>
        </w:tc>
        <w:tc>
          <w:tcPr>
            <w:tcW w:w="100" w:type="dxa"/>
            <w:vAlign w:val="bottom"/>
            <w:tcBorders>
              <w:top w:val="single" w:sz="8" w:color="CFF0FC"/>
              <w:bottom w:val="single" w:sz="8" w:color="CFF0FC"/>
            </w:tcBorders>
            <w:shd w:val="clear" w:color="auto" w:fill="CFF0FC"/>
          </w:tcPr>
          <w:p>
            <w:pPr>
              <w:spacing w:after="0"/>
              <w:rPr>
                <w:sz w:val="12"/>
                <w:szCs w:val="12"/>
                <w:color w:val="auto"/>
              </w:rPr>
            </w:pPr>
          </w:p>
        </w:tc>
        <w:tc>
          <w:tcPr>
            <w:tcW w:w="100" w:type="dxa"/>
            <w:vAlign w:val="bottom"/>
            <w:tcBorders>
              <w:top w:val="single" w:sz="8" w:color="CFF0FC"/>
              <w:bottom w:val="single" w:sz="8" w:color="CFF0FC"/>
            </w:tcBorders>
            <w:shd w:val="clear" w:color="auto" w:fill="CFF0FC"/>
          </w:tcPr>
          <w:p>
            <w:pPr>
              <w:spacing w:after="0"/>
              <w:rPr>
                <w:sz w:val="12"/>
                <w:szCs w:val="12"/>
                <w:color w:val="auto"/>
              </w:rPr>
            </w:pPr>
          </w:p>
        </w:tc>
        <w:tc>
          <w:tcPr>
            <w:tcW w:w="340" w:type="dxa"/>
            <w:vAlign w:val="bottom"/>
            <w:tcBorders>
              <w:top w:val="single" w:sz="8" w:color="auto"/>
              <w:bottom w:val="single" w:sz="8" w:color="auto"/>
            </w:tcBorders>
            <w:shd w:val="clear" w:color="auto" w:fill="CFF0FC"/>
          </w:tcPr>
          <w:p>
            <w:pPr>
              <w:jc w:val="right"/>
              <w:ind w:right="193"/>
              <w:spacing w:after="0" w:line="140" w:lineRule="exact"/>
              <w:rPr>
                <w:sz w:val="20"/>
                <w:szCs w:val="20"/>
                <w:color w:val="auto"/>
              </w:rPr>
            </w:pPr>
            <w:r>
              <w:rPr>
                <w:rFonts w:ascii="Arial" w:cs="Arial" w:eastAsia="Arial" w:hAnsi="Arial"/>
                <w:sz w:val="13"/>
                <w:szCs w:val="13"/>
                <w:color w:val="auto"/>
                <w:w w:val="82"/>
              </w:rPr>
              <w:t>$</w:t>
            </w:r>
          </w:p>
        </w:tc>
        <w:tc>
          <w:tcPr>
            <w:tcW w:w="1160" w:type="dxa"/>
            <w:vAlign w:val="bottom"/>
            <w:tcBorders>
              <w:top w:val="single" w:sz="8" w:color="auto"/>
              <w:bottom w:val="single" w:sz="8" w:color="auto"/>
            </w:tcBorders>
            <w:shd w:val="clear" w:color="auto" w:fill="CFF0FC"/>
          </w:tcPr>
          <w:p>
            <w:pPr>
              <w:jc w:val="right"/>
              <w:spacing w:after="0" w:line="140" w:lineRule="exact"/>
              <w:rPr>
                <w:sz w:val="20"/>
                <w:szCs w:val="20"/>
                <w:color w:val="auto"/>
              </w:rPr>
            </w:pPr>
            <w:r>
              <w:rPr>
                <w:rFonts w:ascii="Arial" w:cs="Arial" w:eastAsia="Arial" w:hAnsi="Arial"/>
                <w:sz w:val="13"/>
                <w:szCs w:val="13"/>
                <w:color w:val="auto"/>
              </w:rPr>
              <w:t>403,310</w:t>
            </w:r>
          </w:p>
        </w:tc>
        <w:tc>
          <w:tcPr>
            <w:tcW w:w="0" w:type="dxa"/>
            <w:vAlign w:val="bottom"/>
          </w:tcPr>
          <w:p>
            <w:pPr>
              <w:spacing w:after="0"/>
              <w:rPr>
                <w:sz w:val="1"/>
                <w:szCs w:val="1"/>
                <w:color w:val="auto"/>
              </w:rPr>
            </w:pPr>
          </w:p>
        </w:tc>
      </w:tr>
      <w:tr>
        <w:trPr>
          <w:trHeight w:val="20"/>
        </w:trPr>
        <w:tc>
          <w:tcPr>
            <w:tcW w:w="4520" w:type="dxa"/>
            <w:vAlign w:val="bottom"/>
            <w:vMerge w:val="restart"/>
          </w:tcPr>
          <w:p>
            <w:pPr>
              <w:spacing w:after="0"/>
              <w:rPr>
                <w:sz w:val="20"/>
                <w:szCs w:val="20"/>
                <w:color w:val="auto"/>
              </w:rPr>
            </w:pPr>
            <w:r>
              <w:rPr>
                <w:rFonts w:ascii="Arial" w:cs="Arial" w:eastAsia="Arial" w:hAnsi="Arial"/>
                <w:sz w:val="13"/>
                <w:szCs w:val="13"/>
                <w:color w:val="auto"/>
              </w:rPr>
              <w:t>Weighted average common shares used to calculate basic earnings</w:t>
            </w:r>
          </w:p>
        </w:tc>
        <w:tc>
          <w:tcPr>
            <w:tcW w:w="9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3"/>
        </w:trPr>
        <w:tc>
          <w:tcPr>
            <w:tcW w:w="4520" w:type="dxa"/>
            <w:vAlign w:val="bottom"/>
            <w:vMerge w:val="continue"/>
          </w:tcPr>
          <w:p>
            <w:pPr>
              <w:spacing w:after="0"/>
              <w:rPr>
                <w:sz w:val="23"/>
                <w:szCs w:val="23"/>
                <w:color w:val="auto"/>
              </w:rPr>
            </w:pPr>
          </w:p>
        </w:tc>
        <w:tc>
          <w:tcPr>
            <w:tcW w:w="9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47"/>
        </w:trPr>
        <w:tc>
          <w:tcPr>
            <w:tcW w:w="4520" w:type="dxa"/>
            <w:vAlign w:val="bottom"/>
          </w:tcPr>
          <w:p>
            <w:pPr>
              <w:spacing w:after="0" w:line="148" w:lineRule="exact"/>
              <w:rPr>
                <w:sz w:val="20"/>
                <w:szCs w:val="20"/>
                <w:color w:val="auto"/>
              </w:rPr>
            </w:pPr>
            <w:r>
              <w:rPr>
                <w:rFonts w:ascii="Arial" w:cs="Arial" w:eastAsia="Arial" w:hAnsi="Arial"/>
                <w:sz w:val="13"/>
                <w:szCs w:val="13"/>
                <w:color w:val="auto"/>
              </w:rPr>
              <w:t xml:space="preserve">(loss) per common share </w:t>
            </w:r>
            <w:r>
              <w:rPr>
                <w:rFonts w:ascii="Arial" w:cs="Arial" w:eastAsia="Arial" w:hAnsi="Arial"/>
                <w:sz w:val="11"/>
                <w:szCs w:val="11"/>
                <w:color w:val="auto"/>
              </w:rPr>
              <w:t>(1)</w:t>
            </w:r>
          </w:p>
        </w:tc>
        <w:tc>
          <w:tcPr>
            <w:tcW w:w="960" w:type="dxa"/>
            <w:vAlign w:val="bottom"/>
          </w:tcPr>
          <w:p>
            <w:pPr>
              <w:spacing w:after="0"/>
              <w:rPr>
                <w:sz w:val="12"/>
                <w:szCs w:val="12"/>
                <w:color w:val="auto"/>
              </w:rPr>
            </w:pPr>
          </w:p>
        </w:tc>
        <w:tc>
          <w:tcPr>
            <w:tcW w:w="540" w:type="dxa"/>
            <w:vAlign w:val="bottom"/>
          </w:tcPr>
          <w:p>
            <w:pPr>
              <w:jc w:val="right"/>
              <w:spacing w:after="0" w:line="148" w:lineRule="exact"/>
              <w:rPr>
                <w:sz w:val="20"/>
                <w:szCs w:val="20"/>
                <w:color w:val="auto"/>
              </w:rPr>
            </w:pPr>
            <w:r>
              <w:rPr>
                <w:rFonts w:ascii="Arial" w:cs="Arial" w:eastAsia="Arial" w:hAnsi="Arial"/>
                <w:sz w:val="13"/>
                <w:szCs w:val="13"/>
                <w:color w:val="auto"/>
              </w:rPr>
              <w:t>234,719</w:t>
            </w:r>
          </w:p>
        </w:tc>
        <w:tc>
          <w:tcPr>
            <w:tcW w:w="2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500" w:type="dxa"/>
            <w:vAlign w:val="bottom"/>
          </w:tcPr>
          <w:p>
            <w:pPr>
              <w:jc w:val="right"/>
              <w:spacing w:after="0" w:line="148" w:lineRule="exact"/>
              <w:rPr>
                <w:sz w:val="20"/>
                <w:szCs w:val="20"/>
                <w:color w:val="auto"/>
              </w:rPr>
            </w:pPr>
            <w:r>
              <w:rPr>
                <w:rFonts w:ascii="Arial" w:cs="Arial" w:eastAsia="Arial" w:hAnsi="Arial"/>
                <w:sz w:val="13"/>
                <w:szCs w:val="13"/>
                <w:color w:val="auto"/>
              </w:rPr>
              <w:t>231,262</w:t>
            </w:r>
          </w:p>
        </w:tc>
        <w:tc>
          <w:tcPr>
            <w:tcW w:w="3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8" w:lineRule="exact"/>
              <w:rPr>
                <w:sz w:val="20"/>
                <w:szCs w:val="20"/>
                <w:color w:val="auto"/>
              </w:rPr>
            </w:pPr>
            <w:r>
              <w:rPr>
                <w:rFonts w:ascii="Arial" w:cs="Arial" w:eastAsia="Arial" w:hAnsi="Arial"/>
                <w:sz w:val="13"/>
                <w:szCs w:val="13"/>
                <w:color w:val="auto"/>
              </w:rPr>
              <w:t>232,888</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8" w:lineRule="exact"/>
              <w:rPr>
                <w:sz w:val="20"/>
                <w:szCs w:val="20"/>
                <w:color w:val="auto"/>
              </w:rPr>
            </w:pPr>
            <w:r>
              <w:rPr>
                <w:rFonts w:ascii="Arial" w:cs="Arial" w:eastAsia="Arial" w:hAnsi="Arial"/>
                <w:sz w:val="13"/>
                <w:szCs w:val="13"/>
                <w:color w:val="auto"/>
              </w:rPr>
              <w:t>203,600</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7" w:lineRule="exact"/>
              <w:rPr>
                <w:sz w:val="20"/>
                <w:szCs w:val="20"/>
                <w:color w:val="auto"/>
              </w:rPr>
            </w:pPr>
            <w:r>
              <w:rPr>
                <w:rFonts w:ascii="Arial" w:cs="Arial" w:eastAsia="Arial" w:hAnsi="Arial"/>
                <w:sz w:val="13"/>
                <w:szCs w:val="13"/>
                <w:color w:val="auto"/>
              </w:rPr>
              <w:t>Impact of dilutive non-participating securities</w:t>
            </w:r>
          </w:p>
        </w:tc>
        <w:tc>
          <w:tcPr>
            <w:tcW w:w="9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220"/>
              <w:spacing w:after="0" w:line="147" w:lineRule="exact"/>
              <w:rPr>
                <w:sz w:val="20"/>
                <w:szCs w:val="20"/>
                <w:color w:val="auto"/>
              </w:rPr>
            </w:pPr>
            <w:r>
              <w:rPr>
                <w:rFonts w:ascii="Arial" w:cs="Arial" w:eastAsia="Arial" w:hAnsi="Arial"/>
                <w:sz w:val="13"/>
                <w:szCs w:val="13"/>
                <w:color w:val="auto"/>
              </w:rPr>
              <w:t>549</w:t>
            </w:r>
          </w:p>
        </w:tc>
        <w:tc>
          <w:tcPr>
            <w:tcW w:w="100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320"/>
              <w:spacing w:after="0" w:line="147" w:lineRule="exact"/>
              <w:rPr>
                <w:sz w:val="20"/>
                <w:szCs w:val="20"/>
                <w:color w:val="auto"/>
              </w:rPr>
            </w:pPr>
            <w:r>
              <w:rPr>
                <w:rFonts w:ascii="Arial" w:cs="Arial" w:eastAsia="Arial" w:hAnsi="Arial"/>
                <w:sz w:val="13"/>
                <w:szCs w:val="13"/>
                <w:color w:val="auto"/>
              </w:rPr>
              <w:t>611</w:t>
            </w: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380</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427</w:t>
            </w:r>
          </w:p>
        </w:tc>
        <w:tc>
          <w:tcPr>
            <w:tcW w:w="0" w:type="dxa"/>
            <w:vAlign w:val="bottom"/>
          </w:tcPr>
          <w:p>
            <w:pPr>
              <w:spacing w:after="0"/>
              <w:rPr>
                <w:sz w:val="1"/>
                <w:szCs w:val="1"/>
                <w:color w:val="auto"/>
              </w:rPr>
            </w:pPr>
          </w:p>
        </w:tc>
      </w:tr>
      <w:tr>
        <w:trPr>
          <w:trHeight w:val="147"/>
        </w:trPr>
        <w:tc>
          <w:tcPr>
            <w:tcW w:w="4520" w:type="dxa"/>
            <w:vAlign w:val="bottom"/>
          </w:tcPr>
          <w:p>
            <w:pPr>
              <w:spacing w:after="0" w:line="147" w:lineRule="exact"/>
              <w:rPr>
                <w:sz w:val="20"/>
                <w:szCs w:val="20"/>
                <w:color w:val="auto"/>
              </w:rPr>
            </w:pPr>
            <w:r>
              <w:rPr>
                <w:rFonts w:ascii="Arial" w:cs="Arial" w:eastAsia="Arial" w:hAnsi="Arial"/>
                <w:sz w:val="13"/>
                <w:szCs w:val="13"/>
                <w:color w:val="auto"/>
              </w:rPr>
              <w:t>Impact of if-converted dilutive securities</w:t>
            </w:r>
          </w:p>
        </w:tc>
        <w:tc>
          <w:tcPr>
            <w:tcW w:w="960" w:type="dxa"/>
            <w:vAlign w:val="bottom"/>
          </w:tcPr>
          <w:p>
            <w:pPr>
              <w:spacing w:after="0"/>
              <w:rPr>
                <w:sz w:val="12"/>
                <w:szCs w:val="12"/>
                <w:color w:val="auto"/>
              </w:rPr>
            </w:pPr>
          </w:p>
        </w:tc>
        <w:tc>
          <w:tcPr>
            <w:tcW w:w="760" w:type="dxa"/>
            <w:vAlign w:val="bottom"/>
            <w:gridSpan w:val="2"/>
          </w:tcPr>
          <w:p>
            <w:pPr>
              <w:jc w:val="right"/>
              <w:ind w:right="220"/>
              <w:spacing w:after="0" w:line="147" w:lineRule="exact"/>
              <w:rPr>
                <w:sz w:val="20"/>
                <w:szCs w:val="20"/>
                <w:color w:val="auto"/>
              </w:rPr>
            </w:pPr>
            <w:r>
              <w:rPr>
                <w:rFonts w:ascii="Arial" w:cs="Arial" w:eastAsia="Arial" w:hAnsi="Arial"/>
                <w:sz w:val="13"/>
                <w:szCs w:val="13"/>
                <w:color w:val="auto"/>
              </w:rPr>
              <w:t>30,809</w:t>
            </w:r>
          </w:p>
        </w:tc>
        <w:tc>
          <w:tcPr>
            <w:tcW w:w="1000" w:type="dxa"/>
            <w:vAlign w:val="bottom"/>
          </w:tcPr>
          <w:p>
            <w:pPr>
              <w:spacing w:after="0"/>
              <w:rPr>
                <w:sz w:val="12"/>
                <w:szCs w:val="12"/>
                <w:color w:val="auto"/>
              </w:rPr>
            </w:pPr>
          </w:p>
        </w:tc>
        <w:tc>
          <w:tcPr>
            <w:tcW w:w="820" w:type="dxa"/>
            <w:vAlign w:val="bottom"/>
            <w:gridSpan w:val="2"/>
          </w:tcPr>
          <w:p>
            <w:pPr>
              <w:jc w:val="right"/>
              <w:ind w:right="320"/>
              <w:spacing w:after="0" w:line="147" w:lineRule="exact"/>
              <w:rPr>
                <w:sz w:val="20"/>
                <w:szCs w:val="20"/>
                <w:color w:val="auto"/>
              </w:rPr>
            </w:pPr>
            <w:r>
              <w:rPr>
                <w:rFonts w:ascii="Arial" w:cs="Arial" w:eastAsia="Arial" w:hAnsi="Arial"/>
                <w:sz w:val="13"/>
                <w:szCs w:val="13"/>
                <w:color w:val="auto"/>
              </w:rPr>
              <w:t>29,777</w:t>
            </w:r>
          </w:p>
        </w:tc>
        <w:tc>
          <w:tcPr>
            <w:tcW w:w="320" w:type="dxa"/>
            <w:vAlign w:val="bottom"/>
          </w:tcPr>
          <w:p>
            <w:pPr>
              <w:spacing w:after="0"/>
              <w:rPr>
                <w:sz w:val="12"/>
                <w:szCs w:val="12"/>
                <w:color w:val="auto"/>
              </w:rPr>
            </w:pPr>
          </w:p>
        </w:tc>
        <w:tc>
          <w:tcPr>
            <w:tcW w:w="1260" w:type="dxa"/>
            <w:vAlign w:val="bottom"/>
            <w:gridSpan w:val="2"/>
          </w:tcPr>
          <w:p>
            <w:pPr>
              <w:jc w:val="right"/>
              <w:ind w:right="100"/>
              <w:spacing w:after="0" w:line="147" w:lineRule="exact"/>
              <w:rPr>
                <w:sz w:val="20"/>
                <w:szCs w:val="20"/>
                <w:color w:val="auto"/>
              </w:rPr>
            </w:pPr>
            <w:r>
              <w:rPr>
                <w:rFonts w:ascii="Arial" w:cs="Arial" w:eastAsia="Arial" w:hAnsi="Arial"/>
                <w:sz w:val="13"/>
                <w:szCs w:val="13"/>
                <w:color w:val="auto"/>
              </w:rPr>
              <w:t>30,809</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tcPr>
          <w:p>
            <w:pPr>
              <w:jc w:val="right"/>
              <w:spacing w:after="0" w:line="147" w:lineRule="exact"/>
              <w:rPr>
                <w:sz w:val="20"/>
                <w:szCs w:val="20"/>
                <w:color w:val="auto"/>
              </w:rPr>
            </w:pPr>
            <w:r>
              <w:rPr>
                <w:rFonts w:ascii="Arial" w:cs="Arial" w:eastAsia="Arial" w:hAnsi="Arial"/>
                <w:sz w:val="13"/>
                <w:szCs w:val="13"/>
                <w:color w:val="auto"/>
              </w:rPr>
              <w:t>29,777</w:t>
            </w:r>
          </w:p>
        </w:tc>
        <w:tc>
          <w:tcPr>
            <w:tcW w:w="0" w:type="dxa"/>
            <w:vAlign w:val="bottom"/>
          </w:tcPr>
          <w:p>
            <w:pPr>
              <w:spacing w:after="0"/>
              <w:rPr>
                <w:sz w:val="1"/>
                <w:szCs w:val="1"/>
                <w:color w:val="auto"/>
              </w:rPr>
            </w:pPr>
          </w:p>
        </w:tc>
      </w:tr>
      <w:tr>
        <w:trPr>
          <w:trHeight w:val="139"/>
        </w:trPr>
        <w:tc>
          <w:tcPr>
            <w:tcW w:w="4520" w:type="dxa"/>
            <w:vAlign w:val="bottom"/>
            <w:tcBorders>
              <w:top w:val="single" w:sz="8" w:color="CFF0FC"/>
            </w:tcBorders>
            <w:shd w:val="clear" w:color="auto" w:fill="CFF0FC"/>
          </w:tcPr>
          <w:p>
            <w:pPr>
              <w:spacing w:after="0" w:line="139" w:lineRule="exact"/>
              <w:rPr>
                <w:sz w:val="20"/>
                <w:szCs w:val="20"/>
                <w:color w:val="auto"/>
              </w:rPr>
            </w:pPr>
            <w:r>
              <w:rPr>
                <w:rFonts w:ascii="Arial" w:cs="Arial" w:eastAsia="Arial" w:hAnsi="Arial"/>
                <w:sz w:val="13"/>
                <w:szCs w:val="13"/>
                <w:color w:val="auto"/>
              </w:rPr>
              <w:t>Weighted average common shares used to calculate diluted FFO and</w:t>
            </w:r>
          </w:p>
        </w:tc>
        <w:tc>
          <w:tcPr>
            <w:tcW w:w="960" w:type="dxa"/>
            <w:vAlign w:val="bottom"/>
            <w:tcBorders>
              <w:top w:val="single" w:sz="8" w:color="auto"/>
            </w:tcBorders>
            <w:shd w:val="clear" w:color="auto" w:fill="CFF0FC"/>
          </w:tcPr>
          <w:p>
            <w:pPr>
              <w:spacing w:after="0"/>
              <w:rPr>
                <w:sz w:val="12"/>
                <w:szCs w:val="12"/>
                <w:color w:val="auto"/>
              </w:rPr>
            </w:pPr>
          </w:p>
        </w:tc>
        <w:tc>
          <w:tcPr>
            <w:tcW w:w="54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1000" w:type="dxa"/>
            <w:vAlign w:val="bottom"/>
            <w:tcBorders>
              <w:top w:val="single" w:sz="8" w:color="auto"/>
            </w:tcBorders>
            <w:shd w:val="clear" w:color="auto" w:fill="CFF0FC"/>
          </w:tcPr>
          <w:p>
            <w:pPr>
              <w:spacing w:after="0"/>
              <w:rPr>
                <w:sz w:val="12"/>
                <w:szCs w:val="12"/>
                <w:color w:val="auto"/>
              </w:rPr>
            </w:pPr>
          </w:p>
        </w:tc>
        <w:tc>
          <w:tcPr>
            <w:tcW w:w="500" w:type="dxa"/>
            <w:vAlign w:val="bottom"/>
            <w:tcBorders>
              <w:top w:val="single" w:sz="8" w:color="auto"/>
            </w:tcBorders>
            <w:shd w:val="clear" w:color="auto" w:fill="CFF0FC"/>
          </w:tcPr>
          <w:p>
            <w:pPr>
              <w:spacing w:after="0"/>
              <w:rPr>
                <w:sz w:val="12"/>
                <w:szCs w:val="12"/>
                <w:color w:val="auto"/>
              </w:rPr>
            </w:pPr>
          </w:p>
        </w:tc>
        <w:tc>
          <w:tcPr>
            <w:tcW w:w="320" w:type="dxa"/>
            <w:vAlign w:val="bottom"/>
            <w:tcBorders>
              <w:top w:val="single" w:sz="8" w:color="CFF0FC"/>
            </w:tcBorders>
            <w:shd w:val="clear" w:color="auto" w:fill="CFF0FC"/>
          </w:tcPr>
          <w:p>
            <w:pPr>
              <w:spacing w:after="0"/>
              <w:rPr>
                <w:sz w:val="12"/>
                <w:szCs w:val="12"/>
                <w:color w:val="auto"/>
              </w:rPr>
            </w:pPr>
          </w:p>
        </w:tc>
        <w:tc>
          <w:tcPr>
            <w:tcW w:w="320" w:type="dxa"/>
            <w:vAlign w:val="bottom"/>
            <w:tcBorders>
              <w:top w:val="single" w:sz="8" w:color="auto"/>
            </w:tcBorders>
            <w:shd w:val="clear" w:color="auto" w:fill="CFF0FC"/>
          </w:tcPr>
          <w:p>
            <w:pPr>
              <w:spacing w:after="0"/>
              <w:rPr>
                <w:sz w:val="12"/>
                <w:szCs w:val="12"/>
                <w:color w:val="auto"/>
              </w:rPr>
            </w:pPr>
          </w:p>
        </w:tc>
        <w:tc>
          <w:tcPr>
            <w:tcW w:w="1160" w:type="dxa"/>
            <w:vAlign w:val="bottom"/>
            <w:tcBorders>
              <w:top w:val="single" w:sz="8" w:color="auto"/>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340" w:type="dxa"/>
            <w:vAlign w:val="bottom"/>
            <w:tcBorders>
              <w:top w:val="single" w:sz="8" w:color="auto"/>
            </w:tcBorders>
            <w:shd w:val="clear" w:color="auto" w:fill="CFF0FC"/>
          </w:tcPr>
          <w:p>
            <w:pPr>
              <w:spacing w:after="0"/>
              <w:rPr>
                <w:sz w:val="12"/>
                <w:szCs w:val="12"/>
                <w:color w:val="auto"/>
              </w:rPr>
            </w:pPr>
          </w:p>
        </w:tc>
        <w:tc>
          <w:tcPr>
            <w:tcW w:w="1160" w:type="dxa"/>
            <w:vAlign w:val="bottom"/>
            <w:tcBorders>
              <w:top w:val="single" w:sz="8" w:color="auto"/>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spacing w:after="0" w:line="148" w:lineRule="exact"/>
              <w:rPr>
                <w:sz w:val="20"/>
                <w:szCs w:val="20"/>
                <w:color w:val="auto"/>
              </w:rPr>
            </w:pPr>
            <w:r>
              <w:rPr>
                <w:rFonts w:ascii="Arial" w:cs="Arial" w:eastAsia="Arial" w:hAnsi="Arial"/>
                <w:sz w:val="13"/>
                <w:szCs w:val="13"/>
                <w:color w:val="auto"/>
              </w:rPr>
              <w:t xml:space="preserve">AFFO per common share </w:t>
            </w:r>
            <w:r>
              <w:rPr>
                <w:rFonts w:ascii="Arial" w:cs="Arial" w:eastAsia="Arial" w:hAnsi="Arial"/>
                <w:sz w:val="11"/>
                <w:szCs w:val="11"/>
                <w:color w:val="auto"/>
              </w:rPr>
              <w:t>(1)</w:t>
            </w:r>
          </w:p>
        </w:tc>
        <w:tc>
          <w:tcPr>
            <w:tcW w:w="960" w:type="dxa"/>
            <w:vAlign w:val="bottom"/>
            <w:shd w:val="clear" w:color="auto" w:fill="CFF0FC"/>
          </w:tcPr>
          <w:p>
            <w:pPr>
              <w:spacing w:after="0"/>
              <w:rPr>
                <w:sz w:val="12"/>
                <w:szCs w:val="12"/>
                <w:color w:val="auto"/>
              </w:rPr>
            </w:pPr>
          </w:p>
        </w:tc>
        <w:tc>
          <w:tcPr>
            <w:tcW w:w="540" w:type="dxa"/>
            <w:vAlign w:val="bottom"/>
            <w:shd w:val="clear" w:color="auto" w:fill="CFF0FC"/>
          </w:tcPr>
          <w:p>
            <w:pPr>
              <w:jc w:val="right"/>
              <w:spacing w:after="0" w:line="148" w:lineRule="exact"/>
              <w:rPr>
                <w:sz w:val="20"/>
                <w:szCs w:val="20"/>
                <w:color w:val="auto"/>
              </w:rPr>
            </w:pPr>
            <w:r>
              <w:rPr>
                <w:rFonts w:ascii="Arial" w:cs="Arial" w:eastAsia="Arial" w:hAnsi="Arial"/>
                <w:sz w:val="13"/>
                <w:szCs w:val="13"/>
                <w:color w:val="auto"/>
              </w:rPr>
              <w:t>266,077</w:t>
            </w:r>
          </w:p>
        </w:tc>
        <w:tc>
          <w:tcPr>
            <w:tcW w:w="220" w:type="dxa"/>
            <w:vAlign w:val="bottom"/>
            <w:shd w:val="clear" w:color="auto" w:fill="CFF0FC"/>
          </w:tcPr>
          <w:p>
            <w:pPr>
              <w:spacing w:after="0"/>
              <w:rPr>
                <w:sz w:val="12"/>
                <w:szCs w:val="12"/>
                <w:color w:val="auto"/>
              </w:rPr>
            </w:pPr>
          </w:p>
        </w:tc>
        <w:tc>
          <w:tcPr>
            <w:tcW w:w="1000" w:type="dxa"/>
            <w:vAlign w:val="bottom"/>
            <w:shd w:val="clear" w:color="auto" w:fill="CFF0FC"/>
          </w:tcPr>
          <w:p>
            <w:pPr>
              <w:spacing w:after="0"/>
              <w:rPr>
                <w:sz w:val="12"/>
                <w:szCs w:val="12"/>
                <w:color w:val="auto"/>
              </w:rPr>
            </w:pPr>
          </w:p>
        </w:tc>
        <w:tc>
          <w:tcPr>
            <w:tcW w:w="500" w:type="dxa"/>
            <w:vAlign w:val="bottom"/>
            <w:shd w:val="clear" w:color="auto" w:fill="CFF0FC"/>
          </w:tcPr>
          <w:p>
            <w:pPr>
              <w:jc w:val="right"/>
              <w:spacing w:after="0" w:line="148" w:lineRule="exact"/>
              <w:rPr>
                <w:sz w:val="20"/>
                <w:szCs w:val="20"/>
                <w:color w:val="auto"/>
              </w:rPr>
            </w:pPr>
            <w:r>
              <w:rPr>
                <w:rFonts w:ascii="Arial" w:cs="Arial" w:eastAsia="Arial" w:hAnsi="Arial"/>
                <w:sz w:val="13"/>
                <w:szCs w:val="13"/>
                <w:color w:val="auto"/>
              </w:rPr>
              <w:t>261,650</w:t>
            </w:r>
          </w:p>
        </w:tc>
        <w:tc>
          <w:tcPr>
            <w:tcW w:w="320" w:type="dxa"/>
            <w:vAlign w:val="bottom"/>
            <w:shd w:val="clear" w:color="auto" w:fill="CFF0FC"/>
          </w:tcPr>
          <w:p>
            <w:pPr>
              <w:spacing w:after="0"/>
              <w:rPr>
                <w:sz w:val="12"/>
                <w:szCs w:val="12"/>
                <w:color w:val="auto"/>
              </w:rPr>
            </w:pPr>
          </w:p>
        </w:tc>
        <w:tc>
          <w:tcPr>
            <w:tcW w:w="320" w:type="dxa"/>
            <w:vAlign w:val="bottom"/>
            <w:shd w:val="clear" w:color="auto" w:fill="CFF0FC"/>
          </w:tcPr>
          <w:p>
            <w:pPr>
              <w:spacing w:after="0"/>
              <w:rPr>
                <w:sz w:val="12"/>
                <w:szCs w:val="12"/>
                <w:color w:val="auto"/>
              </w:rPr>
            </w:pPr>
          </w:p>
        </w:tc>
        <w:tc>
          <w:tcPr>
            <w:tcW w:w="1260" w:type="dxa"/>
            <w:vAlign w:val="bottom"/>
            <w:gridSpan w:val="2"/>
            <w:shd w:val="clear" w:color="auto" w:fill="CFF0FC"/>
          </w:tcPr>
          <w:p>
            <w:pPr>
              <w:jc w:val="right"/>
              <w:ind w:right="100"/>
              <w:spacing w:after="0" w:line="148" w:lineRule="exact"/>
              <w:rPr>
                <w:sz w:val="20"/>
                <w:szCs w:val="20"/>
                <w:color w:val="auto"/>
              </w:rPr>
            </w:pPr>
            <w:r>
              <w:rPr>
                <w:rFonts w:ascii="Arial" w:cs="Arial" w:eastAsia="Arial" w:hAnsi="Arial"/>
                <w:sz w:val="13"/>
                <w:szCs w:val="13"/>
                <w:color w:val="auto"/>
              </w:rPr>
              <w:t>264,077</w:t>
            </w:r>
          </w:p>
        </w:tc>
        <w:tc>
          <w:tcPr>
            <w:tcW w:w="1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160" w:type="dxa"/>
            <w:vAlign w:val="bottom"/>
            <w:shd w:val="clear" w:color="auto" w:fill="CFF0FC"/>
          </w:tcPr>
          <w:p>
            <w:pPr>
              <w:jc w:val="right"/>
              <w:spacing w:after="0" w:line="148" w:lineRule="exact"/>
              <w:rPr>
                <w:sz w:val="20"/>
                <w:szCs w:val="20"/>
                <w:color w:val="auto"/>
              </w:rPr>
            </w:pPr>
            <w:r>
              <w:rPr>
                <w:rFonts w:ascii="Arial" w:cs="Arial" w:eastAsia="Arial" w:hAnsi="Arial"/>
                <w:sz w:val="13"/>
                <w:szCs w:val="13"/>
                <w:color w:val="auto"/>
              </w:rPr>
              <w:t>233,804</w:t>
            </w:r>
          </w:p>
        </w:tc>
        <w:tc>
          <w:tcPr>
            <w:tcW w:w="0" w:type="dxa"/>
            <w:vAlign w:val="bottom"/>
          </w:tcPr>
          <w:p>
            <w:pPr>
              <w:spacing w:after="0"/>
              <w:rPr>
                <w:sz w:val="1"/>
                <w:szCs w:val="1"/>
                <w:color w:val="auto"/>
              </w:rPr>
            </w:pPr>
          </w:p>
        </w:tc>
      </w:tr>
      <w:tr>
        <w:trPr>
          <w:trHeight w:val="20"/>
        </w:trPr>
        <w:tc>
          <w:tcPr>
            <w:tcW w:w="452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3"/>
                <w:szCs w:val="13"/>
                <w:b w:val="1"/>
                <w:bCs w:val="1"/>
                <w:color w:val="auto"/>
              </w:rPr>
              <w:t>Per diluted common share:</w:t>
            </w:r>
          </w:p>
        </w:tc>
        <w:tc>
          <w:tcPr>
            <w:tcW w:w="9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4"/>
        </w:trPr>
        <w:tc>
          <w:tcPr>
            <w:tcW w:w="4520" w:type="dxa"/>
            <w:vAlign w:val="bottom"/>
            <w:vMerge w:val="continue"/>
          </w:tcPr>
          <w:p>
            <w:pPr>
              <w:spacing w:after="0"/>
              <w:rPr>
                <w:sz w:val="23"/>
                <w:szCs w:val="23"/>
                <w:color w:val="auto"/>
              </w:rPr>
            </w:pPr>
          </w:p>
        </w:tc>
        <w:tc>
          <w:tcPr>
            <w:tcW w:w="9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EPS</w:t>
            </w:r>
          </w:p>
        </w:tc>
        <w:tc>
          <w:tcPr>
            <w:tcW w:w="960" w:type="dxa"/>
            <w:vAlign w:val="bottom"/>
            <w:shd w:val="clear" w:color="auto" w:fill="CFF0FC"/>
          </w:tcPr>
          <w:p>
            <w:pPr>
              <w:jc w:val="right"/>
              <w:ind w:right="813"/>
              <w:spacing w:after="0" w:line="147"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FF0FC"/>
          </w:tcPr>
          <w:p>
            <w:pPr>
              <w:jc w:val="right"/>
              <w:ind w:right="220"/>
              <w:spacing w:after="0" w:line="147" w:lineRule="exact"/>
              <w:rPr>
                <w:sz w:val="20"/>
                <w:szCs w:val="20"/>
                <w:color w:val="auto"/>
              </w:rPr>
            </w:pPr>
            <w:r>
              <w:rPr>
                <w:rFonts w:ascii="Arial" w:cs="Arial" w:eastAsia="Arial" w:hAnsi="Arial"/>
                <w:sz w:val="13"/>
                <w:szCs w:val="13"/>
                <w:color w:val="auto"/>
              </w:rPr>
              <w:t>0.15</w:t>
            </w:r>
          </w:p>
        </w:tc>
        <w:tc>
          <w:tcPr>
            <w:tcW w:w="1000" w:type="dxa"/>
            <w:vAlign w:val="bottom"/>
            <w:shd w:val="clear" w:color="auto" w:fill="CFF0FC"/>
          </w:tcPr>
          <w:p>
            <w:pPr>
              <w:jc w:val="right"/>
              <w:ind w:right="853"/>
              <w:spacing w:after="0" w:line="147" w:lineRule="exact"/>
              <w:rPr>
                <w:sz w:val="20"/>
                <w:szCs w:val="20"/>
                <w:color w:val="auto"/>
              </w:rPr>
            </w:pPr>
            <w:r>
              <w:rPr>
                <w:rFonts w:ascii="Arial" w:cs="Arial" w:eastAsia="Arial" w:hAnsi="Arial"/>
                <w:sz w:val="13"/>
                <w:szCs w:val="13"/>
                <w:color w:val="auto"/>
                <w:w w:val="82"/>
              </w:rPr>
              <w:t>$</w:t>
            </w:r>
          </w:p>
        </w:tc>
        <w:tc>
          <w:tcPr>
            <w:tcW w:w="820" w:type="dxa"/>
            <w:vAlign w:val="bottom"/>
            <w:gridSpan w:val="2"/>
            <w:shd w:val="clear" w:color="auto" w:fill="CFF0FC"/>
          </w:tcPr>
          <w:p>
            <w:pPr>
              <w:jc w:val="right"/>
              <w:ind w:right="320"/>
              <w:spacing w:after="0" w:line="147" w:lineRule="exact"/>
              <w:rPr>
                <w:sz w:val="20"/>
                <w:szCs w:val="20"/>
                <w:color w:val="auto"/>
              </w:rPr>
            </w:pPr>
            <w:r>
              <w:rPr>
                <w:rFonts w:ascii="Arial" w:cs="Arial" w:eastAsia="Arial" w:hAnsi="Arial"/>
                <w:sz w:val="13"/>
                <w:szCs w:val="13"/>
                <w:color w:val="auto"/>
              </w:rPr>
              <w:t>(0.20)</w:t>
            </w:r>
          </w:p>
        </w:tc>
        <w:tc>
          <w:tcPr>
            <w:tcW w:w="320" w:type="dxa"/>
            <w:vAlign w:val="bottom"/>
            <w:shd w:val="clear" w:color="auto" w:fill="CFF0FC"/>
          </w:tcPr>
          <w:p>
            <w:pPr>
              <w:jc w:val="right"/>
              <w:ind w:right="210"/>
              <w:spacing w:after="0"/>
              <w:rPr>
                <w:sz w:val="20"/>
                <w:szCs w:val="20"/>
                <w:color w:val="auto"/>
              </w:rPr>
            </w:pPr>
            <w:r>
              <w:rPr>
                <w:rFonts w:ascii="Arial" w:cs="Arial" w:eastAsia="Arial" w:hAnsi="Arial"/>
                <w:sz w:val="10"/>
                <w:szCs w:val="10"/>
                <w:color w:val="auto"/>
                <w:w w:val="71"/>
              </w:rPr>
              <w:t>$</w:t>
            </w: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0.51</w:t>
            </w:r>
          </w:p>
        </w:tc>
        <w:tc>
          <w:tcPr>
            <w:tcW w:w="440" w:type="dxa"/>
            <w:vAlign w:val="bottom"/>
            <w:gridSpan w:val="2"/>
            <w:shd w:val="clear" w:color="auto" w:fill="CFF0FC"/>
          </w:tcPr>
          <w:p>
            <w:pPr>
              <w:jc w:val="right"/>
              <w:ind w:right="193"/>
              <w:spacing w:after="0" w:line="147" w:lineRule="exact"/>
              <w:rPr>
                <w:sz w:val="20"/>
                <w:szCs w:val="20"/>
                <w:color w:val="auto"/>
              </w:rPr>
            </w:pPr>
            <w:r>
              <w:rPr>
                <w:rFonts w:ascii="Arial" w:cs="Arial" w:eastAsia="Arial" w:hAnsi="Arial"/>
                <w:sz w:val="13"/>
                <w:szCs w:val="13"/>
                <w:color w:val="auto"/>
              </w:rPr>
              <w:t>$</w:t>
            </w: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(3.47)</w:t>
            </w:r>
          </w:p>
        </w:tc>
        <w:tc>
          <w:tcPr>
            <w:tcW w:w="0" w:type="dxa"/>
            <w:vAlign w:val="bottom"/>
          </w:tcPr>
          <w:p>
            <w:pPr>
              <w:spacing w:after="0"/>
              <w:rPr>
                <w:sz w:val="1"/>
                <w:szCs w:val="1"/>
                <w:color w:val="auto"/>
              </w:rPr>
            </w:pPr>
          </w:p>
        </w:tc>
      </w:tr>
      <w:tr>
        <w:trPr>
          <w:trHeight w:val="160"/>
        </w:trPr>
        <w:tc>
          <w:tcPr>
            <w:tcW w:w="4520" w:type="dxa"/>
            <w:vAlign w:val="bottom"/>
          </w:tcPr>
          <w:p>
            <w:pPr>
              <w:ind w:left="120"/>
              <w:spacing w:after="0"/>
              <w:rPr>
                <w:sz w:val="20"/>
                <w:szCs w:val="20"/>
                <w:color w:val="auto"/>
              </w:rPr>
            </w:pPr>
            <w:r>
              <w:rPr>
                <w:rFonts w:ascii="Arial" w:cs="Arial" w:eastAsia="Arial" w:hAnsi="Arial"/>
                <w:sz w:val="13"/>
                <w:szCs w:val="13"/>
                <w:color w:val="auto"/>
              </w:rPr>
              <w:t>FFO</w:t>
            </w:r>
          </w:p>
        </w:tc>
        <w:tc>
          <w:tcPr>
            <w:tcW w:w="960" w:type="dxa"/>
            <w:vAlign w:val="bottom"/>
          </w:tcPr>
          <w:p>
            <w:pPr>
              <w:jc w:val="right"/>
              <w:ind w:right="813"/>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220"/>
              <w:spacing w:after="0"/>
              <w:rPr>
                <w:sz w:val="20"/>
                <w:szCs w:val="20"/>
                <w:color w:val="auto"/>
              </w:rPr>
            </w:pPr>
            <w:r>
              <w:rPr>
                <w:rFonts w:ascii="Arial" w:cs="Arial" w:eastAsia="Arial" w:hAnsi="Arial"/>
                <w:sz w:val="13"/>
                <w:szCs w:val="13"/>
                <w:color w:val="auto"/>
              </w:rPr>
              <w:t>0.34</w:t>
            </w:r>
          </w:p>
        </w:tc>
        <w:tc>
          <w:tcPr>
            <w:tcW w:w="1000" w:type="dxa"/>
            <w:vAlign w:val="bottom"/>
          </w:tcPr>
          <w:p>
            <w:pPr>
              <w:jc w:val="right"/>
              <w:ind w:right="853"/>
              <w:spacing w:after="0"/>
              <w:rPr>
                <w:sz w:val="20"/>
                <w:szCs w:val="20"/>
                <w:color w:val="auto"/>
              </w:rPr>
            </w:pPr>
            <w:r>
              <w:rPr>
                <w:rFonts w:ascii="Arial" w:cs="Arial" w:eastAsia="Arial" w:hAnsi="Arial"/>
                <w:sz w:val="13"/>
                <w:szCs w:val="13"/>
                <w:color w:val="auto"/>
                <w:w w:val="82"/>
              </w:rPr>
              <w:t>$</w:t>
            </w:r>
          </w:p>
        </w:tc>
        <w:tc>
          <w:tcPr>
            <w:tcW w:w="820" w:type="dxa"/>
            <w:vAlign w:val="bottom"/>
            <w:gridSpan w:val="2"/>
          </w:tcPr>
          <w:p>
            <w:pPr>
              <w:jc w:val="right"/>
              <w:ind w:right="320"/>
              <w:spacing w:after="0"/>
              <w:rPr>
                <w:sz w:val="20"/>
                <w:szCs w:val="20"/>
                <w:color w:val="auto"/>
              </w:rPr>
            </w:pPr>
            <w:r>
              <w:rPr>
                <w:rFonts w:ascii="Arial" w:cs="Arial" w:eastAsia="Arial" w:hAnsi="Arial"/>
                <w:sz w:val="13"/>
                <w:szCs w:val="13"/>
                <w:color w:val="auto"/>
              </w:rPr>
              <w:t>0.06</w:t>
            </w:r>
          </w:p>
        </w:tc>
        <w:tc>
          <w:tcPr>
            <w:tcW w:w="320" w:type="dxa"/>
            <w:vAlign w:val="bottom"/>
          </w:tcPr>
          <w:p>
            <w:pPr>
              <w:jc w:val="right"/>
              <w:ind w:right="210"/>
              <w:spacing w:after="0"/>
              <w:rPr>
                <w:sz w:val="20"/>
                <w:szCs w:val="20"/>
                <w:color w:val="auto"/>
              </w:rPr>
            </w:pPr>
            <w:r>
              <w:rPr>
                <w:rFonts w:ascii="Arial" w:cs="Arial" w:eastAsia="Arial" w:hAnsi="Arial"/>
                <w:sz w:val="10"/>
                <w:szCs w:val="10"/>
                <w:color w:val="auto"/>
                <w:w w:val="71"/>
              </w:rPr>
              <w:t>$</w:t>
            </w:r>
          </w:p>
        </w:tc>
        <w:tc>
          <w:tcPr>
            <w:tcW w:w="1260" w:type="dxa"/>
            <w:vAlign w:val="bottom"/>
            <w:gridSpan w:val="2"/>
          </w:tcPr>
          <w:p>
            <w:pPr>
              <w:jc w:val="right"/>
              <w:ind w:right="100"/>
              <w:spacing w:after="0"/>
              <w:rPr>
                <w:sz w:val="20"/>
                <w:szCs w:val="20"/>
                <w:color w:val="auto"/>
              </w:rPr>
            </w:pPr>
            <w:r>
              <w:rPr>
                <w:rFonts w:ascii="Arial" w:cs="Arial" w:eastAsia="Arial" w:hAnsi="Arial"/>
                <w:sz w:val="13"/>
                <w:szCs w:val="13"/>
                <w:color w:val="auto"/>
              </w:rPr>
              <w:t>1.31</w:t>
            </w:r>
          </w:p>
        </w:tc>
        <w:tc>
          <w:tcPr>
            <w:tcW w:w="440" w:type="dxa"/>
            <w:vAlign w:val="bottom"/>
            <w:gridSpan w:val="2"/>
          </w:tcPr>
          <w:p>
            <w:pPr>
              <w:jc w:val="right"/>
              <w:ind w:right="193"/>
              <w:spacing w:after="0"/>
              <w:rPr>
                <w:sz w:val="20"/>
                <w:szCs w:val="20"/>
                <w:color w:val="auto"/>
              </w:rPr>
            </w:pPr>
            <w:r>
              <w:rPr>
                <w:rFonts w:ascii="Arial" w:cs="Arial" w:eastAsia="Arial" w:hAnsi="Arial"/>
                <w:sz w:val="13"/>
                <w:szCs w:val="13"/>
                <w:color w:val="auto"/>
              </w:rPr>
              <w:t>$</w:t>
            </w:r>
          </w:p>
        </w:tc>
        <w:tc>
          <w:tcPr>
            <w:tcW w:w="1160" w:type="dxa"/>
            <w:vAlign w:val="bottom"/>
          </w:tcPr>
          <w:p>
            <w:pPr>
              <w:jc w:val="right"/>
              <w:spacing w:after="0"/>
              <w:rPr>
                <w:sz w:val="20"/>
                <w:szCs w:val="20"/>
                <w:color w:val="auto"/>
              </w:rPr>
            </w:pPr>
            <w:r>
              <w:rPr>
                <w:rFonts w:ascii="Arial" w:cs="Arial" w:eastAsia="Arial" w:hAnsi="Arial"/>
                <w:sz w:val="13"/>
                <w:szCs w:val="13"/>
                <w:color w:val="auto"/>
              </w:rPr>
              <w:t>(2.69)</w:t>
            </w:r>
          </w:p>
        </w:tc>
        <w:tc>
          <w:tcPr>
            <w:tcW w:w="0" w:type="dxa"/>
            <w:vAlign w:val="bottom"/>
          </w:tcPr>
          <w:p>
            <w:pPr>
              <w:spacing w:after="0"/>
              <w:rPr>
                <w:sz w:val="1"/>
                <w:szCs w:val="1"/>
                <w:color w:val="auto"/>
              </w:rPr>
            </w:pPr>
          </w:p>
        </w:tc>
      </w:tr>
      <w:tr>
        <w:trPr>
          <w:trHeight w:val="147"/>
        </w:trPr>
        <w:tc>
          <w:tcPr>
            <w:tcW w:w="4520" w:type="dxa"/>
            <w:vAlign w:val="bottom"/>
            <w:shd w:val="clear" w:color="auto" w:fill="CFF0FC"/>
          </w:tcPr>
          <w:p>
            <w:pPr>
              <w:ind w:left="120"/>
              <w:spacing w:after="0" w:line="147" w:lineRule="exact"/>
              <w:rPr>
                <w:sz w:val="20"/>
                <w:szCs w:val="20"/>
                <w:color w:val="auto"/>
              </w:rPr>
            </w:pPr>
            <w:r>
              <w:rPr>
                <w:rFonts w:ascii="Arial" w:cs="Arial" w:eastAsia="Arial" w:hAnsi="Arial"/>
                <w:sz w:val="13"/>
                <w:szCs w:val="13"/>
                <w:color w:val="auto"/>
              </w:rPr>
              <w:t>AFFO</w:t>
            </w:r>
          </w:p>
        </w:tc>
        <w:tc>
          <w:tcPr>
            <w:tcW w:w="960" w:type="dxa"/>
            <w:vAlign w:val="bottom"/>
            <w:shd w:val="clear" w:color="auto" w:fill="CFF0FC"/>
          </w:tcPr>
          <w:p>
            <w:pPr>
              <w:jc w:val="right"/>
              <w:ind w:right="813"/>
              <w:spacing w:after="0" w:line="147"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FF0FC"/>
          </w:tcPr>
          <w:p>
            <w:pPr>
              <w:jc w:val="right"/>
              <w:ind w:right="220"/>
              <w:spacing w:after="0" w:line="147" w:lineRule="exact"/>
              <w:rPr>
                <w:sz w:val="20"/>
                <w:szCs w:val="20"/>
                <w:color w:val="auto"/>
              </w:rPr>
            </w:pPr>
            <w:r>
              <w:rPr>
                <w:rFonts w:ascii="Arial" w:cs="Arial" w:eastAsia="Arial" w:hAnsi="Arial"/>
                <w:sz w:val="13"/>
                <w:szCs w:val="13"/>
                <w:color w:val="auto"/>
              </w:rPr>
              <w:t>0.44</w:t>
            </w:r>
          </w:p>
        </w:tc>
        <w:tc>
          <w:tcPr>
            <w:tcW w:w="1000" w:type="dxa"/>
            <w:vAlign w:val="bottom"/>
            <w:shd w:val="clear" w:color="auto" w:fill="CFF0FC"/>
          </w:tcPr>
          <w:p>
            <w:pPr>
              <w:jc w:val="right"/>
              <w:ind w:right="853"/>
              <w:spacing w:after="0" w:line="147" w:lineRule="exact"/>
              <w:rPr>
                <w:sz w:val="20"/>
                <w:szCs w:val="20"/>
                <w:color w:val="auto"/>
              </w:rPr>
            </w:pPr>
            <w:r>
              <w:rPr>
                <w:rFonts w:ascii="Arial" w:cs="Arial" w:eastAsia="Arial" w:hAnsi="Arial"/>
                <w:sz w:val="13"/>
                <w:szCs w:val="13"/>
                <w:color w:val="auto"/>
                <w:w w:val="82"/>
              </w:rPr>
              <w:t>$</w:t>
            </w:r>
          </w:p>
        </w:tc>
        <w:tc>
          <w:tcPr>
            <w:tcW w:w="820" w:type="dxa"/>
            <w:vAlign w:val="bottom"/>
            <w:gridSpan w:val="2"/>
            <w:shd w:val="clear" w:color="auto" w:fill="CFF0FC"/>
          </w:tcPr>
          <w:p>
            <w:pPr>
              <w:jc w:val="right"/>
              <w:ind w:right="320"/>
              <w:spacing w:after="0" w:line="147" w:lineRule="exact"/>
              <w:rPr>
                <w:sz w:val="20"/>
                <w:szCs w:val="20"/>
                <w:color w:val="auto"/>
              </w:rPr>
            </w:pPr>
            <w:r>
              <w:rPr>
                <w:rFonts w:ascii="Arial" w:cs="Arial" w:eastAsia="Arial" w:hAnsi="Arial"/>
                <w:sz w:val="13"/>
                <w:szCs w:val="13"/>
                <w:color w:val="auto"/>
              </w:rPr>
              <w:t>0.42</w:t>
            </w:r>
          </w:p>
        </w:tc>
        <w:tc>
          <w:tcPr>
            <w:tcW w:w="320" w:type="dxa"/>
            <w:vAlign w:val="bottom"/>
            <w:shd w:val="clear" w:color="auto" w:fill="CFF0FC"/>
          </w:tcPr>
          <w:p>
            <w:pPr>
              <w:jc w:val="right"/>
              <w:ind w:right="210"/>
              <w:spacing w:after="0"/>
              <w:rPr>
                <w:sz w:val="20"/>
                <w:szCs w:val="20"/>
                <w:color w:val="auto"/>
              </w:rPr>
            </w:pPr>
            <w:r>
              <w:rPr>
                <w:rFonts w:ascii="Arial" w:cs="Arial" w:eastAsia="Arial" w:hAnsi="Arial"/>
                <w:sz w:val="10"/>
                <w:szCs w:val="10"/>
                <w:color w:val="auto"/>
                <w:w w:val="71"/>
              </w:rPr>
              <w:t>$</w:t>
            </w:r>
          </w:p>
        </w:tc>
        <w:tc>
          <w:tcPr>
            <w:tcW w:w="1260" w:type="dxa"/>
            <w:vAlign w:val="bottom"/>
            <w:gridSpan w:val="2"/>
            <w:shd w:val="clear" w:color="auto" w:fill="CFF0FC"/>
          </w:tcPr>
          <w:p>
            <w:pPr>
              <w:jc w:val="right"/>
              <w:ind w:right="100"/>
              <w:spacing w:after="0" w:line="147" w:lineRule="exact"/>
              <w:rPr>
                <w:sz w:val="20"/>
                <w:szCs w:val="20"/>
                <w:color w:val="auto"/>
              </w:rPr>
            </w:pPr>
            <w:r>
              <w:rPr>
                <w:rFonts w:ascii="Arial" w:cs="Arial" w:eastAsia="Arial" w:hAnsi="Arial"/>
                <w:sz w:val="13"/>
                <w:szCs w:val="13"/>
                <w:color w:val="auto"/>
              </w:rPr>
              <w:t>1.68</w:t>
            </w:r>
          </w:p>
        </w:tc>
        <w:tc>
          <w:tcPr>
            <w:tcW w:w="440" w:type="dxa"/>
            <w:vAlign w:val="bottom"/>
            <w:gridSpan w:val="2"/>
            <w:shd w:val="clear" w:color="auto" w:fill="CFF0FC"/>
          </w:tcPr>
          <w:p>
            <w:pPr>
              <w:jc w:val="right"/>
              <w:ind w:right="193"/>
              <w:spacing w:after="0" w:line="147" w:lineRule="exact"/>
              <w:rPr>
                <w:sz w:val="20"/>
                <w:szCs w:val="20"/>
                <w:color w:val="auto"/>
              </w:rPr>
            </w:pPr>
            <w:r>
              <w:rPr>
                <w:rFonts w:ascii="Arial" w:cs="Arial" w:eastAsia="Arial" w:hAnsi="Arial"/>
                <w:sz w:val="13"/>
                <w:szCs w:val="13"/>
                <w:color w:val="auto"/>
              </w:rPr>
              <w:t>$</w:t>
            </w:r>
          </w:p>
        </w:tc>
        <w:tc>
          <w:tcPr>
            <w:tcW w:w="1160" w:type="dxa"/>
            <w:vAlign w:val="bottom"/>
            <w:shd w:val="clear" w:color="auto" w:fill="CFF0FC"/>
          </w:tcPr>
          <w:p>
            <w:pPr>
              <w:jc w:val="right"/>
              <w:spacing w:after="0" w:line="147" w:lineRule="exact"/>
              <w:rPr>
                <w:sz w:val="20"/>
                <w:szCs w:val="20"/>
                <w:color w:val="auto"/>
              </w:rPr>
            </w:pPr>
            <w:r>
              <w:rPr>
                <w:rFonts w:ascii="Arial" w:cs="Arial" w:eastAsia="Arial" w:hAnsi="Arial"/>
                <w:sz w:val="13"/>
                <w:szCs w:val="13"/>
                <w:color w:val="auto"/>
              </w:rPr>
              <w:t>1.72</w:t>
            </w:r>
          </w:p>
        </w:tc>
        <w:tc>
          <w:tcPr>
            <w:tcW w:w="0" w:type="dxa"/>
            <w:vAlign w:val="bottom"/>
          </w:tcPr>
          <w:p>
            <w:pPr>
              <w:spacing w:after="0"/>
              <w:rPr>
                <w:sz w:val="1"/>
                <w:szCs w:val="1"/>
                <w:color w:val="auto"/>
              </w:rPr>
            </w:pPr>
          </w:p>
        </w:tc>
      </w:tr>
    </w:tbl>
    <w:p>
      <w:pPr>
        <w:spacing w:after="0" w:line="298" w:lineRule="exact"/>
        <w:rPr>
          <w:sz w:val="20"/>
          <w:szCs w:val="20"/>
          <w:color w:val="auto"/>
        </w:rPr>
      </w:pPr>
    </w:p>
    <w:p>
      <w:pPr>
        <w:ind w:left="780" w:right="180" w:hanging="386"/>
        <w:spacing w:after="0" w:line="253" w:lineRule="auto"/>
        <w:tabs>
          <w:tab w:leader="none" w:pos="780" w:val="left"/>
        </w:tabs>
        <w:numPr>
          <w:ilvl w:val="0"/>
          <w:numId w:val="3"/>
        </w:numPr>
        <w:rPr>
          <w:rFonts w:ascii="Arial" w:cs="Arial" w:eastAsia="Arial" w:hAnsi="Arial"/>
          <w:sz w:val="14"/>
          <w:szCs w:val="14"/>
          <w:color w:val="auto"/>
        </w:rPr>
      </w:pPr>
      <w:r>
        <w:rPr>
          <w:rFonts w:ascii="Arial" w:cs="Arial" w:eastAsia="Arial" w:hAnsi="Arial"/>
          <w:sz w:val="14"/>
          <w:szCs w:val="14"/>
          <w:color w:val="auto"/>
        </w:rPr>
        <w:t>For periods in which FFO or AFFO attributable to common shareholders is a loss, the weighted average common shares used to calculate diluted FFO or AFFO per common share is equal to the weighted average common shares used to calculate basic earnings (loss) per share.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1033" w:right="339" w:bottom="1440" w:gutter="0" w:footer="0" w:header="0"/>
        </w:sectPr>
      </w:pPr>
    </w:p>
    <w:bookmarkStart w:id="11" w:name="page12"/>
    <w:bookmarkEnd w:id="11"/>
    <w:p>
      <w:pPr>
        <w:jc w:val="center"/>
        <w:ind w:right="100"/>
        <w:spacing w:after="0"/>
        <w:rPr>
          <w:sz w:val="20"/>
          <w:szCs w:val="20"/>
          <w:color w:val="auto"/>
        </w:rPr>
      </w:pPr>
      <w:r>
        <w:rPr>
          <w:rFonts w:ascii="Arial" w:cs="Arial" w:eastAsia="Arial" w:hAnsi="Arial"/>
          <w:sz w:val="20"/>
          <w:szCs w:val="20"/>
          <w:b w:val="1"/>
          <w:bCs w:val="1"/>
          <w:color w:val="auto"/>
        </w:rPr>
        <w:t>Uniti Group Inc.</w:t>
      </w:r>
    </w:p>
    <w:p>
      <w:pPr>
        <w:jc w:val="center"/>
        <w:ind w:right="100"/>
        <w:spacing w:after="0" w:line="230" w:lineRule="auto"/>
        <w:rPr>
          <w:sz w:val="20"/>
          <w:szCs w:val="20"/>
          <w:color w:val="auto"/>
        </w:rPr>
      </w:pPr>
      <w:r>
        <w:rPr>
          <w:rFonts w:ascii="Arial" w:cs="Arial" w:eastAsia="Arial" w:hAnsi="Arial"/>
          <w:sz w:val="20"/>
          <w:szCs w:val="20"/>
          <w:b w:val="1"/>
          <w:bCs w:val="1"/>
          <w:color w:val="auto"/>
        </w:rPr>
        <w:t>Reconciliation of EBITDA and Adjusted EBITDA</w:t>
      </w:r>
    </w:p>
    <w:p>
      <w:pPr>
        <w:spacing w:after="0" w:line="1" w:lineRule="exact"/>
        <w:rPr>
          <w:sz w:val="20"/>
          <w:szCs w:val="20"/>
          <w:color w:val="auto"/>
        </w:rPr>
      </w:pPr>
    </w:p>
    <w:p>
      <w:pPr>
        <w:jc w:val="center"/>
        <w:ind w:right="100"/>
        <w:spacing w:after="0"/>
        <w:rPr>
          <w:sz w:val="20"/>
          <w:szCs w:val="20"/>
          <w:color w:val="auto"/>
        </w:rPr>
      </w:pPr>
      <w:r>
        <w:rPr>
          <w:rFonts w:ascii="Arial" w:cs="Arial" w:eastAsia="Arial" w:hAnsi="Arial"/>
          <w:sz w:val="20"/>
          <w:szCs w:val="20"/>
          <w:b w:val="1"/>
          <w:bCs w:val="1"/>
          <w:color w:val="auto"/>
        </w:rPr>
        <w:t>(In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0"/>
        </w:trPr>
        <w:tc>
          <w:tcPr>
            <w:tcW w:w="4100" w:type="dxa"/>
            <w:vAlign w:val="bottom"/>
            <w:tcBorders>
              <w:top w:val="single" w:sz="8" w:color="auto"/>
            </w:tcBorders>
          </w:tcPr>
          <w:p>
            <w:pPr>
              <w:spacing w:after="0"/>
              <w:rPr>
                <w:sz w:val="13"/>
                <w:szCs w:val="13"/>
                <w:color w:val="auto"/>
              </w:rPr>
            </w:pPr>
          </w:p>
        </w:tc>
        <w:tc>
          <w:tcPr>
            <w:tcW w:w="320" w:type="dxa"/>
            <w:vAlign w:val="bottom"/>
            <w:tcBorders>
              <w:top w:val="single" w:sz="8" w:color="auto"/>
            </w:tcBorders>
          </w:tcPr>
          <w:p>
            <w:pPr>
              <w:spacing w:after="0"/>
              <w:rPr>
                <w:sz w:val="13"/>
                <w:szCs w:val="13"/>
                <w:color w:val="auto"/>
              </w:rPr>
            </w:pPr>
          </w:p>
        </w:tc>
        <w:tc>
          <w:tcPr>
            <w:tcW w:w="2020" w:type="dxa"/>
            <w:vAlign w:val="bottom"/>
            <w:tcBorders>
              <w:top w:val="single" w:sz="8" w:color="auto"/>
            </w:tcBorders>
            <w:gridSpan w:val="4"/>
          </w:tcPr>
          <w:p>
            <w:pPr>
              <w:jc w:val="right"/>
              <w:ind w:right="9"/>
              <w:spacing w:after="0"/>
              <w:rPr>
                <w:sz w:val="20"/>
                <w:szCs w:val="20"/>
                <w:color w:val="auto"/>
              </w:rPr>
            </w:pPr>
            <w:r>
              <w:rPr>
                <w:rFonts w:ascii="Arial" w:cs="Arial" w:eastAsia="Arial" w:hAnsi="Arial"/>
                <w:sz w:val="14"/>
                <w:szCs w:val="14"/>
                <w:b w:val="1"/>
                <w:bCs w:val="1"/>
                <w:color w:val="auto"/>
              </w:rPr>
              <w:t>Three Months Ended</w:t>
            </w:r>
          </w:p>
        </w:tc>
        <w:tc>
          <w:tcPr>
            <w:tcW w:w="760" w:type="dxa"/>
            <w:vAlign w:val="bottom"/>
            <w:tcBorders>
              <w:top w:val="single" w:sz="8" w:color="auto"/>
            </w:tcBorders>
          </w:tcPr>
          <w:p>
            <w:pPr>
              <w:spacing w:after="0"/>
              <w:rPr>
                <w:sz w:val="13"/>
                <w:szCs w:val="13"/>
                <w:color w:val="auto"/>
              </w:rPr>
            </w:pPr>
          </w:p>
        </w:tc>
        <w:tc>
          <w:tcPr>
            <w:tcW w:w="30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tcPr>
          <w:p>
            <w:pPr>
              <w:spacing w:after="0"/>
              <w:rPr>
                <w:sz w:val="13"/>
                <w:szCs w:val="13"/>
                <w:color w:val="auto"/>
              </w:rPr>
            </w:pPr>
          </w:p>
        </w:tc>
        <w:tc>
          <w:tcPr>
            <w:tcW w:w="1860" w:type="dxa"/>
            <w:vAlign w:val="bottom"/>
            <w:tcBorders>
              <w:top w:val="single" w:sz="8" w:color="auto"/>
            </w:tcBorders>
            <w:gridSpan w:val="2"/>
          </w:tcPr>
          <w:p>
            <w:pPr>
              <w:jc w:val="right"/>
              <w:ind w:right="40"/>
              <w:spacing w:after="0"/>
              <w:rPr>
                <w:sz w:val="20"/>
                <w:szCs w:val="20"/>
                <w:color w:val="auto"/>
              </w:rPr>
            </w:pPr>
            <w:r>
              <w:rPr>
                <w:rFonts w:ascii="Arial" w:cs="Arial" w:eastAsia="Arial" w:hAnsi="Arial"/>
                <w:sz w:val="14"/>
                <w:szCs w:val="14"/>
                <w:b w:val="1"/>
                <w:bCs w:val="1"/>
                <w:color w:val="auto"/>
              </w:rPr>
              <w:t>Year Ended</w:t>
            </w:r>
          </w:p>
        </w:tc>
        <w:tc>
          <w:tcPr>
            <w:tcW w:w="520" w:type="dxa"/>
            <w:vAlign w:val="bottom"/>
            <w:tcBorders>
              <w:top w:val="single" w:sz="8" w:color="auto"/>
            </w:tcBorders>
          </w:tcPr>
          <w:p>
            <w:pPr>
              <w:spacing w:after="0"/>
              <w:rPr>
                <w:sz w:val="13"/>
                <w:szCs w:val="13"/>
                <w:color w:val="auto"/>
              </w:rPr>
            </w:pPr>
          </w:p>
        </w:tc>
        <w:tc>
          <w:tcPr>
            <w:tcW w:w="90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410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020" w:type="dxa"/>
            <w:vAlign w:val="bottom"/>
            <w:tcBorders>
              <w:bottom w:val="single" w:sz="8" w:color="auto"/>
            </w:tcBorders>
            <w:gridSpan w:val="4"/>
          </w:tcPr>
          <w:p>
            <w:pPr>
              <w:jc w:val="right"/>
              <w:ind w:right="249"/>
              <w:spacing w:after="0"/>
              <w:rPr>
                <w:sz w:val="20"/>
                <w:szCs w:val="20"/>
                <w:color w:val="auto"/>
              </w:rPr>
            </w:pPr>
            <w:r>
              <w:rPr>
                <w:rFonts w:ascii="Arial" w:cs="Arial" w:eastAsia="Arial" w:hAnsi="Arial"/>
                <w:sz w:val="14"/>
                <w:szCs w:val="14"/>
                <w:b w:val="1"/>
                <w:bCs w:val="1"/>
                <w:color w:val="auto"/>
              </w:rPr>
              <w:t>December 31,</w:t>
            </w:r>
          </w:p>
        </w:tc>
        <w:tc>
          <w:tcPr>
            <w:tcW w:w="760" w:type="dxa"/>
            <w:vAlign w:val="bottom"/>
            <w:tcBorders>
              <w:bottom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2380" w:type="dxa"/>
            <w:vAlign w:val="bottom"/>
            <w:tcBorders>
              <w:bottom w:val="single" w:sz="8" w:color="auto"/>
            </w:tcBorders>
            <w:gridSpan w:val="3"/>
          </w:tcPr>
          <w:p>
            <w:pPr>
              <w:jc w:val="right"/>
              <w:ind w:right="409"/>
              <w:spacing w:after="0"/>
              <w:rPr>
                <w:sz w:val="20"/>
                <w:szCs w:val="20"/>
                <w:color w:val="auto"/>
              </w:rPr>
            </w:pPr>
            <w:r>
              <w:rPr>
                <w:rFonts w:ascii="Arial" w:cs="Arial" w:eastAsia="Arial" w:hAnsi="Arial"/>
                <w:sz w:val="14"/>
                <w:szCs w:val="14"/>
                <w:b w:val="1"/>
                <w:bCs w:val="1"/>
                <w:color w:val="auto"/>
              </w:rPr>
              <w:t>December 31,</w:t>
            </w:r>
          </w:p>
        </w:tc>
        <w:tc>
          <w:tcPr>
            <w:tcW w:w="9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4100" w:type="dxa"/>
            <w:vAlign w:val="bottom"/>
            <w:tcBorders>
              <w:bottom w:val="single" w:sz="8" w:color="CFF0FC"/>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289"/>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bottom w:val="single" w:sz="8" w:color="CFF0FC"/>
            </w:tcBorders>
          </w:tcPr>
          <w:p>
            <w:pPr>
              <w:spacing w:after="0"/>
              <w:rPr>
                <w:sz w:val="15"/>
                <w:szCs w:val="15"/>
                <w:color w:val="auto"/>
              </w:rPr>
            </w:pPr>
          </w:p>
        </w:tc>
        <w:tc>
          <w:tcPr>
            <w:tcW w:w="60" w:type="dxa"/>
            <w:vAlign w:val="bottom"/>
            <w:tcBorders>
              <w:bottom w:val="single" w:sz="8" w:color="CFF0FC"/>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309"/>
              <w:spacing w:after="0"/>
              <w:rPr>
                <w:sz w:val="20"/>
                <w:szCs w:val="20"/>
                <w:color w:val="auto"/>
              </w:rPr>
            </w:pPr>
            <w:r>
              <w:rPr>
                <w:rFonts w:ascii="Arial" w:cs="Arial" w:eastAsia="Arial" w:hAnsi="Arial"/>
                <w:sz w:val="14"/>
                <w:szCs w:val="14"/>
                <w:b w:val="1"/>
                <w:bCs w:val="1"/>
                <w:color w:val="auto"/>
              </w:rPr>
              <w:t>2020</w:t>
            </w:r>
          </w:p>
        </w:tc>
        <w:tc>
          <w:tcPr>
            <w:tcW w:w="300" w:type="dxa"/>
            <w:vAlign w:val="bottom"/>
            <w:tcBorders>
              <w:bottom w:val="single" w:sz="8" w:color="CFF0FC"/>
            </w:tcBorders>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ind w:right="289"/>
              <w:spacing w:after="0"/>
              <w:rPr>
                <w:sz w:val="20"/>
                <w:szCs w:val="20"/>
                <w:color w:val="auto"/>
              </w:rPr>
            </w:pPr>
            <w:r>
              <w:rPr>
                <w:rFonts w:ascii="Arial" w:cs="Arial" w:eastAsia="Arial" w:hAnsi="Arial"/>
                <w:sz w:val="14"/>
                <w:szCs w:val="14"/>
                <w:b w:val="1"/>
                <w:bCs w:val="1"/>
                <w:color w:val="auto"/>
              </w:rPr>
              <w:t>2021</w:t>
            </w:r>
          </w:p>
        </w:tc>
        <w:tc>
          <w:tcPr>
            <w:tcW w:w="680" w:type="dxa"/>
            <w:vAlign w:val="bottom"/>
            <w:tcBorders>
              <w:bottom w:val="single" w:sz="8" w:color="CFF0FC"/>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314"/>
        </w:trPr>
        <w:tc>
          <w:tcPr>
            <w:tcW w:w="4100" w:type="dxa"/>
            <w:vAlign w:val="bottom"/>
            <w:shd w:val="clear" w:color="auto" w:fill="CFF0FC"/>
          </w:tcPr>
          <w:p>
            <w:pPr>
              <w:spacing w:after="0"/>
              <w:rPr>
                <w:sz w:val="20"/>
                <w:szCs w:val="20"/>
                <w:color w:val="auto"/>
              </w:rPr>
            </w:pPr>
            <w:r>
              <w:rPr>
                <w:rFonts w:ascii="Arial" w:cs="Arial" w:eastAsia="Arial" w:hAnsi="Arial"/>
                <w:sz w:val="14"/>
                <w:szCs w:val="14"/>
                <w:b w:val="1"/>
                <w:bCs w:val="1"/>
                <w:color w:val="auto"/>
              </w:rPr>
              <w:t>Net income (loss)</w:t>
            </w:r>
          </w:p>
        </w:tc>
        <w:tc>
          <w:tcPr>
            <w:tcW w:w="320" w:type="dxa"/>
            <w:vAlign w:val="bottom"/>
            <w:shd w:val="clear" w:color="auto" w:fill="CFF0FC"/>
          </w:tcPr>
          <w:p>
            <w:pPr>
              <w:jc w:val="right"/>
              <w:ind w:right="169"/>
              <w:spacing w:after="0"/>
              <w:rPr>
                <w:sz w:val="20"/>
                <w:szCs w:val="20"/>
                <w:color w:val="auto"/>
              </w:rPr>
            </w:pPr>
            <w:r>
              <w:rPr>
                <w:rFonts w:ascii="Arial" w:cs="Arial" w:eastAsia="Arial" w:hAnsi="Arial"/>
                <w:sz w:val="14"/>
                <w:szCs w:val="14"/>
                <w:color w:val="auto"/>
                <w:w w:val="76"/>
              </w:rPr>
              <w:t>$</w:t>
            </w: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35.926</w:t>
            </w:r>
          </w:p>
        </w:tc>
        <w:tc>
          <w:tcPr>
            <w:tcW w:w="1040" w:type="dxa"/>
            <w:vAlign w:val="bottom"/>
            <w:gridSpan w:val="2"/>
            <w:shd w:val="clear" w:color="auto" w:fill="CFF0FC"/>
          </w:tcPr>
          <w:p>
            <w:pPr>
              <w:jc w:val="right"/>
              <w:ind w:right="829"/>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(47,672)</w:t>
            </w:r>
          </w:p>
        </w:tc>
        <w:tc>
          <w:tcPr>
            <w:tcW w:w="300" w:type="dxa"/>
            <w:vAlign w:val="bottom"/>
            <w:shd w:val="clear" w:color="auto" w:fill="CFF0FC"/>
          </w:tcPr>
          <w:p>
            <w:pPr>
              <w:spacing w:after="0"/>
              <w:rPr>
                <w:sz w:val="24"/>
                <w:szCs w:val="24"/>
                <w:color w:val="auto"/>
              </w:rPr>
            </w:pPr>
          </w:p>
        </w:tc>
        <w:tc>
          <w:tcPr>
            <w:tcW w:w="560" w:type="dxa"/>
            <w:vAlign w:val="bottom"/>
            <w:shd w:val="clear" w:color="auto" w:fill="CFF0FC"/>
          </w:tcPr>
          <w:p>
            <w:pPr>
              <w:jc w:val="right"/>
              <w:ind w:right="409"/>
              <w:spacing w:after="0"/>
              <w:rPr>
                <w:sz w:val="20"/>
                <w:szCs w:val="20"/>
                <w:color w:val="auto"/>
              </w:rPr>
            </w:pPr>
            <w:r>
              <w:rPr>
                <w:rFonts w:ascii="Arial" w:cs="Arial" w:eastAsia="Arial" w:hAnsi="Arial"/>
                <w:sz w:val="14"/>
                <w:szCs w:val="14"/>
                <w:color w:val="auto"/>
                <w:w w:val="76"/>
              </w:rPr>
              <w:t>$</w:t>
            </w:r>
          </w:p>
        </w:tc>
        <w:tc>
          <w:tcPr>
            <w:tcW w:w="1860" w:type="dxa"/>
            <w:vAlign w:val="bottom"/>
            <w:gridSpan w:val="2"/>
            <w:shd w:val="clear" w:color="auto" w:fill="CFF0FC"/>
          </w:tcPr>
          <w:p>
            <w:pPr>
              <w:jc w:val="right"/>
              <w:ind w:right="680"/>
              <w:spacing w:after="0"/>
              <w:rPr>
                <w:sz w:val="20"/>
                <w:szCs w:val="20"/>
                <w:color w:val="auto"/>
              </w:rPr>
            </w:pPr>
            <w:r>
              <w:rPr>
                <w:rFonts w:ascii="Arial" w:cs="Arial" w:eastAsia="Arial" w:hAnsi="Arial"/>
                <w:sz w:val="14"/>
                <w:szCs w:val="14"/>
                <w:color w:val="auto"/>
              </w:rPr>
              <w:t>124,745</w:t>
            </w:r>
          </w:p>
        </w:tc>
        <w:tc>
          <w:tcPr>
            <w:tcW w:w="520" w:type="dxa"/>
            <w:vAlign w:val="bottom"/>
            <w:shd w:val="clear" w:color="auto" w:fill="CFF0FC"/>
          </w:tcPr>
          <w:p>
            <w:pPr>
              <w:jc w:val="right"/>
              <w:ind w:right="369"/>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(718,81</w:t>
            </w:r>
          </w:p>
        </w:tc>
        <w:tc>
          <w:tcPr>
            <w:tcW w:w="0" w:type="dxa"/>
            <w:vAlign w:val="bottom"/>
          </w:tcPr>
          <w:p>
            <w:pPr>
              <w:spacing w:after="0"/>
              <w:rPr>
                <w:sz w:val="1"/>
                <w:szCs w:val="1"/>
                <w:color w:val="auto"/>
              </w:rPr>
            </w:pPr>
          </w:p>
        </w:tc>
      </w:tr>
      <w:tr>
        <w:trPr>
          <w:trHeight w:val="200"/>
        </w:trPr>
        <w:tc>
          <w:tcPr>
            <w:tcW w:w="4100" w:type="dxa"/>
            <w:vAlign w:val="bottom"/>
          </w:tcPr>
          <w:p>
            <w:pPr>
              <w:spacing w:after="0"/>
              <w:rPr>
                <w:sz w:val="20"/>
                <w:szCs w:val="20"/>
                <w:color w:val="auto"/>
              </w:rPr>
            </w:pPr>
            <w:r>
              <w:rPr>
                <w:rFonts w:ascii="Arial" w:cs="Arial" w:eastAsia="Arial" w:hAnsi="Arial"/>
                <w:sz w:val="14"/>
                <w:szCs w:val="14"/>
                <w:color w:val="auto"/>
              </w:rPr>
              <w:t>Depreciation and amortization</w:t>
            </w:r>
          </w:p>
        </w:tc>
        <w:tc>
          <w:tcPr>
            <w:tcW w:w="320" w:type="dxa"/>
            <w:vAlign w:val="bottom"/>
          </w:tcPr>
          <w:p>
            <w:pPr>
              <w:spacing w:after="0"/>
              <w:rPr>
                <w:sz w:val="17"/>
                <w:szCs w:val="17"/>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79,777</w:t>
            </w:r>
          </w:p>
        </w:tc>
        <w:tc>
          <w:tcPr>
            <w:tcW w:w="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4"/>
                <w:szCs w:val="14"/>
                <w:color w:val="auto"/>
              </w:rPr>
              <w:t>78,433</w:t>
            </w:r>
          </w:p>
        </w:tc>
        <w:tc>
          <w:tcPr>
            <w:tcW w:w="560" w:type="dxa"/>
            <w:vAlign w:val="bottom"/>
          </w:tcPr>
          <w:p>
            <w:pPr>
              <w:spacing w:after="0"/>
              <w:rPr>
                <w:sz w:val="17"/>
                <w:szCs w:val="17"/>
                <w:color w:val="auto"/>
              </w:rPr>
            </w:pPr>
          </w:p>
        </w:tc>
        <w:tc>
          <w:tcPr>
            <w:tcW w:w="1860" w:type="dxa"/>
            <w:vAlign w:val="bottom"/>
            <w:gridSpan w:val="2"/>
          </w:tcPr>
          <w:p>
            <w:pPr>
              <w:jc w:val="right"/>
              <w:ind w:right="680"/>
              <w:spacing w:after="0"/>
              <w:rPr>
                <w:sz w:val="20"/>
                <w:szCs w:val="20"/>
                <w:color w:val="auto"/>
              </w:rPr>
            </w:pPr>
            <w:r>
              <w:rPr>
                <w:rFonts w:ascii="Arial" w:cs="Arial" w:eastAsia="Arial" w:hAnsi="Arial"/>
                <w:sz w:val="14"/>
                <w:szCs w:val="14"/>
                <w:color w:val="auto"/>
              </w:rPr>
              <w:t>290,942</w:t>
            </w:r>
          </w:p>
        </w:tc>
        <w:tc>
          <w:tcPr>
            <w:tcW w:w="5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329,4</w:t>
            </w:r>
          </w:p>
        </w:tc>
        <w:tc>
          <w:tcPr>
            <w:tcW w:w="0" w:type="dxa"/>
            <w:vAlign w:val="bottom"/>
          </w:tcPr>
          <w:p>
            <w:pPr>
              <w:spacing w:after="0"/>
              <w:rPr>
                <w:sz w:val="1"/>
                <w:szCs w:val="1"/>
                <w:color w:val="auto"/>
              </w:rPr>
            </w:pPr>
          </w:p>
        </w:tc>
      </w:tr>
      <w:tr>
        <w:trPr>
          <w:trHeight w:val="200"/>
        </w:trPr>
        <w:tc>
          <w:tcPr>
            <w:tcW w:w="4100" w:type="dxa"/>
            <w:vAlign w:val="bottom"/>
            <w:shd w:val="clear" w:color="auto" w:fill="CFF0FC"/>
          </w:tcPr>
          <w:p>
            <w:pPr>
              <w:spacing w:after="0"/>
              <w:rPr>
                <w:sz w:val="20"/>
                <w:szCs w:val="20"/>
                <w:color w:val="auto"/>
              </w:rPr>
            </w:pPr>
            <w:r>
              <w:rPr>
                <w:rFonts w:ascii="Arial" w:cs="Arial" w:eastAsia="Arial" w:hAnsi="Arial"/>
                <w:sz w:val="14"/>
                <w:szCs w:val="14"/>
                <w:color w:val="auto"/>
              </w:rPr>
              <w:t>Interest expense, net</w:t>
            </w:r>
          </w:p>
        </w:tc>
        <w:tc>
          <w:tcPr>
            <w:tcW w:w="320" w:type="dxa"/>
            <w:vAlign w:val="bottom"/>
            <w:shd w:val="clear" w:color="auto" w:fill="CFF0FC"/>
          </w:tcPr>
          <w:p>
            <w:pPr>
              <w:spacing w:after="0"/>
              <w:rPr>
                <w:sz w:val="17"/>
                <w:szCs w:val="17"/>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104,534</w:t>
            </w:r>
          </w:p>
        </w:tc>
        <w:tc>
          <w:tcPr>
            <w:tcW w:w="6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108,701</w:t>
            </w:r>
          </w:p>
        </w:tc>
        <w:tc>
          <w:tcPr>
            <w:tcW w:w="300" w:type="dxa"/>
            <w:vAlign w:val="bottom"/>
            <w:shd w:val="clear" w:color="auto" w:fill="CFF0FC"/>
          </w:tcPr>
          <w:p>
            <w:pPr>
              <w:spacing w:after="0"/>
              <w:rPr>
                <w:sz w:val="17"/>
                <w:szCs w:val="17"/>
                <w:color w:val="auto"/>
              </w:rPr>
            </w:pPr>
          </w:p>
        </w:tc>
        <w:tc>
          <w:tcPr>
            <w:tcW w:w="560" w:type="dxa"/>
            <w:vAlign w:val="bottom"/>
            <w:shd w:val="clear" w:color="auto" w:fill="CFF0FC"/>
          </w:tcPr>
          <w:p>
            <w:pPr>
              <w:spacing w:after="0"/>
              <w:rPr>
                <w:sz w:val="17"/>
                <w:szCs w:val="17"/>
                <w:color w:val="auto"/>
              </w:rPr>
            </w:pPr>
          </w:p>
        </w:tc>
        <w:tc>
          <w:tcPr>
            <w:tcW w:w="1860" w:type="dxa"/>
            <w:vAlign w:val="bottom"/>
            <w:gridSpan w:val="2"/>
            <w:shd w:val="clear" w:color="auto" w:fill="CFF0FC"/>
          </w:tcPr>
          <w:p>
            <w:pPr>
              <w:jc w:val="right"/>
              <w:ind w:right="680"/>
              <w:spacing w:after="0"/>
              <w:rPr>
                <w:sz w:val="20"/>
                <w:szCs w:val="20"/>
                <w:color w:val="auto"/>
              </w:rPr>
            </w:pPr>
            <w:r>
              <w:rPr>
                <w:rFonts w:ascii="Arial" w:cs="Arial" w:eastAsia="Arial" w:hAnsi="Arial"/>
                <w:sz w:val="14"/>
                <w:szCs w:val="14"/>
                <w:color w:val="auto"/>
              </w:rPr>
              <w:t>446,296</w:t>
            </w:r>
          </w:p>
        </w:tc>
        <w:tc>
          <w:tcPr>
            <w:tcW w:w="520" w:type="dxa"/>
            <w:vAlign w:val="bottom"/>
            <w:shd w:val="clear" w:color="auto" w:fill="CFF0FC"/>
          </w:tcPr>
          <w:p>
            <w:pPr>
              <w:spacing w:after="0"/>
              <w:rPr>
                <w:sz w:val="17"/>
                <w:szCs w:val="17"/>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497,1</w:t>
            </w:r>
          </w:p>
        </w:tc>
        <w:tc>
          <w:tcPr>
            <w:tcW w:w="0" w:type="dxa"/>
            <w:vAlign w:val="bottom"/>
          </w:tcPr>
          <w:p>
            <w:pPr>
              <w:spacing w:after="0"/>
              <w:rPr>
                <w:sz w:val="1"/>
                <w:szCs w:val="1"/>
                <w:color w:val="auto"/>
              </w:rPr>
            </w:pPr>
          </w:p>
        </w:tc>
      </w:tr>
      <w:tr>
        <w:trPr>
          <w:trHeight w:val="200"/>
        </w:trPr>
        <w:tc>
          <w:tcPr>
            <w:tcW w:w="4100" w:type="dxa"/>
            <w:vAlign w:val="bottom"/>
            <w:tcBorders>
              <w:bottom w:val="single" w:sz="8" w:color="CFF0FC"/>
            </w:tcBorders>
          </w:tcPr>
          <w:p>
            <w:pPr>
              <w:spacing w:after="0"/>
              <w:rPr>
                <w:sz w:val="20"/>
                <w:szCs w:val="20"/>
                <w:color w:val="auto"/>
              </w:rPr>
            </w:pPr>
            <w:r>
              <w:rPr>
                <w:rFonts w:ascii="Arial" w:cs="Arial" w:eastAsia="Arial" w:hAnsi="Arial"/>
                <w:sz w:val="14"/>
                <w:szCs w:val="14"/>
                <w:color w:val="auto"/>
              </w:rPr>
              <w:t>Income tax benefit</w:t>
            </w:r>
          </w:p>
        </w:tc>
        <w:tc>
          <w:tcPr>
            <w:tcW w:w="3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(5,199)</w:t>
            </w:r>
          </w:p>
        </w:tc>
        <w:tc>
          <w:tcPr>
            <w:tcW w:w="80" w:type="dxa"/>
            <w:vAlign w:val="bottom"/>
            <w:tcBorders>
              <w:bottom w:val="single" w:sz="8" w:color="CFF0FC"/>
            </w:tcBorders>
          </w:tcPr>
          <w:p>
            <w:pPr>
              <w:spacing w:after="0"/>
              <w:rPr>
                <w:sz w:val="17"/>
                <w:szCs w:val="17"/>
                <w:color w:val="auto"/>
              </w:rPr>
            </w:pPr>
          </w:p>
        </w:tc>
        <w:tc>
          <w:tcPr>
            <w:tcW w:w="60" w:type="dxa"/>
            <w:vAlign w:val="bottom"/>
            <w:tcBorders>
              <w:bottom w:val="single" w:sz="8" w:color="CFF0FC"/>
            </w:tcBorders>
          </w:tcPr>
          <w:p>
            <w:pPr>
              <w:spacing w:after="0"/>
              <w:rPr>
                <w:sz w:val="17"/>
                <w:szCs w:val="17"/>
                <w:color w:val="auto"/>
              </w:rPr>
            </w:pPr>
          </w:p>
        </w:tc>
        <w:tc>
          <w:tcPr>
            <w:tcW w:w="9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(7,553)</w:t>
            </w:r>
          </w:p>
        </w:tc>
        <w:tc>
          <w:tcPr>
            <w:tcW w:w="300" w:type="dxa"/>
            <w:vAlign w:val="bottom"/>
            <w:tcBorders>
              <w:bottom w:val="single" w:sz="8" w:color="CFF0FC"/>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(4,916)</w:t>
            </w:r>
          </w:p>
        </w:tc>
        <w:tc>
          <w:tcPr>
            <w:tcW w:w="680" w:type="dxa"/>
            <w:vAlign w:val="bottom"/>
            <w:tcBorders>
              <w:bottom w:val="single" w:sz="8" w:color="CFF0FC"/>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(15,20</w:t>
            </w:r>
          </w:p>
        </w:tc>
        <w:tc>
          <w:tcPr>
            <w:tcW w:w="0" w:type="dxa"/>
            <w:vAlign w:val="bottom"/>
          </w:tcPr>
          <w:p>
            <w:pPr>
              <w:spacing w:after="0"/>
              <w:rPr>
                <w:sz w:val="1"/>
                <w:szCs w:val="1"/>
                <w:color w:val="auto"/>
              </w:rPr>
            </w:pPr>
          </w:p>
        </w:tc>
      </w:tr>
      <w:tr>
        <w:trPr>
          <w:trHeight w:val="180"/>
        </w:trPr>
        <w:tc>
          <w:tcPr>
            <w:tcW w:w="4100" w:type="dxa"/>
            <w:vAlign w:val="bottom"/>
            <w:shd w:val="clear" w:color="auto" w:fill="CFF0FC"/>
          </w:tcPr>
          <w:p>
            <w:pPr>
              <w:ind w:left="120"/>
              <w:spacing w:after="0"/>
              <w:rPr>
                <w:sz w:val="20"/>
                <w:szCs w:val="20"/>
                <w:color w:val="auto"/>
              </w:rPr>
            </w:pPr>
            <w:r>
              <w:rPr>
                <w:rFonts w:ascii="Arial" w:cs="Arial" w:eastAsia="Arial" w:hAnsi="Arial"/>
                <w:sz w:val="14"/>
                <w:szCs w:val="14"/>
                <w:b w:val="1"/>
                <w:bCs w:val="1"/>
                <w:color w:val="auto"/>
              </w:rPr>
              <w:t>EBITDA</w:t>
            </w:r>
          </w:p>
        </w:tc>
        <w:tc>
          <w:tcPr>
            <w:tcW w:w="320" w:type="dxa"/>
            <w:vAlign w:val="bottom"/>
            <w:shd w:val="clear" w:color="auto" w:fill="CFF0FC"/>
          </w:tcPr>
          <w:p>
            <w:pPr>
              <w:spacing w:after="0"/>
              <w:rPr>
                <w:sz w:val="15"/>
                <w:szCs w:val="15"/>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215,038</w:t>
            </w:r>
          </w:p>
        </w:tc>
        <w:tc>
          <w:tcPr>
            <w:tcW w:w="60" w:type="dxa"/>
            <w:vAlign w:val="bottom"/>
            <w:shd w:val="clear" w:color="auto" w:fill="CFF0FC"/>
          </w:tcPr>
          <w:p>
            <w:pPr>
              <w:spacing w:after="0"/>
              <w:rPr>
                <w:sz w:val="15"/>
                <w:szCs w:val="15"/>
                <w:color w:val="auto"/>
              </w:rPr>
            </w:pPr>
          </w:p>
        </w:tc>
        <w:tc>
          <w:tcPr>
            <w:tcW w:w="980" w:type="dxa"/>
            <w:vAlign w:val="bottom"/>
            <w:shd w:val="clear" w:color="auto" w:fill="CFF0FC"/>
          </w:tcPr>
          <w:p>
            <w:pPr>
              <w:spacing w:after="0"/>
              <w:rPr>
                <w:sz w:val="15"/>
                <w:szCs w:val="15"/>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131,909</w:t>
            </w:r>
          </w:p>
        </w:tc>
        <w:tc>
          <w:tcPr>
            <w:tcW w:w="300" w:type="dxa"/>
            <w:vAlign w:val="bottom"/>
            <w:shd w:val="clear" w:color="auto" w:fill="CFF0FC"/>
          </w:tcPr>
          <w:p>
            <w:pPr>
              <w:spacing w:after="0"/>
              <w:rPr>
                <w:sz w:val="15"/>
                <w:szCs w:val="15"/>
                <w:color w:val="auto"/>
              </w:rPr>
            </w:pPr>
          </w:p>
        </w:tc>
        <w:tc>
          <w:tcPr>
            <w:tcW w:w="560" w:type="dxa"/>
            <w:vAlign w:val="bottom"/>
            <w:shd w:val="clear" w:color="auto" w:fill="CFF0FC"/>
          </w:tcPr>
          <w:p>
            <w:pPr>
              <w:spacing w:after="0"/>
              <w:rPr>
                <w:sz w:val="15"/>
                <w:szCs w:val="15"/>
                <w:color w:val="auto"/>
              </w:rPr>
            </w:pPr>
          </w:p>
        </w:tc>
        <w:tc>
          <w:tcPr>
            <w:tcW w:w="1860" w:type="dxa"/>
            <w:vAlign w:val="bottom"/>
            <w:gridSpan w:val="2"/>
            <w:shd w:val="clear" w:color="auto" w:fill="CFF0FC"/>
          </w:tcPr>
          <w:p>
            <w:pPr>
              <w:jc w:val="right"/>
              <w:ind w:right="680"/>
              <w:spacing w:after="0"/>
              <w:rPr>
                <w:sz w:val="20"/>
                <w:szCs w:val="20"/>
                <w:color w:val="auto"/>
              </w:rPr>
            </w:pPr>
            <w:r>
              <w:rPr>
                <w:rFonts w:ascii="Arial" w:cs="Arial" w:eastAsia="Arial" w:hAnsi="Arial"/>
                <w:sz w:val="14"/>
                <w:szCs w:val="14"/>
                <w:color w:val="auto"/>
              </w:rPr>
              <w:t>857,067</w:t>
            </w:r>
          </w:p>
        </w:tc>
        <w:tc>
          <w:tcPr>
            <w:tcW w:w="520" w:type="dxa"/>
            <w:vAlign w:val="bottom"/>
            <w:shd w:val="clear" w:color="auto" w:fill="CFF0FC"/>
          </w:tcPr>
          <w:p>
            <w:pPr>
              <w:spacing w:after="0"/>
              <w:rPr>
                <w:sz w:val="15"/>
                <w:szCs w:val="15"/>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92,5</w:t>
            </w:r>
          </w:p>
        </w:tc>
        <w:tc>
          <w:tcPr>
            <w:tcW w:w="0" w:type="dxa"/>
            <w:vAlign w:val="bottom"/>
          </w:tcPr>
          <w:p>
            <w:pPr>
              <w:spacing w:after="0"/>
              <w:rPr>
                <w:sz w:val="1"/>
                <w:szCs w:val="1"/>
                <w:color w:val="auto"/>
              </w:rPr>
            </w:pPr>
          </w:p>
        </w:tc>
      </w:tr>
      <w:tr>
        <w:trPr>
          <w:trHeight w:val="200"/>
        </w:trPr>
        <w:tc>
          <w:tcPr>
            <w:tcW w:w="4100" w:type="dxa"/>
            <w:vAlign w:val="bottom"/>
          </w:tcPr>
          <w:p>
            <w:pPr>
              <w:spacing w:after="0"/>
              <w:rPr>
                <w:sz w:val="20"/>
                <w:szCs w:val="20"/>
                <w:color w:val="auto"/>
              </w:rPr>
            </w:pPr>
            <w:r>
              <w:rPr>
                <w:rFonts w:ascii="Arial" w:cs="Arial" w:eastAsia="Arial" w:hAnsi="Arial"/>
                <w:sz w:val="14"/>
                <w:szCs w:val="14"/>
                <w:color w:val="auto"/>
              </w:rPr>
              <w:t>Stock-based compensation</w:t>
            </w:r>
          </w:p>
        </w:tc>
        <w:tc>
          <w:tcPr>
            <w:tcW w:w="320" w:type="dxa"/>
            <w:vAlign w:val="bottom"/>
          </w:tcPr>
          <w:p>
            <w:pPr>
              <w:spacing w:after="0"/>
              <w:rPr>
                <w:sz w:val="17"/>
                <w:szCs w:val="17"/>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2,884</w:t>
            </w:r>
          </w:p>
        </w:tc>
        <w:tc>
          <w:tcPr>
            <w:tcW w:w="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4"/>
                <w:szCs w:val="14"/>
                <w:color w:val="auto"/>
              </w:rPr>
              <w:t>3,275</w:t>
            </w:r>
          </w:p>
        </w:tc>
        <w:tc>
          <w:tcPr>
            <w:tcW w:w="560" w:type="dxa"/>
            <w:vAlign w:val="bottom"/>
          </w:tcPr>
          <w:p>
            <w:pPr>
              <w:spacing w:after="0"/>
              <w:rPr>
                <w:sz w:val="17"/>
                <w:szCs w:val="17"/>
                <w:color w:val="auto"/>
              </w:rPr>
            </w:pPr>
          </w:p>
        </w:tc>
        <w:tc>
          <w:tcPr>
            <w:tcW w:w="1860" w:type="dxa"/>
            <w:vAlign w:val="bottom"/>
            <w:gridSpan w:val="2"/>
          </w:tcPr>
          <w:p>
            <w:pPr>
              <w:jc w:val="right"/>
              <w:ind w:right="680"/>
              <w:spacing w:after="0"/>
              <w:rPr>
                <w:sz w:val="20"/>
                <w:szCs w:val="20"/>
                <w:color w:val="auto"/>
              </w:rPr>
            </w:pPr>
            <w:r>
              <w:rPr>
                <w:rFonts w:ascii="Arial" w:cs="Arial" w:eastAsia="Arial" w:hAnsi="Arial"/>
                <w:sz w:val="14"/>
                <w:szCs w:val="14"/>
                <w:color w:val="auto"/>
              </w:rPr>
              <w:t>13,847</w:t>
            </w:r>
          </w:p>
        </w:tc>
        <w:tc>
          <w:tcPr>
            <w:tcW w:w="5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13,7</w:t>
            </w:r>
          </w:p>
        </w:tc>
        <w:tc>
          <w:tcPr>
            <w:tcW w:w="0" w:type="dxa"/>
            <w:vAlign w:val="bottom"/>
          </w:tcPr>
          <w:p>
            <w:pPr>
              <w:spacing w:after="0"/>
              <w:rPr>
                <w:sz w:val="1"/>
                <w:szCs w:val="1"/>
                <w:color w:val="auto"/>
              </w:rPr>
            </w:pPr>
          </w:p>
        </w:tc>
      </w:tr>
      <w:tr>
        <w:trPr>
          <w:trHeight w:val="200"/>
        </w:trPr>
        <w:tc>
          <w:tcPr>
            <w:tcW w:w="4100" w:type="dxa"/>
            <w:vAlign w:val="bottom"/>
            <w:shd w:val="clear" w:color="auto" w:fill="CFF0FC"/>
          </w:tcPr>
          <w:p>
            <w:pPr>
              <w:spacing w:after="0"/>
              <w:rPr>
                <w:sz w:val="20"/>
                <w:szCs w:val="20"/>
                <w:color w:val="auto"/>
              </w:rPr>
            </w:pPr>
            <w:r>
              <w:rPr>
                <w:rFonts w:ascii="Arial" w:cs="Arial" w:eastAsia="Arial" w:hAnsi="Arial"/>
                <w:sz w:val="14"/>
                <w:szCs w:val="14"/>
                <w:color w:val="auto"/>
              </w:rPr>
              <w:t>Transaction related and other costs</w:t>
            </w:r>
          </w:p>
        </w:tc>
        <w:tc>
          <w:tcPr>
            <w:tcW w:w="320" w:type="dxa"/>
            <w:vAlign w:val="bottom"/>
            <w:shd w:val="clear" w:color="auto" w:fill="CFF0FC"/>
          </w:tcPr>
          <w:p>
            <w:pPr>
              <w:spacing w:after="0"/>
              <w:rPr>
                <w:sz w:val="17"/>
                <w:szCs w:val="17"/>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1,920</w:t>
            </w:r>
          </w:p>
        </w:tc>
        <w:tc>
          <w:tcPr>
            <w:tcW w:w="6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1060" w:type="dxa"/>
            <w:vAlign w:val="bottom"/>
            <w:gridSpan w:val="2"/>
            <w:shd w:val="clear" w:color="auto" w:fill="CFF0FC"/>
          </w:tcPr>
          <w:p>
            <w:pPr>
              <w:jc w:val="right"/>
              <w:ind w:right="300"/>
              <w:spacing w:after="0"/>
              <w:rPr>
                <w:sz w:val="20"/>
                <w:szCs w:val="20"/>
                <w:color w:val="auto"/>
              </w:rPr>
            </w:pPr>
            <w:r>
              <w:rPr>
                <w:rFonts w:ascii="Arial" w:cs="Arial" w:eastAsia="Arial" w:hAnsi="Arial"/>
                <w:sz w:val="14"/>
                <w:szCs w:val="14"/>
                <w:color w:val="auto"/>
              </w:rPr>
              <w:t>8,531</w:t>
            </w:r>
          </w:p>
        </w:tc>
        <w:tc>
          <w:tcPr>
            <w:tcW w:w="560" w:type="dxa"/>
            <w:vAlign w:val="bottom"/>
            <w:shd w:val="clear" w:color="auto" w:fill="CFF0FC"/>
          </w:tcPr>
          <w:p>
            <w:pPr>
              <w:spacing w:after="0"/>
              <w:rPr>
                <w:sz w:val="17"/>
                <w:szCs w:val="17"/>
                <w:color w:val="auto"/>
              </w:rPr>
            </w:pPr>
          </w:p>
        </w:tc>
        <w:tc>
          <w:tcPr>
            <w:tcW w:w="1860" w:type="dxa"/>
            <w:vAlign w:val="bottom"/>
            <w:gridSpan w:val="2"/>
            <w:shd w:val="clear" w:color="auto" w:fill="CFF0FC"/>
          </w:tcPr>
          <w:p>
            <w:pPr>
              <w:jc w:val="right"/>
              <w:ind w:right="680"/>
              <w:spacing w:after="0"/>
              <w:rPr>
                <w:sz w:val="20"/>
                <w:szCs w:val="20"/>
                <w:color w:val="auto"/>
              </w:rPr>
            </w:pPr>
            <w:r>
              <w:rPr>
                <w:rFonts w:ascii="Arial" w:cs="Arial" w:eastAsia="Arial" w:hAnsi="Arial"/>
                <w:sz w:val="14"/>
                <w:szCs w:val="14"/>
                <w:color w:val="auto"/>
              </w:rPr>
              <w:t>7,544</w:t>
            </w:r>
          </w:p>
        </w:tc>
        <w:tc>
          <w:tcPr>
            <w:tcW w:w="520" w:type="dxa"/>
            <w:vAlign w:val="bottom"/>
            <w:shd w:val="clear" w:color="auto" w:fill="CFF0FC"/>
          </w:tcPr>
          <w:p>
            <w:pPr>
              <w:spacing w:after="0"/>
              <w:rPr>
                <w:sz w:val="17"/>
                <w:szCs w:val="17"/>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63,8</w:t>
            </w:r>
          </w:p>
        </w:tc>
        <w:tc>
          <w:tcPr>
            <w:tcW w:w="0" w:type="dxa"/>
            <w:vAlign w:val="bottom"/>
          </w:tcPr>
          <w:p>
            <w:pPr>
              <w:spacing w:after="0"/>
              <w:rPr>
                <w:sz w:val="1"/>
                <w:szCs w:val="1"/>
                <w:color w:val="auto"/>
              </w:rPr>
            </w:pPr>
          </w:p>
        </w:tc>
      </w:tr>
      <w:tr>
        <w:trPr>
          <w:trHeight w:val="200"/>
        </w:trPr>
        <w:tc>
          <w:tcPr>
            <w:tcW w:w="4100" w:type="dxa"/>
            <w:vAlign w:val="bottom"/>
          </w:tcPr>
          <w:p>
            <w:pPr>
              <w:spacing w:after="0"/>
              <w:rPr>
                <w:sz w:val="20"/>
                <w:szCs w:val="20"/>
                <w:color w:val="auto"/>
              </w:rPr>
            </w:pPr>
            <w:r>
              <w:rPr>
                <w:rFonts w:ascii="Arial" w:cs="Arial" w:eastAsia="Arial" w:hAnsi="Arial"/>
                <w:sz w:val="14"/>
                <w:szCs w:val="14"/>
                <w:color w:val="auto"/>
              </w:rPr>
              <w:t>Settlement expense</w:t>
            </w:r>
          </w:p>
        </w:tc>
        <w:tc>
          <w:tcPr>
            <w:tcW w:w="320" w:type="dxa"/>
            <w:vAlign w:val="bottom"/>
          </w:tcPr>
          <w:p>
            <w:pPr>
              <w:spacing w:after="0"/>
              <w:rPr>
                <w:sz w:val="17"/>
                <w:szCs w:val="17"/>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650,0</w:t>
            </w:r>
          </w:p>
        </w:tc>
        <w:tc>
          <w:tcPr>
            <w:tcW w:w="0" w:type="dxa"/>
            <w:vAlign w:val="bottom"/>
          </w:tcPr>
          <w:p>
            <w:pPr>
              <w:spacing w:after="0"/>
              <w:rPr>
                <w:sz w:val="1"/>
                <w:szCs w:val="1"/>
                <w:color w:val="auto"/>
              </w:rPr>
            </w:pPr>
          </w:p>
        </w:tc>
      </w:tr>
      <w:tr>
        <w:trPr>
          <w:trHeight w:val="200"/>
        </w:trPr>
        <w:tc>
          <w:tcPr>
            <w:tcW w:w="4100" w:type="dxa"/>
            <w:vAlign w:val="bottom"/>
            <w:shd w:val="clear" w:color="auto" w:fill="CFF0FC"/>
          </w:tcPr>
          <w:p>
            <w:pPr>
              <w:spacing w:after="0"/>
              <w:rPr>
                <w:sz w:val="20"/>
                <w:szCs w:val="20"/>
                <w:color w:val="auto"/>
              </w:rPr>
            </w:pPr>
            <w:r>
              <w:rPr>
                <w:rFonts w:ascii="Arial" w:cs="Arial" w:eastAsia="Arial" w:hAnsi="Arial"/>
                <w:sz w:val="14"/>
                <w:szCs w:val="14"/>
                <w:color w:val="auto"/>
              </w:rPr>
              <w:t>Goodwill impairment</w:t>
            </w:r>
          </w:p>
        </w:tc>
        <w:tc>
          <w:tcPr>
            <w:tcW w:w="320" w:type="dxa"/>
            <w:vAlign w:val="bottom"/>
            <w:shd w:val="clear" w:color="auto" w:fill="CFF0FC"/>
          </w:tcPr>
          <w:p>
            <w:pPr>
              <w:spacing w:after="0"/>
              <w:rPr>
                <w:sz w:val="17"/>
                <w:szCs w:val="17"/>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1060" w:type="dxa"/>
            <w:vAlign w:val="bottom"/>
            <w:gridSpan w:val="2"/>
            <w:shd w:val="clear" w:color="auto" w:fill="CFF0FC"/>
          </w:tcPr>
          <w:p>
            <w:pPr>
              <w:jc w:val="right"/>
              <w:ind w:right="300"/>
              <w:spacing w:after="0"/>
              <w:rPr>
                <w:sz w:val="20"/>
                <w:szCs w:val="20"/>
                <w:color w:val="auto"/>
              </w:rPr>
            </w:pPr>
            <w:r>
              <w:rPr>
                <w:rFonts w:ascii="Arial" w:cs="Arial" w:eastAsia="Arial" w:hAnsi="Arial"/>
                <w:sz w:val="14"/>
                <w:szCs w:val="14"/>
                <w:color w:val="auto"/>
              </w:rPr>
              <w:t>71,000</w:t>
            </w:r>
          </w:p>
        </w:tc>
        <w:tc>
          <w:tcPr>
            <w:tcW w:w="560" w:type="dxa"/>
            <w:vAlign w:val="bottom"/>
            <w:shd w:val="clear" w:color="auto" w:fill="CFF0FC"/>
          </w:tcPr>
          <w:p>
            <w:pPr>
              <w:spacing w:after="0"/>
              <w:rPr>
                <w:sz w:val="17"/>
                <w:szCs w:val="17"/>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FF0FC"/>
          </w:tcPr>
          <w:p>
            <w:pPr>
              <w:spacing w:after="0"/>
              <w:rPr>
                <w:sz w:val="17"/>
                <w:szCs w:val="17"/>
                <w:color w:val="auto"/>
              </w:rPr>
            </w:pPr>
          </w:p>
        </w:tc>
        <w:tc>
          <w:tcPr>
            <w:tcW w:w="520" w:type="dxa"/>
            <w:vAlign w:val="bottom"/>
            <w:shd w:val="clear" w:color="auto" w:fill="CFF0FC"/>
          </w:tcPr>
          <w:p>
            <w:pPr>
              <w:spacing w:after="0"/>
              <w:rPr>
                <w:sz w:val="17"/>
                <w:szCs w:val="17"/>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71,0</w:t>
            </w:r>
          </w:p>
        </w:tc>
        <w:tc>
          <w:tcPr>
            <w:tcW w:w="0" w:type="dxa"/>
            <w:vAlign w:val="bottom"/>
          </w:tcPr>
          <w:p>
            <w:pPr>
              <w:spacing w:after="0"/>
              <w:rPr>
                <w:sz w:val="1"/>
                <w:szCs w:val="1"/>
                <w:color w:val="auto"/>
              </w:rPr>
            </w:pPr>
          </w:p>
        </w:tc>
      </w:tr>
      <w:tr>
        <w:trPr>
          <w:trHeight w:val="200"/>
        </w:trPr>
        <w:tc>
          <w:tcPr>
            <w:tcW w:w="4100" w:type="dxa"/>
            <w:vAlign w:val="bottom"/>
          </w:tcPr>
          <w:p>
            <w:pPr>
              <w:spacing w:after="0"/>
              <w:rPr>
                <w:sz w:val="20"/>
                <w:szCs w:val="20"/>
                <w:color w:val="auto"/>
              </w:rPr>
            </w:pPr>
            <w:r>
              <w:rPr>
                <w:rFonts w:ascii="Arial" w:cs="Arial" w:eastAsia="Arial" w:hAnsi="Arial"/>
                <w:sz w:val="14"/>
                <w:szCs w:val="14"/>
                <w:color w:val="auto"/>
              </w:rPr>
              <w:t>Gain on sale of operations</w:t>
            </w:r>
          </w:p>
        </w:tc>
        <w:tc>
          <w:tcPr>
            <w:tcW w:w="320" w:type="dxa"/>
            <w:vAlign w:val="bottom"/>
          </w:tcPr>
          <w:p>
            <w:pPr>
              <w:spacing w:after="0"/>
              <w:rPr>
                <w:sz w:val="17"/>
                <w:szCs w:val="17"/>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860" w:type="dxa"/>
            <w:vAlign w:val="bottom"/>
            <w:gridSpan w:val="2"/>
          </w:tcPr>
          <w:p>
            <w:pPr>
              <w:jc w:val="right"/>
              <w:ind w:right="680"/>
              <w:spacing w:after="0"/>
              <w:rPr>
                <w:sz w:val="20"/>
                <w:szCs w:val="20"/>
                <w:color w:val="auto"/>
              </w:rPr>
            </w:pPr>
            <w:r>
              <w:rPr>
                <w:rFonts w:ascii="Arial" w:cs="Arial" w:eastAsia="Arial" w:hAnsi="Arial"/>
                <w:sz w:val="14"/>
                <w:szCs w:val="14"/>
                <w:color w:val="auto"/>
              </w:rPr>
              <w:t>(28,143)</w:t>
            </w:r>
          </w:p>
        </w:tc>
        <w:tc>
          <w:tcPr>
            <w:tcW w:w="5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4100" w:type="dxa"/>
            <w:vAlign w:val="bottom"/>
            <w:shd w:val="clear" w:color="auto" w:fill="CFF0FC"/>
          </w:tcPr>
          <w:p>
            <w:pPr>
              <w:spacing w:after="0"/>
              <w:rPr>
                <w:sz w:val="20"/>
                <w:szCs w:val="20"/>
                <w:color w:val="auto"/>
              </w:rPr>
            </w:pPr>
            <w:r>
              <w:rPr>
                <w:rFonts w:ascii="Arial" w:cs="Arial" w:eastAsia="Arial" w:hAnsi="Arial"/>
                <w:sz w:val="14"/>
                <w:szCs w:val="14"/>
                <w:color w:val="auto"/>
              </w:rPr>
              <w:t>Loss (gain) on sale of real estate</w:t>
            </w:r>
          </w:p>
        </w:tc>
        <w:tc>
          <w:tcPr>
            <w:tcW w:w="320" w:type="dxa"/>
            <w:vAlign w:val="bottom"/>
            <w:shd w:val="clear" w:color="auto" w:fill="CFF0FC"/>
          </w:tcPr>
          <w:p>
            <w:pPr>
              <w:spacing w:after="0"/>
              <w:rPr>
                <w:sz w:val="17"/>
                <w:szCs w:val="17"/>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1060" w:type="dxa"/>
            <w:vAlign w:val="bottom"/>
            <w:gridSpan w:val="2"/>
            <w:shd w:val="clear" w:color="auto" w:fill="CFF0FC"/>
          </w:tcPr>
          <w:p>
            <w:pPr>
              <w:jc w:val="right"/>
              <w:ind w:right="300"/>
              <w:spacing w:after="0"/>
              <w:rPr>
                <w:sz w:val="20"/>
                <w:szCs w:val="20"/>
                <w:color w:val="auto"/>
              </w:rPr>
            </w:pPr>
            <w:r>
              <w:rPr>
                <w:rFonts w:ascii="Arial" w:cs="Arial" w:eastAsia="Arial" w:hAnsi="Arial"/>
                <w:sz w:val="14"/>
                <w:szCs w:val="14"/>
                <w:color w:val="auto"/>
              </w:rPr>
              <w:t>459</w:t>
            </w:r>
          </w:p>
        </w:tc>
        <w:tc>
          <w:tcPr>
            <w:tcW w:w="560" w:type="dxa"/>
            <w:vAlign w:val="bottom"/>
            <w:shd w:val="clear" w:color="auto" w:fill="CFF0FC"/>
          </w:tcPr>
          <w:p>
            <w:pPr>
              <w:spacing w:after="0"/>
              <w:rPr>
                <w:sz w:val="17"/>
                <w:szCs w:val="17"/>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(442)</w:t>
            </w:r>
          </w:p>
        </w:tc>
        <w:tc>
          <w:tcPr>
            <w:tcW w:w="680" w:type="dxa"/>
            <w:vAlign w:val="bottom"/>
            <w:shd w:val="clear" w:color="auto" w:fill="CFF0FC"/>
          </w:tcPr>
          <w:p>
            <w:pPr>
              <w:spacing w:after="0"/>
              <w:rPr>
                <w:sz w:val="17"/>
                <w:szCs w:val="17"/>
                <w:color w:val="auto"/>
              </w:rPr>
            </w:pPr>
          </w:p>
        </w:tc>
        <w:tc>
          <w:tcPr>
            <w:tcW w:w="520" w:type="dxa"/>
            <w:vAlign w:val="bottom"/>
            <w:shd w:val="clear" w:color="auto" w:fill="CFF0FC"/>
          </w:tcPr>
          <w:p>
            <w:pPr>
              <w:spacing w:after="0"/>
              <w:rPr>
                <w:sz w:val="17"/>
                <w:szCs w:val="17"/>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(86,26</w:t>
            </w:r>
          </w:p>
        </w:tc>
        <w:tc>
          <w:tcPr>
            <w:tcW w:w="0" w:type="dxa"/>
            <w:vAlign w:val="bottom"/>
          </w:tcPr>
          <w:p>
            <w:pPr>
              <w:spacing w:after="0"/>
              <w:rPr>
                <w:sz w:val="1"/>
                <w:szCs w:val="1"/>
                <w:color w:val="auto"/>
              </w:rPr>
            </w:pPr>
          </w:p>
        </w:tc>
      </w:tr>
      <w:tr>
        <w:trPr>
          <w:trHeight w:val="200"/>
        </w:trPr>
        <w:tc>
          <w:tcPr>
            <w:tcW w:w="4100" w:type="dxa"/>
            <w:vAlign w:val="bottom"/>
          </w:tcPr>
          <w:p>
            <w:pPr>
              <w:spacing w:after="0"/>
              <w:rPr>
                <w:sz w:val="20"/>
                <w:szCs w:val="20"/>
                <w:color w:val="auto"/>
              </w:rPr>
            </w:pPr>
            <w:r>
              <w:rPr>
                <w:rFonts w:ascii="Arial" w:cs="Arial" w:eastAsia="Arial" w:hAnsi="Arial"/>
                <w:sz w:val="14"/>
                <w:szCs w:val="14"/>
                <w:color w:val="auto"/>
              </w:rPr>
              <w:t>Other, net</w:t>
            </w:r>
          </w:p>
        </w:tc>
        <w:tc>
          <w:tcPr>
            <w:tcW w:w="320" w:type="dxa"/>
            <w:vAlign w:val="bottom"/>
          </w:tcPr>
          <w:p>
            <w:pPr>
              <w:spacing w:after="0"/>
              <w:rPr>
                <w:sz w:val="17"/>
                <w:szCs w:val="17"/>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10,348</w:t>
            </w:r>
          </w:p>
        </w:tc>
        <w:tc>
          <w:tcPr>
            <w:tcW w:w="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(483)</w:t>
            </w:r>
          </w:p>
        </w:tc>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860" w:type="dxa"/>
            <w:vAlign w:val="bottom"/>
            <w:gridSpan w:val="2"/>
          </w:tcPr>
          <w:p>
            <w:pPr>
              <w:jc w:val="right"/>
              <w:ind w:right="680"/>
              <w:spacing w:after="0"/>
              <w:rPr>
                <w:sz w:val="20"/>
                <w:szCs w:val="20"/>
                <w:color w:val="auto"/>
              </w:rPr>
            </w:pPr>
            <w:r>
              <w:rPr>
                <w:rFonts w:ascii="Arial" w:cs="Arial" w:eastAsia="Arial" w:hAnsi="Arial"/>
                <w:sz w:val="14"/>
                <w:szCs w:val="14"/>
                <w:color w:val="auto"/>
              </w:rPr>
              <w:t>24,917</w:t>
            </w:r>
          </w:p>
        </w:tc>
        <w:tc>
          <w:tcPr>
            <w:tcW w:w="5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11,7</w:t>
            </w:r>
          </w:p>
        </w:tc>
        <w:tc>
          <w:tcPr>
            <w:tcW w:w="0" w:type="dxa"/>
            <w:vAlign w:val="bottom"/>
          </w:tcPr>
          <w:p>
            <w:pPr>
              <w:spacing w:after="0"/>
              <w:rPr>
                <w:sz w:val="1"/>
                <w:szCs w:val="1"/>
                <w:color w:val="auto"/>
              </w:rPr>
            </w:pPr>
          </w:p>
        </w:tc>
      </w:tr>
      <w:tr>
        <w:trPr>
          <w:trHeight w:val="165"/>
        </w:trPr>
        <w:tc>
          <w:tcPr>
            <w:tcW w:w="4100" w:type="dxa"/>
            <w:vAlign w:val="bottom"/>
            <w:shd w:val="clear" w:color="auto" w:fill="CFF0FC"/>
          </w:tcPr>
          <w:p>
            <w:pPr>
              <w:spacing w:after="0"/>
              <w:rPr>
                <w:sz w:val="20"/>
                <w:szCs w:val="20"/>
                <w:color w:val="auto"/>
              </w:rPr>
            </w:pPr>
            <w:r>
              <w:rPr>
                <w:rFonts w:ascii="Arial" w:cs="Arial" w:eastAsia="Arial" w:hAnsi="Arial"/>
                <w:sz w:val="14"/>
                <w:szCs w:val="14"/>
                <w:color w:val="auto"/>
              </w:rPr>
              <w:t>Adjustments for equity in earnings from unconsolidated</w:t>
            </w:r>
          </w:p>
        </w:tc>
        <w:tc>
          <w:tcPr>
            <w:tcW w:w="32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6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560" w:type="dxa"/>
            <w:vAlign w:val="bottom"/>
            <w:shd w:val="clear" w:color="auto" w:fill="CFF0FC"/>
          </w:tcPr>
          <w:p>
            <w:pPr>
              <w:spacing w:after="0"/>
              <w:rPr>
                <w:sz w:val="14"/>
                <w:szCs w:val="14"/>
                <w:color w:val="auto"/>
              </w:rPr>
            </w:pPr>
          </w:p>
        </w:tc>
        <w:tc>
          <w:tcPr>
            <w:tcW w:w="118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52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100" w:type="dxa"/>
            <w:vAlign w:val="bottom"/>
            <w:shd w:val="clear" w:color="auto" w:fill="CFF0FC"/>
          </w:tcPr>
          <w:p>
            <w:pPr>
              <w:spacing w:after="0" w:line="155" w:lineRule="exact"/>
              <w:rPr>
                <w:sz w:val="20"/>
                <w:szCs w:val="20"/>
                <w:color w:val="auto"/>
              </w:rPr>
            </w:pPr>
            <w:r>
              <w:rPr>
                <w:rFonts w:ascii="Arial" w:cs="Arial" w:eastAsia="Arial" w:hAnsi="Arial"/>
                <w:sz w:val="14"/>
                <w:szCs w:val="14"/>
                <w:color w:val="auto"/>
              </w:rPr>
              <w:t>entities</w:t>
            </w:r>
          </w:p>
        </w:tc>
        <w:tc>
          <w:tcPr>
            <w:tcW w:w="320" w:type="dxa"/>
            <w:vAlign w:val="bottom"/>
            <w:tcBorders>
              <w:bottom w:val="single" w:sz="8" w:color="auto"/>
            </w:tcBorders>
            <w:shd w:val="clear" w:color="auto" w:fill="CFF0FC"/>
          </w:tcPr>
          <w:p>
            <w:pPr>
              <w:spacing w:after="0"/>
              <w:rPr>
                <w:sz w:val="13"/>
                <w:szCs w:val="13"/>
                <w:color w:val="auto"/>
              </w:rPr>
            </w:pPr>
          </w:p>
        </w:tc>
        <w:tc>
          <w:tcPr>
            <w:tcW w:w="9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882</w:t>
            </w:r>
          </w:p>
        </w:tc>
        <w:tc>
          <w:tcPr>
            <w:tcW w:w="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spacing w:after="0"/>
              <w:rPr>
                <w:sz w:val="13"/>
                <w:szCs w:val="13"/>
                <w:color w:val="auto"/>
              </w:rPr>
            </w:pPr>
          </w:p>
        </w:tc>
        <w:tc>
          <w:tcPr>
            <w:tcW w:w="76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1,000</w:t>
            </w:r>
          </w:p>
        </w:tc>
        <w:tc>
          <w:tcPr>
            <w:tcW w:w="300" w:type="dxa"/>
            <w:vAlign w:val="bottom"/>
            <w:shd w:val="clear" w:color="auto" w:fill="CFF0FC"/>
          </w:tcPr>
          <w:p>
            <w:pPr>
              <w:spacing w:after="0"/>
              <w:rPr>
                <w:sz w:val="13"/>
                <w:szCs w:val="13"/>
                <w:color w:val="auto"/>
              </w:rPr>
            </w:pPr>
          </w:p>
        </w:tc>
        <w:tc>
          <w:tcPr>
            <w:tcW w:w="560" w:type="dxa"/>
            <w:vAlign w:val="bottom"/>
            <w:tcBorders>
              <w:bottom w:val="single" w:sz="8" w:color="auto"/>
            </w:tcBorders>
            <w:shd w:val="clear" w:color="auto" w:fill="CFF0FC"/>
          </w:tcPr>
          <w:p>
            <w:pPr>
              <w:spacing w:after="0"/>
              <w:rPr>
                <w:sz w:val="13"/>
                <w:szCs w:val="13"/>
                <w:color w:val="auto"/>
              </w:rPr>
            </w:pPr>
          </w:p>
        </w:tc>
        <w:tc>
          <w:tcPr>
            <w:tcW w:w="11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3,491</w:t>
            </w:r>
          </w:p>
        </w:tc>
        <w:tc>
          <w:tcPr>
            <w:tcW w:w="680" w:type="dxa"/>
            <w:vAlign w:val="bottom"/>
            <w:shd w:val="clear" w:color="auto" w:fill="CFF0FC"/>
          </w:tcPr>
          <w:p>
            <w:pPr>
              <w:spacing w:after="0"/>
              <w:rPr>
                <w:sz w:val="13"/>
                <w:szCs w:val="13"/>
                <w:color w:val="auto"/>
              </w:rPr>
            </w:pPr>
          </w:p>
        </w:tc>
        <w:tc>
          <w:tcPr>
            <w:tcW w:w="520" w:type="dxa"/>
            <w:vAlign w:val="bottom"/>
            <w:tcBorders>
              <w:bottom w:val="single" w:sz="8" w:color="auto"/>
            </w:tcBorders>
            <w:shd w:val="clear" w:color="auto" w:fill="CFF0FC"/>
          </w:tcPr>
          <w:p>
            <w:pPr>
              <w:spacing w:after="0"/>
              <w:rPr>
                <w:sz w:val="13"/>
                <w:szCs w:val="13"/>
                <w:color w:val="auto"/>
              </w:rPr>
            </w:pPr>
          </w:p>
        </w:tc>
        <w:tc>
          <w:tcPr>
            <w:tcW w:w="9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67"/>
        </w:trPr>
        <w:tc>
          <w:tcPr>
            <w:tcW w:w="4100" w:type="dxa"/>
            <w:vAlign w:val="bottom"/>
          </w:tcPr>
          <w:p>
            <w:pPr>
              <w:ind w:left="120"/>
              <w:spacing w:after="0"/>
              <w:rPr>
                <w:sz w:val="20"/>
                <w:szCs w:val="20"/>
                <w:color w:val="auto"/>
              </w:rPr>
            </w:pPr>
            <w:r>
              <w:rPr>
                <w:rFonts w:ascii="Arial" w:cs="Arial" w:eastAsia="Arial" w:hAnsi="Arial"/>
                <w:sz w:val="14"/>
                <w:szCs w:val="14"/>
                <w:b w:val="1"/>
                <w:bCs w:val="1"/>
                <w:color w:val="auto"/>
              </w:rPr>
              <w:t>Adjusted EBITDA</w:t>
            </w:r>
          </w:p>
        </w:tc>
        <w:tc>
          <w:tcPr>
            <w:tcW w:w="320" w:type="dxa"/>
            <w:vAlign w:val="bottom"/>
          </w:tcPr>
          <w:p>
            <w:pPr>
              <w:jc w:val="right"/>
              <w:ind w:right="169"/>
              <w:spacing w:after="0"/>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231,072</w:t>
            </w:r>
          </w:p>
        </w:tc>
        <w:tc>
          <w:tcPr>
            <w:tcW w:w="1040" w:type="dxa"/>
            <w:vAlign w:val="bottom"/>
            <w:gridSpan w:val="2"/>
          </w:tcPr>
          <w:p>
            <w:pPr>
              <w:jc w:val="right"/>
              <w:ind w:right="829"/>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215,691</w:t>
            </w:r>
          </w:p>
        </w:tc>
        <w:tc>
          <w:tcPr>
            <w:tcW w:w="300" w:type="dxa"/>
            <w:vAlign w:val="bottom"/>
          </w:tcPr>
          <w:p>
            <w:pPr>
              <w:spacing w:after="0"/>
              <w:rPr>
                <w:sz w:val="14"/>
                <w:szCs w:val="14"/>
                <w:color w:val="auto"/>
              </w:rPr>
            </w:pPr>
          </w:p>
        </w:tc>
        <w:tc>
          <w:tcPr>
            <w:tcW w:w="560" w:type="dxa"/>
            <w:vAlign w:val="bottom"/>
          </w:tcPr>
          <w:p>
            <w:pPr>
              <w:jc w:val="right"/>
              <w:ind w:right="409"/>
              <w:spacing w:after="0"/>
              <w:rPr>
                <w:sz w:val="20"/>
                <w:szCs w:val="20"/>
                <w:color w:val="auto"/>
              </w:rPr>
            </w:pPr>
            <w:r>
              <w:rPr>
                <w:rFonts w:ascii="Arial" w:cs="Arial" w:eastAsia="Arial" w:hAnsi="Arial"/>
                <w:sz w:val="14"/>
                <w:szCs w:val="14"/>
                <w:color w:val="auto"/>
                <w:w w:val="76"/>
              </w:rPr>
              <w:t>$</w:t>
            </w:r>
          </w:p>
        </w:tc>
        <w:tc>
          <w:tcPr>
            <w:tcW w:w="1860" w:type="dxa"/>
            <w:vAlign w:val="bottom"/>
            <w:gridSpan w:val="2"/>
          </w:tcPr>
          <w:p>
            <w:pPr>
              <w:jc w:val="right"/>
              <w:ind w:right="680"/>
              <w:spacing w:after="0"/>
              <w:rPr>
                <w:sz w:val="20"/>
                <w:szCs w:val="20"/>
                <w:color w:val="auto"/>
              </w:rPr>
            </w:pPr>
            <w:r>
              <w:rPr>
                <w:rFonts w:ascii="Arial" w:cs="Arial" w:eastAsia="Arial" w:hAnsi="Arial"/>
                <w:sz w:val="14"/>
                <w:szCs w:val="14"/>
                <w:color w:val="auto"/>
              </w:rPr>
              <w:t>878,281</w:t>
            </w:r>
          </w:p>
        </w:tc>
        <w:tc>
          <w:tcPr>
            <w:tcW w:w="520" w:type="dxa"/>
            <w:vAlign w:val="bottom"/>
          </w:tcPr>
          <w:p>
            <w:pPr>
              <w:jc w:val="right"/>
              <w:ind w:right="369"/>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818,8</w:t>
            </w:r>
          </w:p>
        </w:tc>
        <w:tc>
          <w:tcPr>
            <w:tcW w:w="0" w:type="dxa"/>
            <w:vAlign w:val="bottom"/>
          </w:tcPr>
          <w:p>
            <w:pPr>
              <w:spacing w:after="0"/>
              <w:rPr>
                <w:sz w:val="1"/>
                <w:szCs w:val="1"/>
                <w:color w:val="auto"/>
              </w:rPr>
            </w:pPr>
          </w:p>
        </w:tc>
      </w:tr>
      <w:tr>
        <w:trPr>
          <w:trHeight w:val="20"/>
        </w:trPr>
        <w:tc>
          <w:tcPr>
            <w:tcW w:w="4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4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4100" w:type="dxa"/>
            <w:vAlign w:val="bottom"/>
            <w:shd w:val="clear" w:color="auto" w:fill="CFF0FC"/>
          </w:tcPr>
          <w:p>
            <w:pPr>
              <w:spacing w:after="0"/>
              <w:rPr>
                <w:sz w:val="20"/>
                <w:szCs w:val="20"/>
                <w:color w:val="auto"/>
              </w:rPr>
            </w:pPr>
            <w:r>
              <w:rPr>
                <w:rFonts w:ascii="Arial" w:cs="Arial" w:eastAsia="Arial" w:hAnsi="Arial"/>
                <w:sz w:val="14"/>
                <w:szCs w:val="14"/>
                <w:b w:val="1"/>
                <w:bCs w:val="1"/>
                <w:color w:val="auto"/>
              </w:rPr>
              <w:t>Adjusted EBITDA:</w:t>
            </w:r>
          </w:p>
        </w:tc>
        <w:tc>
          <w:tcPr>
            <w:tcW w:w="32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760" w:type="dxa"/>
            <w:vAlign w:val="bottom"/>
            <w:shd w:val="clear" w:color="auto" w:fill="CFF0FC"/>
          </w:tcPr>
          <w:p>
            <w:pPr>
              <w:spacing w:after="0"/>
              <w:rPr>
                <w:sz w:val="17"/>
                <w:szCs w:val="17"/>
                <w:color w:val="auto"/>
              </w:rPr>
            </w:pPr>
          </w:p>
        </w:tc>
        <w:tc>
          <w:tcPr>
            <w:tcW w:w="300" w:type="dxa"/>
            <w:vAlign w:val="bottom"/>
            <w:shd w:val="clear" w:color="auto" w:fill="CFF0FC"/>
          </w:tcPr>
          <w:p>
            <w:pPr>
              <w:spacing w:after="0"/>
              <w:rPr>
                <w:sz w:val="17"/>
                <w:szCs w:val="17"/>
                <w:color w:val="auto"/>
              </w:rPr>
            </w:pPr>
          </w:p>
        </w:tc>
        <w:tc>
          <w:tcPr>
            <w:tcW w:w="560" w:type="dxa"/>
            <w:vAlign w:val="bottom"/>
            <w:shd w:val="clear" w:color="auto" w:fill="CFF0FC"/>
          </w:tcPr>
          <w:p>
            <w:pPr>
              <w:spacing w:after="0"/>
              <w:rPr>
                <w:sz w:val="17"/>
                <w:szCs w:val="17"/>
                <w:color w:val="auto"/>
              </w:rPr>
            </w:pPr>
          </w:p>
        </w:tc>
        <w:tc>
          <w:tcPr>
            <w:tcW w:w="1180" w:type="dxa"/>
            <w:vAlign w:val="bottom"/>
            <w:shd w:val="clear" w:color="auto" w:fill="CFF0FC"/>
          </w:tcPr>
          <w:p>
            <w:pPr>
              <w:spacing w:after="0"/>
              <w:rPr>
                <w:sz w:val="17"/>
                <w:szCs w:val="17"/>
                <w:color w:val="auto"/>
              </w:rPr>
            </w:pPr>
          </w:p>
        </w:tc>
        <w:tc>
          <w:tcPr>
            <w:tcW w:w="680" w:type="dxa"/>
            <w:vAlign w:val="bottom"/>
            <w:shd w:val="clear" w:color="auto" w:fill="CFF0FC"/>
          </w:tcPr>
          <w:p>
            <w:pPr>
              <w:spacing w:after="0"/>
              <w:rPr>
                <w:sz w:val="17"/>
                <w:szCs w:val="17"/>
                <w:color w:val="auto"/>
              </w:rPr>
            </w:pPr>
          </w:p>
        </w:tc>
        <w:tc>
          <w:tcPr>
            <w:tcW w:w="52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4100" w:type="dxa"/>
            <w:vAlign w:val="bottom"/>
          </w:tcPr>
          <w:p>
            <w:pPr>
              <w:spacing w:after="0"/>
              <w:rPr>
                <w:sz w:val="20"/>
                <w:szCs w:val="20"/>
                <w:color w:val="auto"/>
              </w:rPr>
            </w:pPr>
            <w:r>
              <w:rPr>
                <w:rFonts w:ascii="Arial" w:cs="Arial" w:eastAsia="Arial" w:hAnsi="Arial"/>
                <w:sz w:val="14"/>
                <w:szCs w:val="14"/>
                <w:color w:val="auto"/>
              </w:rPr>
              <w:t>Leasing</w:t>
            </w:r>
          </w:p>
        </w:tc>
        <w:tc>
          <w:tcPr>
            <w:tcW w:w="320" w:type="dxa"/>
            <w:vAlign w:val="bottom"/>
          </w:tcPr>
          <w:p>
            <w:pPr>
              <w:jc w:val="right"/>
              <w:ind w:right="169"/>
              <w:spacing w:after="0"/>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206,124</w:t>
            </w:r>
          </w:p>
        </w:tc>
        <w:tc>
          <w:tcPr>
            <w:tcW w:w="1040" w:type="dxa"/>
            <w:vAlign w:val="bottom"/>
            <w:gridSpan w:val="2"/>
          </w:tcPr>
          <w:p>
            <w:pPr>
              <w:jc w:val="right"/>
              <w:ind w:right="829"/>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191,545</w:t>
            </w:r>
          </w:p>
        </w:tc>
        <w:tc>
          <w:tcPr>
            <w:tcW w:w="300" w:type="dxa"/>
            <w:vAlign w:val="bottom"/>
          </w:tcPr>
          <w:p>
            <w:pPr>
              <w:spacing w:after="0"/>
              <w:rPr>
                <w:sz w:val="17"/>
                <w:szCs w:val="17"/>
                <w:color w:val="auto"/>
              </w:rPr>
            </w:pPr>
          </w:p>
        </w:tc>
        <w:tc>
          <w:tcPr>
            <w:tcW w:w="560" w:type="dxa"/>
            <w:vAlign w:val="bottom"/>
          </w:tcPr>
          <w:p>
            <w:pPr>
              <w:jc w:val="right"/>
              <w:ind w:right="409"/>
              <w:spacing w:after="0"/>
              <w:rPr>
                <w:sz w:val="20"/>
                <w:szCs w:val="20"/>
                <w:color w:val="auto"/>
              </w:rPr>
            </w:pPr>
            <w:r>
              <w:rPr>
                <w:rFonts w:ascii="Arial" w:cs="Arial" w:eastAsia="Arial" w:hAnsi="Arial"/>
                <w:sz w:val="14"/>
                <w:szCs w:val="14"/>
                <w:color w:val="auto"/>
                <w:w w:val="76"/>
              </w:rPr>
              <w:t>$</w:t>
            </w:r>
          </w:p>
        </w:tc>
        <w:tc>
          <w:tcPr>
            <w:tcW w:w="1860" w:type="dxa"/>
            <w:vAlign w:val="bottom"/>
            <w:gridSpan w:val="2"/>
          </w:tcPr>
          <w:p>
            <w:pPr>
              <w:jc w:val="right"/>
              <w:ind w:right="680"/>
              <w:spacing w:after="0"/>
              <w:rPr>
                <w:sz w:val="20"/>
                <w:szCs w:val="20"/>
                <w:color w:val="auto"/>
              </w:rPr>
            </w:pPr>
            <w:r>
              <w:rPr>
                <w:rFonts w:ascii="Arial" w:cs="Arial" w:eastAsia="Arial" w:hAnsi="Arial"/>
                <w:sz w:val="14"/>
                <w:szCs w:val="14"/>
                <w:color w:val="auto"/>
              </w:rPr>
              <w:t>784,061</w:t>
            </w:r>
          </w:p>
        </w:tc>
        <w:tc>
          <w:tcPr>
            <w:tcW w:w="520" w:type="dxa"/>
            <w:vAlign w:val="bottom"/>
          </w:tcPr>
          <w:p>
            <w:pPr>
              <w:jc w:val="right"/>
              <w:ind w:right="369"/>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737,3</w:t>
            </w:r>
          </w:p>
        </w:tc>
        <w:tc>
          <w:tcPr>
            <w:tcW w:w="0" w:type="dxa"/>
            <w:vAlign w:val="bottom"/>
          </w:tcPr>
          <w:p>
            <w:pPr>
              <w:spacing w:after="0"/>
              <w:rPr>
                <w:sz w:val="1"/>
                <w:szCs w:val="1"/>
                <w:color w:val="auto"/>
              </w:rPr>
            </w:pPr>
          </w:p>
        </w:tc>
      </w:tr>
      <w:tr>
        <w:trPr>
          <w:trHeight w:val="200"/>
        </w:trPr>
        <w:tc>
          <w:tcPr>
            <w:tcW w:w="4100" w:type="dxa"/>
            <w:vAlign w:val="bottom"/>
            <w:shd w:val="clear" w:color="auto" w:fill="CFF0FC"/>
          </w:tcPr>
          <w:p>
            <w:pPr>
              <w:ind w:left="120"/>
              <w:spacing w:after="0"/>
              <w:rPr>
                <w:sz w:val="20"/>
                <w:szCs w:val="20"/>
                <w:color w:val="auto"/>
              </w:rPr>
            </w:pPr>
            <w:r>
              <w:rPr>
                <w:rFonts w:ascii="Arial" w:cs="Arial" w:eastAsia="Arial" w:hAnsi="Arial"/>
                <w:sz w:val="14"/>
                <w:szCs w:val="14"/>
                <w:color w:val="auto"/>
              </w:rPr>
              <w:t>Fiber Infrastructure</w:t>
            </w:r>
          </w:p>
        </w:tc>
        <w:tc>
          <w:tcPr>
            <w:tcW w:w="320" w:type="dxa"/>
            <w:vAlign w:val="bottom"/>
            <w:shd w:val="clear" w:color="auto" w:fill="CFF0FC"/>
          </w:tcPr>
          <w:p>
            <w:pPr>
              <w:spacing w:after="0"/>
              <w:rPr>
                <w:sz w:val="17"/>
                <w:szCs w:val="17"/>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31,736</w:t>
            </w:r>
          </w:p>
        </w:tc>
        <w:tc>
          <w:tcPr>
            <w:tcW w:w="6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1060" w:type="dxa"/>
            <w:vAlign w:val="bottom"/>
            <w:gridSpan w:val="2"/>
            <w:shd w:val="clear" w:color="auto" w:fill="CFF0FC"/>
          </w:tcPr>
          <w:p>
            <w:pPr>
              <w:jc w:val="right"/>
              <w:ind w:right="300"/>
              <w:spacing w:after="0"/>
              <w:rPr>
                <w:sz w:val="20"/>
                <w:szCs w:val="20"/>
                <w:color w:val="auto"/>
              </w:rPr>
            </w:pPr>
            <w:r>
              <w:rPr>
                <w:rFonts w:ascii="Arial" w:cs="Arial" w:eastAsia="Arial" w:hAnsi="Arial"/>
                <w:sz w:val="14"/>
                <w:szCs w:val="14"/>
                <w:color w:val="auto"/>
              </w:rPr>
              <w:t>30,836</w:t>
            </w:r>
          </w:p>
        </w:tc>
        <w:tc>
          <w:tcPr>
            <w:tcW w:w="560" w:type="dxa"/>
            <w:vAlign w:val="bottom"/>
            <w:shd w:val="clear" w:color="auto" w:fill="CFF0FC"/>
          </w:tcPr>
          <w:p>
            <w:pPr>
              <w:spacing w:after="0"/>
              <w:rPr>
                <w:sz w:val="17"/>
                <w:szCs w:val="17"/>
                <w:color w:val="auto"/>
              </w:rPr>
            </w:pPr>
          </w:p>
        </w:tc>
        <w:tc>
          <w:tcPr>
            <w:tcW w:w="1860" w:type="dxa"/>
            <w:vAlign w:val="bottom"/>
            <w:gridSpan w:val="2"/>
            <w:shd w:val="clear" w:color="auto" w:fill="CFF0FC"/>
          </w:tcPr>
          <w:p>
            <w:pPr>
              <w:jc w:val="right"/>
              <w:ind w:right="680"/>
              <w:spacing w:after="0"/>
              <w:rPr>
                <w:sz w:val="20"/>
                <w:szCs w:val="20"/>
                <w:color w:val="auto"/>
              </w:rPr>
            </w:pPr>
            <w:r>
              <w:rPr>
                <w:rFonts w:ascii="Arial" w:cs="Arial" w:eastAsia="Arial" w:hAnsi="Arial"/>
                <w:sz w:val="14"/>
                <w:szCs w:val="14"/>
                <w:color w:val="auto"/>
              </w:rPr>
              <w:t>118,452</w:t>
            </w:r>
          </w:p>
        </w:tc>
        <w:tc>
          <w:tcPr>
            <w:tcW w:w="520" w:type="dxa"/>
            <w:vAlign w:val="bottom"/>
            <w:shd w:val="clear" w:color="auto" w:fill="CFF0FC"/>
          </w:tcPr>
          <w:p>
            <w:pPr>
              <w:spacing w:after="0"/>
              <w:rPr>
                <w:sz w:val="17"/>
                <w:szCs w:val="17"/>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112,2</w:t>
            </w:r>
          </w:p>
        </w:tc>
        <w:tc>
          <w:tcPr>
            <w:tcW w:w="0" w:type="dxa"/>
            <w:vAlign w:val="bottom"/>
          </w:tcPr>
          <w:p>
            <w:pPr>
              <w:spacing w:after="0"/>
              <w:rPr>
                <w:sz w:val="1"/>
                <w:szCs w:val="1"/>
                <w:color w:val="auto"/>
              </w:rPr>
            </w:pPr>
          </w:p>
        </w:tc>
      </w:tr>
      <w:tr>
        <w:trPr>
          <w:trHeight w:val="200"/>
        </w:trPr>
        <w:tc>
          <w:tcPr>
            <w:tcW w:w="4100" w:type="dxa"/>
            <w:vAlign w:val="bottom"/>
          </w:tcPr>
          <w:p>
            <w:pPr>
              <w:ind w:left="120"/>
              <w:spacing w:after="0"/>
              <w:rPr>
                <w:sz w:val="20"/>
                <w:szCs w:val="20"/>
                <w:color w:val="auto"/>
              </w:rPr>
            </w:pPr>
            <w:r>
              <w:rPr>
                <w:rFonts w:ascii="Arial" w:cs="Arial" w:eastAsia="Arial" w:hAnsi="Arial"/>
                <w:sz w:val="14"/>
                <w:szCs w:val="14"/>
                <w:color w:val="auto"/>
              </w:rPr>
              <w:t>Towers</w:t>
            </w:r>
          </w:p>
        </w:tc>
        <w:tc>
          <w:tcPr>
            <w:tcW w:w="320" w:type="dxa"/>
            <w:vAlign w:val="bottom"/>
          </w:tcPr>
          <w:p>
            <w:pPr>
              <w:spacing w:after="0"/>
              <w:rPr>
                <w:sz w:val="17"/>
                <w:szCs w:val="17"/>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4100" w:type="dxa"/>
            <w:vAlign w:val="bottom"/>
            <w:shd w:val="clear" w:color="auto" w:fill="CFF0FC"/>
          </w:tcPr>
          <w:p>
            <w:pPr>
              <w:ind w:left="120"/>
              <w:spacing w:after="0"/>
              <w:rPr>
                <w:sz w:val="20"/>
                <w:szCs w:val="20"/>
                <w:color w:val="auto"/>
              </w:rPr>
            </w:pPr>
            <w:r>
              <w:rPr>
                <w:rFonts w:ascii="Arial" w:cs="Arial" w:eastAsia="Arial" w:hAnsi="Arial"/>
                <w:sz w:val="14"/>
                <w:szCs w:val="14"/>
                <w:color w:val="auto"/>
              </w:rPr>
              <w:t>Consumer CLEC</w:t>
            </w:r>
          </w:p>
        </w:tc>
        <w:tc>
          <w:tcPr>
            <w:tcW w:w="320" w:type="dxa"/>
            <w:vAlign w:val="bottom"/>
            <w:shd w:val="clear" w:color="auto" w:fill="CFF0FC"/>
          </w:tcPr>
          <w:p>
            <w:pPr>
              <w:spacing w:after="0"/>
              <w:rPr>
                <w:sz w:val="17"/>
                <w:szCs w:val="17"/>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1060" w:type="dxa"/>
            <w:vAlign w:val="bottom"/>
            <w:gridSpan w:val="2"/>
            <w:shd w:val="clear" w:color="auto" w:fill="CFF0FC"/>
          </w:tcPr>
          <w:p>
            <w:pPr>
              <w:jc w:val="right"/>
              <w:ind w:right="300"/>
              <w:spacing w:after="0"/>
              <w:rPr>
                <w:sz w:val="20"/>
                <w:szCs w:val="20"/>
                <w:color w:val="auto"/>
              </w:rPr>
            </w:pPr>
            <w:r>
              <w:rPr>
                <w:rFonts w:ascii="Arial" w:cs="Arial" w:eastAsia="Arial" w:hAnsi="Arial"/>
                <w:sz w:val="14"/>
                <w:szCs w:val="14"/>
                <w:color w:val="auto"/>
              </w:rPr>
              <w:t>(84)</w:t>
            </w:r>
          </w:p>
        </w:tc>
        <w:tc>
          <w:tcPr>
            <w:tcW w:w="560" w:type="dxa"/>
            <w:vAlign w:val="bottom"/>
            <w:shd w:val="clear" w:color="auto" w:fill="CFF0FC"/>
          </w:tcPr>
          <w:p>
            <w:pPr>
              <w:spacing w:after="0"/>
              <w:rPr>
                <w:sz w:val="17"/>
                <w:szCs w:val="17"/>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FF0FC"/>
          </w:tcPr>
          <w:p>
            <w:pPr>
              <w:spacing w:after="0"/>
              <w:rPr>
                <w:sz w:val="17"/>
                <w:szCs w:val="17"/>
                <w:color w:val="auto"/>
              </w:rPr>
            </w:pPr>
          </w:p>
        </w:tc>
        <w:tc>
          <w:tcPr>
            <w:tcW w:w="520" w:type="dxa"/>
            <w:vAlign w:val="bottom"/>
            <w:shd w:val="clear" w:color="auto" w:fill="CFF0FC"/>
          </w:tcPr>
          <w:p>
            <w:pPr>
              <w:spacing w:after="0"/>
              <w:rPr>
                <w:sz w:val="17"/>
                <w:szCs w:val="17"/>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(54</w:t>
            </w:r>
          </w:p>
        </w:tc>
        <w:tc>
          <w:tcPr>
            <w:tcW w:w="0" w:type="dxa"/>
            <w:vAlign w:val="bottom"/>
          </w:tcPr>
          <w:p>
            <w:pPr>
              <w:spacing w:after="0"/>
              <w:rPr>
                <w:sz w:val="1"/>
                <w:szCs w:val="1"/>
                <w:color w:val="auto"/>
              </w:rPr>
            </w:pPr>
          </w:p>
        </w:tc>
      </w:tr>
      <w:tr>
        <w:trPr>
          <w:trHeight w:val="200"/>
        </w:trPr>
        <w:tc>
          <w:tcPr>
            <w:tcW w:w="4100" w:type="dxa"/>
            <w:vAlign w:val="bottom"/>
            <w:tcBorders>
              <w:bottom w:val="single" w:sz="8" w:color="CFF0FC"/>
            </w:tcBorders>
          </w:tcPr>
          <w:p>
            <w:pPr>
              <w:ind w:left="120"/>
              <w:spacing w:after="0"/>
              <w:rPr>
                <w:sz w:val="20"/>
                <w:szCs w:val="20"/>
                <w:color w:val="auto"/>
              </w:rPr>
            </w:pPr>
            <w:r>
              <w:rPr>
                <w:rFonts w:ascii="Arial" w:cs="Arial" w:eastAsia="Arial" w:hAnsi="Arial"/>
                <w:sz w:val="14"/>
                <w:szCs w:val="14"/>
                <w:color w:val="auto"/>
              </w:rPr>
              <w:t>Corporate</w:t>
            </w:r>
          </w:p>
        </w:tc>
        <w:tc>
          <w:tcPr>
            <w:tcW w:w="3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(6,788)</w:t>
            </w:r>
          </w:p>
        </w:tc>
        <w:tc>
          <w:tcPr>
            <w:tcW w:w="80" w:type="dxa"/>
            <w:vAlign w:val="bottom"/>
            <w:tcBorders>
              <w:bottom w:val="single" w:sz="8" w:color="CFF0FC"/>
            </w:tcBorders>
          </w:tcPr>
          <w:p>
            <w:pPr>
              <w:spacing w:after="0"/>
              <w:rPr>
                <w:sz w:val="17"/>
                <w:szCs w:val="17"/>
                <w:color w:val="auto"/>
              </w:rPr>
            </w:pPr>
          </w:p>
        </w:tc>
        <w:tc>
          <w:tcPr>
            <w:tcW w:w="60" w:type="dxa"/>
            <w:vAlign w:val="bottom"/>
            <w:tcBorders>
              <w:bottom w:val="single" w:sz="8" w:color="CFF0FC"/>
            </w:tcBorders>
          </w:tcPr>
          <w:p>
            <w:pPr>
              <w:spacing w:after="0"/>
              <w:rPr>
                <w:sz w:val="17"/>
                <w:szCs w:val="17"/>
                <w:color w:val="auto"/>
              </w:rPr>
            </w:pPr>
          </w:p>
        </w:tc>
        <w:tc>
          <w:tcPr>
            <w:tcW w:w="9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(6,606)</w:t>
            </w:r>
          </w:p>
        </w:tc>
        <w:tc>
          <w:tcPr>
            <w:tcW w:w="300" w:type="dxa"/>
            <w:vAlign w:val="bottom"/>
            <w:tcBorders>
              <w:bottom w:val="single" w:sz="8" w:color="CFF0FC"/>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(24,232)</w:t>
            </w:r>
          </w:p>
        </w:tc>
        <w:tc>
          <w:tcPr>
            <w:tcW w:w="680" w:type="dxa"/>
            <w:vAlign w:val="bottom"/>
            <w:tcBorders>
              <w:bottom w:val="single" w:sz="8" w:color="CFF0FC"/>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(30,32</w:t>
            </w:r>
          </w:p>
        </w:tc>
        <w:tc>
          <w:tcPr>
            <w:tcW w:w="0" w:type="dxa"/>
            <w:vAlign w:val="bottom"/>
          </w:tcPr>
          <w:p>
            <w:pPr>
              <w:spacing w:after="0"/>
              <w:rPr>
                <w:sz w:val="1"/>
                <w:szCs w:val="1"/>
                <w:color w:val="auto"/>
              </w:rPr>
            </w:pPr>
          </w:p>
        </w:tc>
      </w:tr>
      <w:tr>
        <w:trPr>
          <w:trHeight w:val="167"/>
        </w:trPr>
        <w:tc>
          <w:tcPr>
            <w:tcW w:w="4100" w:type="dxa"/>
            <w:vAlign w:val="bottom"/>
            <w:tcBorders>
              <w:bottom w:val="single" w:sz="8" w:color="CFF0FC"/>
            </w:tcBorders>
            <w:shd w:val="clear" w:color="auto" w:fill="CFF0FC"/>
          </w:tcPr>
          <w:p>
            <w:pPr>
              <w:spacing w:after="0"/>
              <w:rPr>
                <w:sz w:val="14"/>
                <w:szCs w:val="14"/>
                <w:color w:val="auto"/>
              </w:rPr>
            </w:pPr>
          </w:p>
        </w:tc>
        <w:tc>
          <w:tcPr>
            <w:tcW w:w="320" w:type="dxa"/>
            <w:vAlign w:val="bottom"/>
            <w:tcBorders>
              <w:bottom w:val="single" w:sz="8" w:color="auto"/>
            </w:tcBorders>
            <w:shd w:val="clear" w:color="auto" w:fill="CFF0FC"/>
          </w:tcPr>
          <w:p>
            <w:pPr>
              <w:jc w:val="right"/>
              <w:ind w:right="169"/>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231,072</w:t>
            </w:r>
          </w:p>
        </w:tc>
        <w:tc>
          <w:tcPr>
            <w:tcW w:w="80" w:type="dxa"/>
            <w:vAlign w:val="bottom"/>
            <w:tcBorders>
              <w:bottom w:val="single" w:sz="8" w:color="CFF0FC"/>
            </w:tcBorders>
            <w:shd w:val="clear" w:color="auto" w:fill="CFF0FC"/>
          </w:tcPr>
          <w:p>
            <w:pPr>
              <w:spacing w:after="0"/>
              <w:rPr>
                <w:sz w:val="14"/>
                <w:szCs w:val="14"/>
                <w:color w:val="auto"/>
              </w:rPr>
            </w:pPr>
          </w:p>
        </w:tc>
        <w:tc>
          <w:tcPr>
            <w:tcW w:w="60" w:type="dxa"/>
            <w:vAlign w:val="bottom"/>
            <w:tcBorders>
              <w:bottom w:val="single" w:sz="8" w:color="CFF0FC"/>
            </w:tcBorders>
            <w:shd w:val="clear" w:color="auto" w:fill="CFF0FC"/>
          </w:tcPr>
          <w:p>
            <w:pPr>
              <w:spacing w:after="0"/>
              <w:rPr>
                <w:sz w:val="14"/>
                <w:szCs w:val="14"/>
                <w:color w:val="auto"/>
              </w:rPr>
            </w:pPr>
          </w:p>
        </w:tc>
        <w:tc>
          <w:tcPr>
            <w:tcW w:w="980" w:type="dxa"/>
            <w:vAlign w:val="bottom"/>
            <w:tcBorders>
              <w:bottom w:val="single" w:sz="8" w:color="auto"/>
            </w:tcBorders>
            <w:shd w:val="clear" w:color="auto" w:fill="CFF0FC"/>
          </w:tcPr>
          <w:p>
            <w:pPr>
              <w:jc w:val="right"/>
              <w:ind w:right="829"/>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215,691</w:t>
            </w:r>
          </w:p>
        </w:tc>
        <w:tc>
          <w:tcPr>
            <w:tcW w:w="300" w:type="dxa"/>
            <w:vAlign w:val="bottom"/>
            <w:tcBorders>
              <w:bottom w:val="single" w:sz="8" w:color="CFF0FC"/>
            </w:tcBorders>
            <w:shd w:val="clear" w:color="auto" w:fill="CFF0FC"/>
          </w:tcPr>
          <w:p>
            <w:pPr>
              <w:spacing w:after="0"/>
              <w:rPr>
                <w:sz w:val="14"/>
                <w:szCs w:val="14"/>
                <w:color w:val="auto"/>
              </w:rPr>
            </w:pPr>
          </w:p>
        </w:tc>
        <w:tc>
          <w:tcPr>
            <w:tcW w:w="560" w:type="dxa"/>
            <w:vAlign w:val="bottom"/>
            <w:tcBorders>
              <w:bottom w:val="single" w:sz="8" w:color="auto"/>
            </w:tcBorders>
            <w:shd w:val="clear" w:color="auto" w:fill="CFF0FC"/>
          </w:tcPr>
          <w:p>
            <w:pPr>
              <w:jc w:val="right"/>
              <w:ind w:right="409"/>
              <w:spacing w:after="0"/>
              <w:rPr>
                <w:sz w:val="20"/>
                <w:szCs w:val="20"/>
                <w:color w:val="auto"/>
              </w:rPr>
            </w:pPr>
            <w:r>
              <w:rPr>
                <w:rFonts w:ascii="Arial" w:cs="Arial" w:eastAsia="Arial" w:hAnsi="Arial"/>
                <w:sz w:val="14"/>
                <w:szCs w:val="14"/>
                <w:color w:val="auto"/>
                <w:w w:val="76"/>
              </w:rPr>
              <w:t>$</w:t>
            </w: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878,281</w:t>
            </w:r>
          </w:p>
        </w:tc>
        <w:tc>
          <w:tcPr>
            <w:tcW w:w="680" w:type="dxa"/>
            <w:vAlign w:val="bottom"/>
            <w:tcBorders>
              <w:bottom w:val="single" w:sz="8" w:color="CFF0FC"/>
            </w:tcBorders>
            <w:shd w:val="clear" w:color="auto" w:fill="CFF0FC"/>
          </w:tcPr>
          <w:p>
            <w:pPr>
              <w:spacing w:after="0"/>
              <w:rPr>
                <w:sz w:val="14"/>
                <w:szCs w:val="14"/>
                <w:color w:val="auto"/>
              </w:rPr>
            </w:pPr>
          </w:p>
        </w:tc>
        <w:tc>
          <w:tcPr>
            <w:tcW w:w="520" w:type="dxa"/>
            <w:vAlign w:val="bottom"/>
            <w:tcBorders>
              <w:bottom w:val="single" w:sz="8" w:color="auto"/>
            </w:tcBorders>
            <w:shd w:val="clear" w:color="auto" w:fill="CFF0FC"/>
          </w:tcPr>
          <w:p>
            <w:pPr>
              <w:jc w:val="right"/>
              <w:ind w:right="369"/>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818,8</w:t>
            </w:r>
          </w:p>
        </w:tc>
        <w:tc>
          <w:tcPr>
            <w:tcW w:w="0" w:type="dxa"/>
            <w:vAlign w:val="bottom"/>
          </w:tcPr>
          <w:p>
            <w:pPr>
              <w:spacing w:after="0"/>
              <w:rPr>
                <w:sz w:val="1"/>
                <w:szCs w:val="1"/>
                <w:color w:val="auto"/>
              </w:rPr>
            </w:pPr>
          </w:p>
        </w:tc>
      </w:tr>
      <w:tr>
        <w:trPr>
          <w:trHeight w:val="20"/>
        </w:trPr>
        <w:tc>
          <w:tcPr>
            <w:tcW w:w="4100" w:type="dxa"/>
            <w:vAlign w:val="bottom"/>
            <w:vMerge w:val="restart"/>
          </w:tcPr>
          <w:p>
            <w:pPr>
              <w:spacing w:after="0"/>
              <w:rPr>
                <w:sz w:val="20"/>
                <w:szCs w:val="20"/>
                <w:color w:val="auto"/>
              </w:rPr>
            </w:pPr>
            <w:r>
              <w:rPr>
                <w:rFonts w:ascii="Arial" w:cs="Arial" w:eastAsia="Arial" w:hAnsi="Arial"/>
                <w:sz w:val="14"/>
                <w:szCs w:val="14"/>
                <w:b w:val="1"/>
                <w:bCs w:val="1"/>
                <w:color w:val="auto"/>
              </w:rPr>
              <w:t xml:space="preserve">Annualized Adjusted EBITDA </w:t>
            </w:r>
            <w:r>
              <w:rPr>
                <w:rFonts w:ascii="Arial" w:cs="Arial" w:eastAsia="Arial" w:hAnsi="Arial"/>
                <w:sz w:val="24"/>
                <w:szCs w:val="24"/>
                <w:color w:val="auto"/>
                <w:vertAlign w:val="superscript"/>
              </w:rPr>
              <w:t>(1)</w:t>
            </w: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0"/>
        </w:trPr>
        <w:tc>
          <w:tcPr>
            <w:tcW w:w="4100" w:type="dxa"/>
            <w:vAlign w:val="bottom"/>
            <w:vMerge w:val="continue"/>
          </w:tcPr>
          <w:p>
            <w:pPr>
              <w:spacing w:after="0"/>
              <w:rPr>
                <w:sz w:val="24"/>
                <w:szCs w:val="24"/>
                <w:color w:val="auto"/>
              </w:rPr>
            </w:pPr>
          </w:p>
        </w:tc>
        <w:tc>
          <w:tcPr>
            <w:tcW w:w="320" w:type="dxa"/>
            <w:vAlign w:val="bottom"/>
          </w:tcPr>
          <w:p>
            <w:pPr>
              <w:jc w:val="right"/>
              <w:ind w:right="169"/>
              <w:spacing w:after="0"/>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924,288</w:t>
            </w:r>
          </w:p>
        </w:tc>
        <w:tc>
          <w:tcPr>
            <w:tcW w:w="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4100" w:type="dxa"/>
            <w:vAlign w:val="bottom"/>
            <w:vMerge w:val="restart"/>
          </w:tcPr>
          <w:p>
            <w:pPr>
              <w:spacing w:after="0"/>
              <w:rPr>
                <w:sz w:val="20"/>
                <w:szCs w:val="20"/>
                <w:color w:val="auto"/>
              </w:rPr>
            </w:pPr>
            <w:r>
              <w:rPr>
                <w:rFonts w:ascii="Arial" w:cs="Arial" w:eastAsia="Arial" w:hAnsi="Arial"/>
                <w:sz w:val="14"/>
                <w:szCs w:val="14"/>
                <w:b w:val="1"/>
                <w:bCs w:val="1"/>
                <w:color w:val="auto"/>
              </w:rPr>
              <w:t>As of December 31, 2021:</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9"/>
        </w:trPr>
        <w:tc>
          <w:tcPr>
            <w:tcW w:w="410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4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760" w:type="dxa"/>
            <w:vAlign w:val="bottom"/>
          </w:tcPr>
          <w:p>
            <w:pPr>
              <w:spacing w:after="0"/>
              <w:rPr>
                <w:sz w:val="2"/>
                <w:szCs w:val="2"/>
                <w:color w:val="auto"/>
              </w:rPr>
            </w:pPr>
          </w:p>
        </w:tc>
        <w:tc>
          <w:tcPr>
            <w:tcW w:w="3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80" w:type="dxa"/>
            <w:vAlign w:val="bottom"/>
          </w:tcPr>
          <w:p>
            <w:pPr>
              <w:spacing w:after="0"/>
              <w:rPr>
                <w:sz w:val="2"/>
                <w:szCs w:val="2"/>
                <w:color w:val="auto"/>
              </w:rPr>
            </w:pPr>
          </w:p>
        </w:tc>
        <w:tc>
          <w:tcPr>
            <w:tcW w:w="52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3"/>
        </w:trPr>
        <w:tc>
          <w:tcPr>
            <w:tcW w:w="4100" w:type="dxa"/>
            <w:vAlign w:val="bottom"/>
            <w:tcBorders>
              <w:bottom w:val="single" w:sz="8" w:color="CFF0FC"/>
            </w:tcBorders>
            <w:shd w:val="clear" w:color="auto" w:fill="CFF0FC"/>
          </w:tcPr>
          <w:p>
            <w:pPr>
              <w:spacing w:after="0" w:line="187" w:lineRule="exact"/>
              <w:rPr>
                <w:sz w:val="20"/>
                <w:szCs w:val="20"/>
                <w:color w:val="auto"/>
              </w:rPr>
            </w:pPr>
            <w:r>
              <w:rPr>
                <w:rFonts w:ascii="Arial" w:cs="Arial" w:eastAsia="Arial" w:hAnsi="Arial"/>
                <w:sz w:val="13"/>
                <w:szCs w:val="13"/>
                <w:color w:val="auto"/>
              </w:rPr>
              <w:t xml:space="preserve">Total Debt </w:t>
            </w:r>
            <w:r>
              <w:rPr>
                <w:rFonts w:ascii="Arial" w:cs="Arial" w:eastAsia="Arial" w:hAnsi="Arial"/>
                <w:sz w:val="21"/>
                <w:szCs w:val="21"/>
                <w:color w:val="auto"/>
                <w:vertAlign w:val="superscript"/>
              </w:rPr>
              <w:t>(2)</w:t>
            </w:r>
          </w:p>
        </w:tc>
        <w:tc>
          <w:tcPr>
            <w:tcW w:w="320" w:type="dxa"/>
            <w:vAlign w:val="bottom"/>
            <w:tcBorders>
              <w:bottom w:val="single" w:sz="8" w:color="CFF0FC"/>
            </w:tcBorders>
            <w:shd w:val="clear" w:color="auto" w:fill="CFF0FC"/>
          </w:tcPr>
          <w:p>
            <w:pPr>
              <w:jc w:val="right"/>
              <w:ind w:right="169"/>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4"/>
                <w:szCs w:val="14"/>
                <w:color w:val="auto"/>
              </w:rPr>
              <w:t>5,190,348</w:t>
            </w: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0"/>
        </w:trPr>
        <w:tc>
          <w:tcPr>
            <w:tcW w:w="4100" w:type="dxa"/>
            <w:vAlign w:val="bottom"/>
          </w:tcPr>
          <w:p>
            <w:pPr>
              <w:spacing w:after="0"/>
              <w:rPr>
                <w:sz w:val="20"/>
                <w:szCs w:val="20"/>
                <w:color w:val="auto"/>
              </w:rPr>
            </w:pPr>
            <w:r>
              <w:rPr>
                <w:rFonts w:ascii="Arial" w:cs="Arial" w:eastAsia="Arial" w:hAnsi="Arial"/>
                <w:sz w:val="14"/>
                <w:szCs w:val="14"/>
                <w:color w:val="auto"/>
              </w:rPr>
              <w:t>Cash and cash equivalents</w:t>
            </w:r>
          </w:p>
        </w:tc>
        <w:tc>
          <w:tcPr>
            <w:tcW w:w="320" w:type="dxa"/>
            <w:vAlign w:val="bottom"/>
          </w:tcPr>
          <w:p>
            <w:pPr>
              <w:spacing w:after="0"/>
              <w:rPr>
                <w:sz w:val="17"/>
                <w:szCs w:val="17"/>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58,903</w:t>
            </w:r>
          </w:p>
        </w:tc>
        <w:tc>
          <w:tcPr>
            <w:tcW w:w="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4100" w:type="dxa"/>
            <w:vAlign w:val="bottom"/>
            <w:tcBorders>
              <w:top w:val="single" w:sz="8" w:color="CFF0FC"/>
              <w:bottom w:val="single" w:sz="8" w:color="CFF0FC"/>
            </w:tcBorders>
            <w:shd w:val="clear" w:color="auto" w:fill="CFF0FC"/>
          </w:tcPr>
          <w:p>
            <w:pPr>
              <w:ind w:left="120"/>
              <w:spacing w:after="0" w:line="153" w:lineRule="exact"/>
              <w:rPr>
                <w:sz w:val="20"/>
                <w:szCs w:val="20"/>
                <w:color w:val="auto"/>
              </w:rPr>
            </w:pPr>
            <w:r>
              <w:rPr>
                <w:rFonts w:ascii="Arial" w:cs="Arial" w:eastAsia="Arial" w:hAnsi="Arial"/>
                <w:sz w:val="14"/>
                <w:szCs w:val="14"/>
                <w:b w:val="1"/>
                <w:bCs w:val="1"/>
                <w:color w:val="auto"/>
              </w:rPr>
              <w:t>Net Debt</w:t>
            </w:r>
          </w:p>
        </w:tc>
        <w:tc>
          <w:tcPr>
            <w:tcW w:w="320" w:type="dxa"/>
            <w:vAlign w:val="bottom"/>
            <w:tcBorders>
              <w:top w:val="single" w:sz="8" w:color="auto"/>
              <w:bottom w:val="single" w:sz="8" w:color="auto"/>
            </w:tcBorders>
            <w:shd w:val="clear" w:color="auto" w:fill="CFF0FC"/>
          </w:tcPr>
          <w:p>
            <w:pPr>
              <w:jc w:val="right"/>
              <w:ind w:right="169"/>
              <w:spacing w:after="0" w:line="153" w:lineRule="exact"/>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FF0FC"/>
          </w:tcPr>
          <w:p>
            <w:pPr>
              <w:jc w:val="right"/>
              <w:spacing w:after="0" w:line="153" w:lineRule="exact"/>
              <w:rPr>
                <w:sz w:val="20"/>
                <w:szCs w:val="20"/>
                <w:color w:val="auto"/>
              </w:rPr>
            </w:pPr>
            <w:r>
              <w:rPr>
                <w:rFonts w:ascii="Arial" w:cs="Arial" w:eastAsia="Arial" w:hAnsi="Arial"/>
                <w:sz w:val="14"/>
                <w:szCs w:val="14"/>
                <w:color w:val="auto"/>
              </w:rPr>
              <w:t>5,131,445</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100" w:type="dxa"/>
            <w:vAlign w:val="bottom"/>
            <w:vMerge w:val="restart"/>
          </w:tcPr>
          <w:p>
            <w:pPr>
              <w:spacing w:after="0"/>
              <w:rPr>
                <w:sz w:val="20"/>
                <w:szCs w:val="20"/>
                <w:color w:val="auto"/>
              </w:rPr>
            </w:pPr>
            <w:r>
              <w:rPr>
                <w:rFonts w:ascii="Arial" w:cs="Arial" w:eastAsia="Arial" w:hAnsi="Arial"/>
                <w:sz w:val="14"/>
                <w:szCs w:val="14"/>
                <w:b w:val="1"/>
                <w:bCs w:val="1"/>
                <w:color w:val="auto"/>
              </w:rPr>
              <w:t>Net Debt/Annualized Adjusted EBITDA</w:t>
            </w: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2"/>
        </w:trPr>
        <w:tc>
          <w:tcPr>
            <w:tcW w:w="410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5.55x</w:t>
            </w:r>
          </w:p>
        </w:tc>
        <w:tc>
          <w:tcPr>
            <w:tcW w:w="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73" w:lineRule="exact"/>
        <w:rPr>
          <w:sz w:val="20"/>
          <w:szCs w:val="20"/>
          <w:color w:val="auto"/>
        </w:rPr>
      </w:pPr>
    </w:p>
    <w:p>
      <w:pPr>
        <w:ind w:left="780" w:right="300" w:hanging="386"/>
        <w:spacing w:after="0" w:line="243" w:lineRule="auto"/>
        <w:tabs>
          <w:tab w:leader="none" w:pos="780" w:val="left"/>
        </w:tabs>
        <w:numPr>
          <w:ilvl w:val="0"/>
          <w:numId w:val="4"/>
        </w:numPr>
        <w:rPr>
          <w:rFonts w:ascii="Arial" w:cs="Arial" w:eastAsia="Arial" w:hAnsi="Arial"/>
          <w:sz w:val="16"/>
          <w:szCs w:val="16"/>
          <w:color w:val="auto"/>
        </w:rPr>
      </w:pPr>
      <w:r>
        <w:rPr>
          <w:rFonts w:ascii="Arial" w:cs="Arial" w:eastAsia="Arial" w:hAnsi="Arial"/>
          <w:sz w:val="16"/>
          <w:szCs w:val="16"/>
          <w:color w:val="auto"/>
        </w:rPr>
        <w:t>Calculated as Adjusted EBITDA for the most recently reported three-month period, multiplied by four. Annualized Adjusted EBITDA has not been prepared on a pro forma basis in accordance with Article 11 of Regulation S-X.</w:t>
      </w:r>
    </w:p>
    <w:p>
      <w:pPr>
        <w:spacing w:after="0" w:line="1" w:lineRule="exact"/>
        <w:rPr>
          <w:rFonts w:ascii="Arial" w:cs="Arial" w:eastAsia="Arial" w:hAnsi="Arial"/>
          <w:sz w:val="16"/>
          <w:szCs w:val="16"/>
          <w:color w:val="auto"/>
        </w:rPr>
      </w:pPr>
    </w:p>
    <w:p>
      <w:pPr>
        <w:ind w:left="780" w:hanging="386"/>
        <w:spacing w:after="0"/>
        <w:tabs>
          <w:tab w:leader="none" w:pos="780" w:val="left"/>
        </w:tabs>
        <w:numPr>
          <w:ilvl w:val="0"/>
          <w:numId w:val="4"/>
        </w:numPr>
        <w:rPr>
          <w:rFonts w:ascii="Arial" w:cs="Arial" w:eastAsia="Arial" w:hAnsi="Arial"/>
          <w:sz w:val="16"/>
          <w:szCs w:val="16"/>
          <w:color w:val="auto"/>
        </w:rPr>
      </w:pPr>
      <w:r>
        <w:rPr>
          <w:rFonts w:ascii="Arial" w:cs="Arial" w:eastAsia="Arial" w:hAnsi="Arial"/>
          <w:sz w:val="16"/>
          <w:szCs w:val="16"/>
          <w:color w:val="auto"/>
        </w:rPr>
        <w:t>Includes $15.3 million of finance leases, but excludes $84.5 million of unamortized discounts and deferred financing costs.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100"/>
        <w:spacing w:after="0"/>
        <w:rPr>
          <w:sz w:val="20"/>
          <w:szCs w:val="20"/>
          <w:color w:val="auto"/>
        </w:rPr>
      </w:pPr>
      <w:r>
        <w:rPr>
          <w:rFonts w:ascii="Arial" w:cs="Arial" w:eastAsia="Arial" w:hAnsi="Arial"/>
          <w:sz w:val="20"/>
          <w:szCs w:val="20"/>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340"/>
          </w:cols>
          <w:pgMar w:left="320" w:top="806" w:right="239" w:bottom="1440" w:gutter="0" w:footer="0" w:header="0"/>
        </w:sectPr>
      </w:pPr>
    </w:p>
    <w:bookmarkStart w:id="12" w:name="page13"/>
    <w:bookmarkEnd w:id="12"/>
    <w:p>
      <w:pPr>
        <w:jc w:val="center"/>
        <w:ind w:right="-39"/>
        <w:spacing w:after="0"/>
        <w:rPr>
          <w:sz w:val="20"/>
          <w:szCs w:val="20"/>
          <w:color w:val="auto"/>
        </w:rPr>
      </w:pPr>
      <w:r>
        <w:rPr>
          <w:rFonts w:ascii="Arial" w:cs="Arial" w:eastAsia="Arial" w:hAnsi="Arial"/>
          <w:sz w:val="20"/>
          <w:szCs w:val="20"/>
          <w:b w:val="1"/>
          <w:bCs w:val="1"/>
          <w:color w:val="auto"/>
        </w:rPr>
        <w:t>Uniti Group Inc.</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 xml:space="preserve">Projected Future Results </w:t>
      </w:r>
      <w:r>
        <w:rPr>
          <w:rFonts w:ascii="Arial" w:cs="Arial" w:eastAsia="Arial" w:hAnsi="Arial"/>
          <w:sz w:val="15"/>
          <w:szCs w:val="15"/>
          <w:color w:val="auto"/>
        </w:rPr>
        <w:t>(1)</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20"/>
          <w:szCs w:val="20"/>
          <w:b w:val="1"/>
          <w:bCs w:val="1"/>
          <w:color w:val="auto"/>
        </w:rPr>
        <w:t>(In millions)</w:t>
      </w:r>
    </w:p>
    <w:p>
      <w:pPr>
        <w:spacing w:after="0" w:line="191" w:lineRule="exact"/>
        <w:rPr>
          <w:sz w:val="20"/>
          <w:szCs w:val="20"/>
          <w:color w:val="auto"/>
        </w:rPr>
      </w:pPr>
    </w:p>
    <w:p>
      <w:pPr>
        <w:jc w:val="center"/>
        <w:ind w:left="9180"/>
        <w:spacing w:after="0"/>
        <w:rPr>
          <w:sz w:val="20"/>
          <w:szCs w:val="20"/>
          <w:color w:val="auto"/>
        </w:rPr>
      </w:pPr>
      <w:r>
        <w:rPr>
          <w:rFonts w:ascii="Arial" w:cs="Arial" w:eastAsia="Arial" w:hAnsi="Arial"/>
          <w:sz w:val="18"/>
          <w:szCs w:val="18"/>
          <w:b w:val="1"/>
          <w:bCs w:val="1"/>
          <w:color w:val="auto"/>
        </w:rPr>
        <w:t>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-124460</wp:posOffset>
            </wp:positionV>
            <wp:extent cx="713422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jc w:val="center"/>
        <w:ind w:left="9180"/>
        <w:spacing w:after="0"/>
        <w:tabs>
          <w:tab w:leader="none" w:pos="260" w:val="left"/>
        </w:tabs>
        <w:rPr>
          <w:sz w:val="20"/>
          <w:szCs w:val="20"/>
          <w:color w:val="auto"/>
        </w:rPr>
      </w:pPr>
      <w:r>
        <w:rPr>
          <w:rFonts w:ascii="Arial" w:cs="Arial" w:eastAsia="Arial" w:hAnsi="Arial"/>
          <w:sz w:val="18"/>
          <w:szCs w:val="18"/>
          <w:b w:val="1"/>
          <w:bCs w:val="1"/>
          <w:color w:val="auto"/>
        </w:rPr>
        <w:t>Ended</w:t>
        <w:tab/>
        <w:t>December 31,</w:t>
      </w:r>
    </w:p>
    <w:p>
      <w:pPr>
        <w:jc w:val="center"/>
        <w:ind w:left="9180"/>
        <w:spacing w:after="0"/>
        <w:rPr>
          <w:sz w:val="20"/>
          <w:szCs w:val="20"/>
          <w:color w:val="auto"/>
        </w:rPr>
      </w:pPr>
      <w:r>
        <w:rPr>
          <w:rFonts w:ascii="Arial" w:cs="Arial" w:eastAsia="Arial" w:hAnsi="Arial"/>
          <w:sz w:val="18"/>
          <w:szCs w:val="18"/>
          <w:b w:val="1"/>
          <w:bCs w:val="1"/>
          <w:color w:val="auto"/>
        </w:rPr>
        <w:t>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-3175</wp:posOffset>
            </wp:positionV>
            <wp:extent cx="7134225" cy="144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4225" cy="144145"/>
                    </a:xfrm>
                    <a:prstGeom prst="rect">
                      <a:avLst/>
                    </a:prstGeom>
                    <a:noFill/>
                  </pic:spPr>
                </pic:pic>
              </a:graphicData>
            </a:graphic>
          </wp:anchor>
        </w:drawing>
      </w:r>
    </w:p>
    <w:p>
      <w:pPr>
        <w:sectPr>
          <w:pgSz w:w="11900" w:h="16838" w:orient="portrait"/>
          <w:cols w:equalWidth="0" w:num="1">
            <w:col w:w="11220"/>
          </w:cols>
          <w:pgMar w:left="320" w:top="1033" w:right="359" w:bottom="1440" w:gutter="0" w:footer="0" w:header="0"/>
        </w:sectPr>
      </w:pPr>
    </w:p>
    <w:p>
      <w:pPr>
        <w:spacing w:after="0" w:line="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Net income attributable to common shareholders – Basic</w:t>
      </w:r>
    </w:p>
    <w:p>
      <w:pPr>
        <w:spacing w:after="0" w:line="45" w:lineRule="exact"/>
        <w:rPr>
          <w:sz w:val="20"/>
          <w:szCs w:val="20"/>
          <w:color w:val="auto"/>
        </w:rPr>
      </w:pPr>
    </w:p>
    <w:p>
      <w:pPr>
        <w:spacing w:after="0"/>
        <w:rPr>
          <w:sz w:val="20"/>
          <w:szCs w:val="20"/>
          <w:color w:val="auto"/>
        </w:rPr>
      </w:pPr>
      <w:r>
        <w:rPr>
          <w:rFonts w:ascii="Arial" w:cs="Arial" w:eastAsia="Arial" w:hAnsi="Arial"/>
          <w:sz w:val="18"/>
          <w:szCs w:val="18"/>
          <w:color w:val="auto"/>
        </w:rPr>
        <w:t>Noncontrolling interest share in earnings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-3175</wp:posOffset>
            </wp:positionV>
            <wp:extent cx="7134225" cy="144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4225" cy="14414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Participating securities’ share in earnings</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Net income </w:t>
      </w:r>
      <w:r>
        <w:rPr>
          <w:rFonts w:ascii="Arial" w:cs="Arial" w:eastAsia="Arial" w:hAnsi="Arial"/>
          <w:sz w:val="15"/>
          <w:szCs w:val="15"/>
          <w:color w:val="auto"/>
        </w:rPr>
        <w:t>(2)</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Interest expense, net </w:t>
      </w:r>
      <w:r>
        <w:rPr>
          <w:rFonts w:ascii="Arial" w:cs="Arial" w:eastAsia="Arial" w:hAnsi="Arial"/>
          <w:sz w:val="15"/>
          <w:szCs w:val="15"/>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-128905</wp:posOffset>
            </wp:positionV>
            <wp:extent cx="7134225" cy="135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4225" cy="135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Depreciation and amortization</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Income tax benefit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-130175</wp:posOffset>
            </wp:positionV>
            <wp:extent cx="7134225" cy="135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4225" cy="135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 xml:space="preserve">EBITDA </w:t>
      </w:r>
      <w:r>
        <w:rPr>
          <w:rFonts w:ascii="Arial" w:cs="Arial" w:eastAsia="Arial" w:hAnsi="Arial"/>
          <w:sz w:val="15"/>
          <w:szCs w:val="15"/>
          <w:color w:val="auto"/>
        </w:rPr>
        <w:t>(2)</w:t>
      </w:r>
    </w:p>
    <w:p>
      <w:pPr>
        <w:spacing w:after="0" w:line="20" w:lineRule="exact"/>
        <w:rPr>
          <w:sz w:val="20"/>
          <w:szCs w:val="20"/>
          <w:color w:val="auto"/>
        </w:rPr>
      </w:pPr>
    </w:p>
    <w:p>
      <w:pPr>
        <w:spacing w:after="0"/>
        <w:rPr>
          <w:sz w:val="20"/>
          <w:szCs w:val="20"/>
          <w:color w:val="auto"/>
        </w:rPr>
      </w:pPr>
      <w:r>
        <w:rPr>
          <w:rFonts w:ascii="Arial" w:cs="Arial" w:eastAsia="Arial" w:hAnsi="Arial"/>
          <w:sz w:val="18"/>
          <w:szCs w:val="18"/>
          <w:color w:val="auto"/>
        </w:rPr>
        <w:t>Stock-based compensation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-130175</wp:posOffset>
            </wp:positionV>
            <wp:extent cx="7134225" cy="135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4225" cy="135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 xml:space="preserve">Transaction related and other costs </w:t>
      </w:r>
      <w:r>
        <w:rPr>
          <w:rFonts w:ascii="Arial" w:cs="Arial" w:eastAsia="Arial" w:hAnsi="Arial"/>
          <w:sz w:val="15"/>
          <w:szCs w:val="15"/>
          <w:color w:val="auto"/>
        </w:rPr>
        <w:t>(4)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Adjustment for unconsolidated entities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-130175</wp:posOffset>
            </wp:positionV>
            <wp:extent cx="7134225" cy="135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4225" cy="135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 xml:space="preserve">Adjusted EBITDA </w:t>
      </w:r>
      <w:r>
        <w:rPr>
          <w:rFonts w:ascii="Arial" w:cs="Arial" w:eastAsia="Arial" w:hAnsi="Arial"/>
          <w:sz w:val="15"/>
          <w:szCs w:val="15"/>
          <w:color w:val="auto"/>
        </w:rPr>
        <w:t>(2)</w:t>
      </w:r>
    </w:p>
    <w:p>
      <w:pPr>
        <w:spacing w:after="0" w:line="20" w:lineRule="exact"/>
        <w:rPr>
          <w:sz w:val="20"/>
          <w:szCs w:val="20"/>
          <w:color w:val="auto"/>
        </w:rPr>
      </w:pPr>
      <w:r>
        <w:rPr>
          <w:sz w:val="20"/>
          <w:szCs w:val="20"/>
          <w:color w:val="auto"/>
        </w:rPr>
        <w:br w:type="column"/>
      </w:r>
    </w:p>
    <w:p>
      <w:pPr>
        <w:ind w:left="141" w:hanging="141"/>
        <w:spacing w:after="0"/>
        <w:tabs>
          <w:tab w:leader="none" w:pos="141" w:val="left"/>
        </w:tabs>
        <w:numPr>
          <w:ilvl w:val="0"/>
          <w:numId w:val="5"/>
        </w:numPr>
        <w:rPr>
          <w:rFonts w:ascii="Arial" w:cs="Arial" w:eastAsia="Arial" w:hAnsi="Arial"/>
          <w:sz w:val="17"/>
          <w:szCs w:val="17"/>
          <w:color w:val="auto"/>
        </w:rPr>
      </w:pPr>
      <w:r>
        <w:rPr>
          <w:rFonts w:ascii="Arial" w:cs="Arial" w:eastAsia="Arial" w:hAnsi="Arial"/>
          <w:sz w:val="17"/>
          <w:szCs w:val="17"/>
          <w:color w:val="auto"/>
        </w:rPr>
        <w:t>185 to $ 203</w:t>
      </w:r>
    </w:p>
    <w:p>
      <w:pPr>
        <w:spacing w:after="0" w:line="24" w:lineRule="exact"/>
        <w:rPr>
          <w:rFonts w:ascii="Arial" w:cs="Arial" w:eastAsia="Arial" w:hAnsi="Arial"/>
          <w:sz w:val="17"/>
          <w:szCs w:val="17"/>
          <w:color w:val="auto"/>
        </w:rPr>
      </w:pPr>
    </w:p>
    <w:p>
      <w:pPr>
        <w:ind w:left="521"/>
        <w:spacing w:after="0"/>
        <w:rPr>
          <w:rFonts w:ascii="Arial" w:cs="Arial" w:eastAsia="Arial" w:hAnsi="Arial"/>
          <w:sz w:val="17"/>
          <w:szCs w:val="17"/>
          <w:color w:val="auto"/>
        </w:rPr>
      </w:pPr>
      <w:r>
        <w:rPr>
          <w:rFonts w:ascii="Arial" w:cs="Arial" w:eastAsia="Arial" w:hAnsi="Arial"/>
          <w:sz w:val="18"/>
          <w:szCs w:val="18"/>
          <w:color w:val="auto"/>
        </w:rPr>
        <w:t>1</w:t>
      </w:r>
    </w:p>
    <w:p>
      <w:pPr>
        <w:ind w:left="521"/>
        <w:spacing w:after="0"/>
        <w:rPr>
          <w:rFonts w:ascii="Arial" w:cs="Arial" w:eastAsia="Arial" w:hAnsi="Arial"/>
          <w:sz w:val="17"/>
          <w:szCs w:val="17"/>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-281940</wp:posOffset>
            </wp:positionH>
            <wp:positionV relativeFrom="paragraph">
              <wp:posOffset>13335</wp:posOffset>
            </wp:positionV>
            <wp:extent cx="128778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87780" cy="8255"/>
                    </a:xfrm>
                    <a:prstGeom prst="rect">
                      <a:avLst/>
                    </a:prstGeom>
                    <a:noFill/>
                  </pic:spPr>
                </pic:pic>
              </a:graphicData>
            </a:graphic>
          </wp:anchor>
        </w:drawing>
      </w:r>
    </w:p>
    <w:p>
      <w:pPr>
        <w:spacing w:after="0" w:line="20" w:lineRule="exact"/>
        <w:rPr>
          <w:sz w:val="20"/>
          <w:szCs w:val="20"/>
          <w:color w:val="auto"/>
        </w:rPr>
      </w:pPr>
    </w:p>
    <w:p>
      <w:pPr>
        <w:jc w:val="center"/>
        <w:ind w:right="419"/>
        <w:spacing w:after="0"/>
        <w:rPr>
          <w:sz w:val="20"/>
          <w:szCs w:val="20"/>
          <w:color w:val="auto"/>
        </w:rPr>
      </w:pPr>
      <w:r>
        <w:rPr>
          <w:rFonts w:ascii="Arial" w:cs="Arial" w:eastAsia="Arial" w:hAnsi="Arial"/>
          <w:sz w:val="18"/>
          <w:szCs w:val="18"/>
          <w:color w:val="auto"/>
        </w:rPr>
        <w:t>188 to 206</w:t>
      </w:r>
    </w:p>
    <w:p>
      <w:pPr>
        <w:jc w:val="center"/>
        <w:ind w:right="419"/>
        <w:spacing w:after="0"/>
        <w:rPr>
          <w:sz w:val="20"/>
          <w:szCs w:val="20"/>
          <w:color w:val="auto"/>
        </w:rPr>
      </w:pPr>
      <w:r>
        <w:rPr>
          <w:rFonts w:ascii="Arial" w:cs="Arial" w:eastAsia="Arial" w:hAnsi="Arial"/>
          <w:sz w:val="18"/>
          <w:szCs w:val="18"/>
          <w:color w:val="auto"/>
        </w:rPr>
        <w:t>388</w:t>
      </w:r>
    </w:p>
    <w:p>
      <w:pPr>
        <w:spacing w:after="0" w:line="6" w:lineRule="exact"/>
        <w:rPr>
          <w:sz w:val="20"/>
          <w:szCs w:val="20"/>
          <w:color w:val="auto"/>
        </w:rPr>
      </w:pPr>
    </w:p>
    <w:p>
      <w:pPr>
        <w:ind w:left="421"/>
        <w:spacing w:after="0"/>
        <w:rPr>
          <w:sz w:val="20"/>
          <w:szCs w:val="20"/>
          <w:color w:val="auto"/>
        </w:rPr>
      </w:pPr>
      <w:r>
        <w:rPr>
          <w:rFonts w:ascii="Arial" w:cs="Arial" w:eastAsia="Arial" w:hAnsi="Arial"/>
          <w:sz w:val="18"/>
          <w:szCs w:val="18"/>
          <w:color w:val="auto"/>
        </w:rPr>
        <w:t>295</w:t>
      </w:r>
    </w:p>
    <w:p>
      <w:pPr>
        <w:spacing w:after="0" w:line="6" w:lineRule="exact"/>
        <w:rPr>
          <w:sz w:val="20"/>
          <w:szCs w:val="20"/>
          <w:color w:val="auto"/>
        </w:rPr>
      </w:pPr>
    </w:p>
    <w:p>
      <w:pPr>
        <w:ind w:left="461"/>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-281940</wp:posOffset>
            </wp:positionH>
            <wp:positionV relativeFrom="paragraph">
              <wp:posOffset>4445</wp:posOffset>
            </wp:positionV>
            <wp:extent cx="128778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87780" cy="8255"/>
                    </a:xfrm>
                    <a:prstGeom prst="rect">
                      <a:avLst/>
                    </a:prstGeom>
                    <a:noFill/>
                  </pic:spPr>
                </pic:pic>
              </a:graphicData>
            </a:graphic>
          </wp:anchor>
        </w:drawing>
      </w:r>
    </w:p>
    <w:p>
      <w:pPr>
        <w:spacing w:after="0" w:line="6" w:lineRule="exact"/>
        <w:rPr>
          <w:sz w:val="20"/>
          <w:szCs w:val="20"/>
          <w:color w:val="auto"/>
        </w:rPr>
      </w:pPr>
    </w:p>
    <w:p>
      <w:pPr>
        <w:jc w:val="center"/>
        <w:ind w:right="419"/>
        <w:spacing w:after="0"/>
        <w:rPr>
          <w:sz w:val="20"/>
          <w:szCs w:val="20"/>
          <w:color w:val="auto"/>
        </w:rPr>
      </w:pPr>
      <w:r>
        <w:rPr>
          <w:rFonts w:ascii="Arial" w:cs="Arial" w:eastAsia="Arial" w:hAnsi="Arial"/>
          <w:sz w:val="18"/>
          <w:szCs w:val="18"/>
          <w:color w:val="auto"/>
        </w:rPr>
        <w:t>866 to 884</w:t>
      </w:r>
    </w:p>
    <w:p>
      <w:pPr>
        <w:jc w:val="center"/>
        <w:ind w:right="419"/>
        <w:spacing w:after="0"/>
        <w:rPr>
          <w:sz w:val="20"/>
          <w:szCs w:val="20"/>
          <w:color w:val="auto"/>
        </w:rPr>
      </w:pPr>
      <w:r>
        <w:rPr>
          <w:rFonts w:ascii="Arial" w:cs="Arial" w:eastAsia="Arial" w:hAnsi="Arial"/>
          <w:sz w:val="18"/>
          <w:szCs w:val="18"/>
          <w:color w:val="auto"/>
        </w:rPr>
        <w:t>12</w:t>
      </w:r>
    </w:p>
    <w:p>
      <w:pPr>
        <w:spacing w:after="0" w:line="6" w:lineRule="exact"/>
        <w:rPr>
          <w:sz w:val="20"/>
          <w:szCs w:val="20"/>
          <w:color w:val="auto"/>
        </w:rPr>
      </w:pPr>
    </w:p>
    <w:p>
      <w:pPr>
        <w:ind w:left="541"/>
        <w:spacing w:after="0"/>
        <w:rPr>
          <w:sz w:val="20"/>
          <w:szCs w:val="20"/>
          <w:color w:val="auto"/>
        </w:rPr>
      </w:pPr>
      <w:r>
        <w:rPr>
          <w:rFonts w:ascii="Arial" w:cs="Arial" w:eastAsia="Arial" w:hAnsi="Arial"/>
          <w:sz w:val="18"/>
          <w:szCs w:val="18"/>
          <w:color w:val="auto"/>
        </w:rPr>
        <w:t>-</w:t>
      </w:r>
    </w:p>
    <w:p>
      <w:pPr>
        <w:spacing w:after="0" w:line="6" w:lineRule="exact"/>
        <w:rPr>
          <w:sz w:val="20"/>
          <w:szCs w:val="20"/>
          <w:color w:val="auto"/>
        </w:rPr>
      </w:pPr>
    </w:p>
    <w:p>
      <w:pPr>
        <w:ind w:left="521"/>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-281940</wp:posOffset>
            </wp:positionH>
            <wp:positionV relativeFrom="paragraph">
              <wp:posOffset>4445</wp:posOffset>
            </wp:positionV>
            <wp:extent cx="128778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87780" cy="8255"/>
                    </a:xfrm>
                    <a:prstGeom prst="rect">
                      <a:avLst/>
                    </a:prstGeom>
                    <a:noFill/>
                  </pic:spPr>
                </pic:pic>
              </a:graphicData>
            </a:graphic>
          </wp:anchor>
        </w:drawing>
      </w:r>
    </w:p>
    <w:p>
      <w:pPr>
        <w:ind w:left="1"/>
        <w:spacing w:after="0"/>
        <w:rPr>
          <w:sz w:val="20"/>
          <w:szCs w:val="20"/>
          <w:color w:val="auto"/>
        </w:rPr>
      </w:pPr>
      <w:r>
        <w:rPr>
          <w:rFonts w:ascii="Arial" w:cs="Arial" w:eastAsia="Arial" w:hAnsi="Arial"/>
          <w:sz w:val="17"/>
          <w:szCs w:val="17"/>
          <w:color w:val="auto"/>
        </w:rPr>
        <w:t>$ 881 to $ 899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-281940</wp:posOffset>
            </wp:positionH>
            <wp:positionV relativeFrom="paragraph">
              <wp:posOffset>3810</wp:posOffset>
            </wp:positionV>
            <wp:extent cx="128778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87780" cy="8255"/>
                    </a:xfrm>
                    <a:prstGeom prst="rect">
                      <a:avLst/>
                    </a:prstGeom>
                    <a:noFill/>
                  </pic:spPr>
                </pic:pic>
              </a:graphicData>
            </a:graphic>
          </wp:anchor>
        </w:drawing>
        <w:drawing>
          <wp:anchor simplePos="0" relativeHeight="251657728" behindDoc="1" locked="0" layoutInCell="0" allowOverlap="1">
            <wp:simplePos x="0" y="0"/>
            <wp:positionH relativeFrom="column">
              <wp:posOffset>-281940</wp:posOffset>
            </wp:positionH>
            <wp:positionV relativeFrom="paragraph">
              <wp:posOffset>20320</wp:posOffset>
            </wp:positionV>
            <wp:extent cx="128778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87780" cy="8255"/>
                    </a:xfrm>
                    <a:prstGeom prst="rect">
                      <a:avLst/>
                    </a:prstGeom>
                    <a:noFill/>
                  </pic:spPr>
                </pic:pic>
              </a:graphicData>
            </a:graphic>
          </wp:anchor>
        </w:drawing>
      </w:r>
    </w:p>
    <w:p>
      <w:pPr>
        <w:spacing w:after="0" w:line="194" w:lineRule="exact"/>
        <w:rPr>
          <w:sz w:val="20"/>
          <w:szCs w:val="20"/>
          <w:color w:val="auto"/>
        </w:rPr>
      </w:pPr>
    </w:p>
    <w:p>
      <w:pPr>
        <w:sectPr>
          <w:pgSz w:w="11900" w:h="16838" w:orient="portrait"/>
          <w:cols w:equalWidth="0" w:num="2">
            <w:col w:w="8939" w:space="720"/>
            <w:col w:w="1561"/>
          </w:cols>
          <w:pgMar w:left="320" w:top="1033" w:right="359" w:bottom="1440" w:gutter="0" w:footer="0" w:header="0"/>
          <w:type w:val="continuous"/>
        </w:sectPr>
      </w:pPr>
    </w:p>
    <w:p>
      <w:pPr>
        <w:ind w:left="780" w:right="440" w:hanging="386"/>
        <w:spacing w:after="0" w:line="243" w:lineRule="auto"/>
        <w:tabs>
          <w:tab w:leader="none" w:pos="78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These ranges represent management’s best estimates based on the underlying assumptions as of the date of this press release. Future acquisitions, capital market transactions, changes in market conditions, and other factors are excluded from our projections. There can be no assurance that our actual results will not differ materially from the estimates set forth above.</w:t>
      </w:r>
    </w:p>
    <w:p>
      <w:pPr>
        <w:spacing w:after="0" w:line="1" w:lineRule="exact"/>
        <w:rPr>
          <w:rFonts w:ascii="Arial" w:cs="Arial" w:eastAsia="Arial" w:hAnsi="Arial"/>
          <w:sz w:val="16"/>
          <w:szCs w:val="16"/>
          <w:color w:val="auto"/>
        </w:rPr>
      </w:pPr>
    </w:p>
    <w:p>
      <w:pPr>
        <w:ind w:left="780" w:hanging="386"/>
        <w:spacing w:after="0"/>
        <w:tabs>
          <w:tab w:leader="none" w:pos="78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components of projected future results may not add due to rounding.</w:t>
      </w:r>
    </w:p>
    <w:p>
      <w:pPr>
        <w:spacing w:after="0" w:line="42" w:lineRule="exact"/>
        <w:rPr>
          <w:rFonts w:ascii="Arial" w:cs="Arial" w:eastAsia="Arial" w:hAnsi="Arial"/>
          <w:sz w:val="16"/>
          <w:szCs w:val="16"/>
          <w:color w:val="auto"/>
        </w:rPr>
      </w:pPr>
    </w:p>
    <w:p>
      <w:pPr>
        <w:ind w:left="780" w:hanging="386"/>
        <w:spacing w:after="0"/>
        <w:tabs>
          <w:tab w:leader="none" w:pos="780" w:val="left"/>
        </w:tabs>
        <w:numPr>
          <w:ilvl w:val="0"/>
          <w:numId w:val="6"/>
        </w:numPr>
        <w:rPr>
          <w:rFonts w:ascii="Arial" w:cs="Arial" w:eastAsia="Arial" w:hAnsi="Arial"/>
          <w:sz w:val="16"/>
          <w:szCs w:val="16"/>
          <w:color w:val="auto"/>
        </w:rPr>
      </w:pPr>
      <w:r>
        <w:rPr>
          <w:rFonts w:ascii="Arial" w:cs="Arial" w:eastAsia="Arial" w:hAnsi="Arial"/>
          <w:sz w:val="16"/>
          <w:szCs w:val="16"/>
          <w:color w:val="auto"/>
        </w:rPr>
        <w:t>See “Components of Interest Expense” below.</w:t>
      </w:r>
    </w:p>
    <w:p>
      <w:pPr>
        <w:spacing w:after="0" w:line="42" w:lineRule="exact"/>
        <w:rPr>
          <w:rFonts w:ascii="Arial" w:cs="Arial" w:eastAsia="Arial" w:hAnsi="Arial"/>
          <w:sz w:val="16"/>
          <w:szCs w:val="16"/>
          <w:color w:val="auto"/>
        </w:rPr>
      </w:pPr>
    </w:p>
    <w:p>
      <w:pPr>
        <w:ind w:left="780" w:hanging="386"/>
        <w:spacing w:after="0"/>
        <w:tabs>
          <w:tab w:leader="none" w:pos="780" w:val="left"/>
        </w:tabs>
        <w:numPr>
          <w:ilvl w:val="0"/>
          <w:numId w:val="6"/>
        </w:numPr>
        <w:rPr>
          <w:rFonts w:ascii="Arial" w:cs="Arial" w:eastAsia="Arial" w:hAnsi="Arial"/>
          <w:sz w:val="16"/>
          <w:szCs w:val="16"/>
          <w:color w:val="auto"/>
        </w:rPr>
      </w:pPr>
      <w:r>
        <w:rPr>
          <w:rFonts w:ascii="Arial" w:cs="Arial" w:eastAsia="Arial" w:hAnsi="Arial"/>
          <w:sz w:val="16"/>
          <w:szCs w:val="16"/>
          <w:color w:val="auto"/>
        </w:rPr>
        <w:t>Future transaction related and other costs are not included in our current outlook.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20"/>
          </w:cols>
          <w:pgMar w:left="320" w:top="1033" w:right="359" w:bottom="1440" w:gutter="0" w:footer="0" w:header="0"/>
          <w:type w:val="continuous"/>
        </w:sectPr>
      </w:pPr>
    </w:p>
    <w:bookmarkStart w:id="13" w:name="page14"/>
    <w:bookmarkEnd w:id="13"/>
    <w:p>
      <w:pPr>
        <w:jc w:val="center"/>
        <w:ind w:right="-19"/>
        <w:spacing w:after="0"/>
        <w:rPr>
          <w:sz w:val="20"/>
          <w:szCs w:val="20"/>
          <w:color w:val="auto"/>
        </w:rPr>
      </w:pPr>
      <w:r>
        <w:rPr>
          <w:rFonts w:ascii="Arial" w:cs="Arial" w:eastAsia="Arial" w:hAnsi="Arial"/>
          <w:sz w:val="20"/>
          <w:szCs w:val="20"/>
          <w:b w:val="1"/>
          <w:bCs w:val="1"/>
          <w:color w:val="auto"/>
        </w:rPr>
        <w:t>Uniti Group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 xml:space="preserve">Projected Future Results </w:t>
      </w:r>
      <w:r>
        <w:rPr>
          <w:rFonts w:ascii="Arial" w:cs="Arial" w:eastAsia="Arial" w:hAnsi="Arial"/>
          <w:sz w:val="15"/>
          <w:szCs w:val="15"/>
          <w:color w:val="auto"/>
        </w:rPr>
        <w:t>(1)</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(Per Diluted Share)</w:t>
      </w:r>
    </w:p>
    <w:p>
      <w:pPr>
        <w:sectPr>
          <w:pgSz w:w="11900" w:h="16838" w:orient="portrait"/>
          <w:cols w:equalWidth="0" w:num="1">
            <w:col w:w="11240"/>
          </w:cols>
          <w:pgMar w:left="320" w:top="1033"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right="3680"/>
        <w:spacing w:after="0" w:line="252" w:lineRule="auto"/>
        <w:rPr>
          <w:sz w:val="20"/>
          <w:szCs w:val="20"/>
          <w:color w:val="auto"/>
        </w:rPr>
      </w:pPr>
      <w:r>
        <w:rPr>
          <w:rFonts w:ascii="Arial" w:cs="Arial" w:eastAsia="Arial" w:hAnsi="Arial"/>
          <w:sz w:val="18"/>
          <w:szCs w:val="18"/>
          <w:b w:val="1"/>
          <w:bCs w:val="1"/>
          <w:color w:val="auto"/>
        </w:rPr>
        <w:t xml:space="preserve">Net income attributable to common shareholders – Basic </w:t>
      </w:r>
      <w:r>
        <w:rPr>
          <w:rFonts w:ascii="Arial" w:cs="Arial" w:eastAsia="Arial" w:hAnsi="Arial"/>
          <w:sz w:val="18"/>
          <w:szCs w:val="18"/>
          <w:color w:val="auto"/>
        </w:rPr>
        <w:t>Real estate depreciation and amortization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-278130</wp:posOffset>
            </wp:positionV>
            <wp:extent cx="7134225" cy="144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4225" cy="144145"/>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-667385</wp:posOffset>
            </wp:positionV>
            <wp:extent cx="7134225"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Participating securities share in earnings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-130175</wp:posOffset>
            </wp:positionV>
            <wp:extent cx="7134225" cy="135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4225" cy="135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Participating securities share in FFO</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Adjustments for noncontrolling interests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-130175</wp:posOffset>
            </wp:positionV>
            <wp:extent cx="7134225" cy="135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4225" cy="135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Adjustments for unconsolidated entities</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FFO attributable to common shareholders – Basic </w:t>
      </w:r>
      <w:r>
        <w:rPr>
          <w:rFonts w:ascii="Arial" w:cs="Arial" w:eastAsia="Arial" w:hAnsi="Arial"/>
          <w:sz w:val="15"/>
          <w:szCs w:val="15"/>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-130175</wp:posOffset>
            </wp:positionV>
            <wp:extent cx="7134225" cy="144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4225" cy="144145"/>
                    </a:xfrm>
                    <a:prstGeom prst="rect">
                      <a:avLst/>
                    </a:prstGeom>
                    <a:noFill/>
                  </pic:spPr>
                </pic:pic>
              </a:graphicData>
            </a:graphic>
          </wp:anchor>
        </w:drawing>
      </w:r>
    </w:p>
    <w:p>
      <w:pPr>
        <w:spacing w:after="0" w:line="14" w:lineRule="exact"/>
        <w:rPr>
          <w:sz w:val="20"/>
          <w:szCs w:val="20"/>
          <w:color w:val="auto"/>
        </w:rPr>
      </w:pPr>
    </w:p>
    <w:p>
      <w:pPr>
        <w:spacing w:after="0"/>
        <w:rPr>
          <w:sz w:val="20"/>
          <w:szCs w:val="20"/>
          <w:color w:val="auto"/>
        </w:rPr>
      </w:pPr>
      <w:r>
        <w:rPr>
          <w:rFonts w:ascii="Arial" w:cs="Arial" w:eastAsia="Arial" w:hAnsi="Arial"/>
          <w:sz w:val="18"/>
          <w:szCs w:val="18"/>
          <w:color w:val="auto"/>
        </w:rPr>
        <w:t>Impact of if-converted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-3175</wp:posOffset>
            </wp:positionV>
            <wp:extent cx="7134225" cy="1524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4225" cy="15240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 xml:space="preserve">FFO attributable to common shareholders – Diluted </w:t>
      </w:r>
      <w:r>
        <w:rPr>
          <w:rFonts w:ascii="Arial" w:cs="Arial" w:eastAsia="Arial" w:hAnsi="Arial"/>
          <w:sz w:val="15"/>
          <w:szCs w:val="15"/>
          <w:color w:val="auto"/>
        </w:rPr>
        <w:t>(2)</w:t>
      </w:r>
    </w:p>
    <w:p>
      <w:pPr>
        <w:spacing w:after="0" w:line="20" w:lineRule="exact"/>
        <w:rPr>
          <w:sz w:val="20"/>
          <w:szCs w:val="20"/>
          <w:color w:val="auto"/>
        </w:rPr>
      </w:pPr>
      <w:r>
        <w:rPr>
          <w:sz w:val="20"/>
          <w:szCs w:val="20"/>
          <w:color w:val="auto"/>
        </w:rPr>
        <w:br w:type="column"/>
      </w:r>
    </w:p>
    <w:p>
      <w:pPr>
        <w:spacing w:after="0" w:line="17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Year</w:t>
      </w:r>
    </w:p>
    <w:p>
      <w:pPr>
        <w:spacing w:after="0" w:line="8" w:lineRule="exact"/>
        <w:rPr>
          <w:sz w:val="20"/>
          <w:szCs w:val="20"/>
          <w:color w:val="auto"/>
        </w:rPr>
      </w:pPr>
    </w:p>
    <w:p>
      <w:pPr>
        <w:jc w:val="center"/>
        <w:ind w:right="20"/>
        <w:spacing w:after="0"/>
        <w:tabs>
          <w:tab w:leader="none" w:pos="280" w:val="left"/>
        </w:tabs>
        <w:rPr>
          <w:sz w:val="20"/>
          <w:szCs w:val="20"/>
          <w:color w:val="auto"/>
        </w:rPr>
      </w:pPr>
      <w:r>
        <w:rPr>
          <w:rFonts w:ascii="Arial" w:cs="Arial" w:eastAsia="Arial" w:hAnsi="Arial"/>
          <w:sz w:val="18"/>
          <w:szCs w:val="18"/>
          <w:b w:val="1"/>
          <w:bCs w:val="1"/>
          <w:color w:val="auto"/>
        </w:rPr>
        <w:t>Ended</w:t>
      </w:r>
      <w:r>
        <w:rPr>
          <w:sz w:val="20"/>
          <w:szCs w:val="20"/>
          <w:color w:val="auto"/>
        </w:rPr>
        <w:tab/>
      </w:r>
      <w:r>
        <w:rPr>
          <w:rFonts w:ascii="Arial" w:cs="Arial" w:eastAsia="Arial" w:hAnsi="Arial"/>
          <w:sz w:val="18"/>
          <w:szCs w:val="18"/>
          <w:b w:val="1"/>
          <w:bCs w:val="1"/>
          <w:color w:val="auto"/>
        </w:rPr>
        <w:t>December 31,</w:t>
      </w:r>
    </w:p>
    <w:p>
      <w:pPr>
        <w:jc w:val="center"/>
        <w:ind w:right="20"/>
        <w:spacing w:after="0"/>
        <w:rPr>
          <w:sz w:val="20"/>
          <w:szCs w:val="20"/>
          <w:color w:val="auto"/>
        </w:rPr>
      </w:pPr>
      <w:r>
        <w:rPr>
          <w:rFonts w:ascii="Arial" w:cs="Arial" w:eastAsia="Arial" w:hAnsi="Arial"/>
          <w:sz w:val="18"/>
          <w:szCs w:val="18"/>
          <w:b w:val="1"/>
          <w:bCs w:val="1"/>
          <w:color w:val="auto"/>
        </w:rPr>
        <w:t>2022</w:t>
      </w:r>
    </w:p>
    <w:p>
      <w:pPr>
        <w:spacing w:after="0" w:line="13" w:lineRule="exact"/>
        <w:rPr>
          <w:sz w:val="20"/>
          <w:szCs w:val="20"/>
          <w:color w:val="auto"/>
        </w:rPr>
      </w:pPr>
    </w:p>
    <w:p>
      <w:pPr>
        <w:ind w:left="540" w:hanging="157"/>
        <w:spacing w:after="0"/>
        <w:tabs>
          <w:tab w:leader="none" w:pos="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0.79 to $ 0.87</w:t>
      </w:r>
    </w:p>
    <w:p>
      <w:pPr>
        <w:ind w:left="820"/>
        <w:spacing w:after="0"/>
        <w:rPr>
          <w:rFonts w:ascii="Arial" w:cs="Arial" w:eastAsia="Arial" w:hAnsi="Arial"/>
          <w:sz w:val="18"/>
          <w:szCs w:val="18"/>
          <w:color w:val="auto"/>
        </w:rPr>
      </w:pPr>
      <w:r>
        <w:rPr>
          <w:rFonts w:ascii="Arial" w:cs="Arial" w:eastAsia="Arial" w:hAnsi="Arial"/>
          <w:sz w:val="18"/>
          <w:szCs w:val="18"/>
          <w:color w:val="auto"/>
        </w:rPr>
        <w:t>0.91</w:t>
      </w:r>
    </w:p>
    <w:p>
      <w:pPr>
        <w:spacing w:after="0" w:line="6"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w:t>
      </w:r>
    </w:p>
    <w:p>
      <w:pPr>
        <w:spacing w:after="0" w:line="6"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w:t>
      </w:r>
    </w:p>
    <w:p>
      <w:pPr>
        <w:spacing w:after="0" w:line="6"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w:t>
      </w:r>
    </w:p>
    <w:p>
      <w:pPr>
        <w:spacing w:after="0" w:line="6" w:lineRule="exact"/>
        <w:rPr>
          <w:rFonts w:ascii="Arial" w:cs="Arial" w:eastAsia="Arial" w:hAnsi="Arial"/>
          <w:sz w:val="18"/>
          <w:szCs w:val="18"/>
          <w:color w:val="auto"/>
        </w:rPr>
      </w:pPr>
    </w:p>
    <w:p>
      <w:pPr>
        <w:ind w:left="820"/>
        <w:spacing w:after="0"/>
        <w:rPr>
          <w:rFonts w:ascii="Arial" w:cs="Arial" w:eastAsia="Arial" w:hAnsi="Arial"/>
          <w:sz w:val="18"/>
          <w:szCs w:val="18"/>
          <w:color w:val="auto"/>
        </w:rPr>
      </w:pPr>
      <w:r>
        <w:rPr>
          <w:rFonts w:ascii="Arial" w:cs="Arial" w:eastAsia="Arial" w:hAnsi="Arial"/>
          <w:sz w:val="18"/>
          <w:szCs w:val="18"/>
          <w:color w:val="auto"/>
        </w:rPr>
        <w:t>0.01</w:t>
      </w:r>
    </w:p>
    <w:p>
      <w:pPr>
        <w:spacing w:after="0" w:line="33" w:lineRule="exact"/>
        <w:rPr>
          <w:sz w:val="20"/>
          <w:szCs w:val="20"/>
          <w:color w:val="auto"/>
        </w:rPr>
      </w:pPr>
    </w:p>
    <w:p>
      <w:pPr>
        <w:ind w:left="540" w:hanging="157"/>
        <w:spacing w:after="0"/>
        <w:tabs>
          <w:tab w:leader="none" w:pos="540" w:val="left"/>
        </w:tabs>
        <w:numPr>
          <w:ilvl w:val="0"/>
          <w:numId w:val="8"/>
        </w:numPr>
        <w:rPr>
          <w:rFonts w:ascii="Arial" w:cs="Arial" w:eastAsia="Arial" w:hAnsi="Arial"/>
          <w:sz w:val="18"/>
          <w:szCs w:val="18"/>
          <w:color w:val="auto"/>
        </w:rPr>
      </w:pPr>
      <w:r>
        <w:rPr>
          <w:rFonts w:ascii="Arial" w:cs="Arial" w:eastAsia="Arial" w:hAnsi="Arial"/>
          <w:sz w:val="18"/>
          <w:szCs w:val="18"/>
          <w:color w:val="auto"/>
        </w:rPr>
        <w:t>1.71 to $ 1.79</w:t>
      </w:r>
    </w:p>
    <w:p>
      <w:pPr>
        <w:spacing w:after="0" w:line="6" w:lineRule="exact"/>
        <w:rPr>
          <w:rFonts w:ascii="Arial" w:cs="Arial" w:eastAsia="Arial" w:hAnsi="Arial"/>
          <w:sz w:val="18"/>
          <w:szCs w:val="18"/>
          <w:color w:val="auto"/>
        </w:rPr>
      </w:pPr>
    </w:p>
    <w:p>
      <w:pPr>
        <w:ind w:left="760"/>
        <w:spacing w:after="0"/>
        <w:rPr>
          <w:rFonts w:ascii="Arial" w:cs="Arial" w:eastAsia="Arial" w:hAnsi="Arial"/>
          <w:sz w:val="18"/>
          <w:szCs w:val="18"/>
          <w:color w:val="auto"/>
        </w:rPr>
      </w:pPr>
      <w:r>
        <w:rPr>
          <w:rFonts w:ascii="Arial" w:cs="Arial" w:eastAsia="Arial" w:hAnsi="Arial"/>
          <w:sz w:val="18"/>
          <w:szCs w:val="18"/>
          <w:color w:val="auto"/>
        </w:rPr>
        <w:t>(0.16)</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8"/>
          <w:szCs w:val="18"/>
          <w:color w:val="auto"/>
        </w:rPr>
        <w:t>$ 1.55 to $ 1.62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13335</wp:posOffset>
            </wp:positionV>
            <wp:extent cx="129603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96035"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8500" w:space="720"/>
            <w:col w:w="2020"/>
          </w:cols>
          <w:pgMar w:left="320" w:top="1033" w:right="339" w:bottom="1440" w:gutter="0" w:footer="0" w:header="0"/>
          <w:type w:val="continuous"/>
        </w:sectPr>
      </w:pP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9200" w:type="dxa"/>
            <w:vAlign w:val="bottom"/>
          </w:tcPr>
          <w:p>
            <w:pPr>
              <w:spacing w:after="0"/>
              <w:rPr>
                <w:sz w:val="20"/>
                <w:szCs w:val="20"/>
                <w:color w:val="auto"/>
              </w:rPr>
            </w:pPr>
            <w:r>
              <w:rPr>
                <w:rFonts w:ascii="Arial" w:cs="Arial" w:eastAsia="Arial" w:hAnsi="Arial"/>
                <w:sz w:val="18"/>
                <w:szCs w:val="18"/>
                <w:b w:val="1"/>
                <w:bCs w:val="1"/>
                <w:color w:val="auto"/>
              </w:rPr>
              <w:t xml:space="preserve">FFO attributable to common shareholders – Basic </w:t>
            </w:r>
            <w:r>
              <w:rPr>
                <w:rFonts w:ascii="Arial" w:cs="Arial" w:eastAsia="Arial" w:hAnsi="Arial"/>
                <w:sz w:val="15"/>
                <w:szCs w:val="15"/>
                <w:color w:val="auto"/>
              </w:rPr>
              <w:t>(2)</w:t>
            </w:r>
          </w:p>
        </w:tc>
        <w:tc>
          <w:tcPr>
            <w:tcW w:w="2040" w:type="dxa"/>
            <w:vAlign w:val="bottom"/>
          </w:tcPr>
          <w:p>
            <w:pPr>
              <w:ind w:left="400"/>
              <w:spacing w:after="0"/>
              <w:rPr>
                <w:sz w:val="20"/>
                <w:szCs w:val="20"/>
                <w:color w:val="auto"/>
              </w:rPr>
            </w:pPr>
            <w:r>
              <w:rPr>
                <w:rFonts w:ascii="Arial" w:cs="Arial" w:eastAsia="Arial" w:hAnsi="Arial"/>
                <w:sz w:val="18"/>
                <w:szCs w:val="18"/>
                <w:color w:val="auto"/>
              </w:rPr>
              <w:t>$ 1.71 to $ 1.79</w:t>
            </w:r>
          </w:p>
        </w:tc>
      </w:tr>
      <w:tr>
        <w:trPr>
          <w:trHeight w:val="213"/>
        </w:trPr>
        <w:tc>
          <w:tcPr>
            <w:tcW w:w="920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Transaction related and other costs </w:t>
            </w:r>
            <w:r>
              <w:rPr>
                <w:rFonts w:ascii="Arial" w:cs="Arial" w:eastAsia="Arial" w:hAnsi="Arial"/>
                <w:sz w:val="15"/>
                <w:szCs w:val="15"/>
                <w:color w:val="auto"/>
              </w:rPr>
              <w:t>(3)</w:t>
            </w:r>
          </w:p>
        </w:tc>
        <w:tc>
          <w:tcPr>
            <w:tcW w:w="20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9"/>
              </w:rPr>
              <w:t>-</w:t>
            </w:r>
          </w:p>
        </w:tc>
      </w:tr>
      <w:tr>
        <w:trPr>
          <w:trHeight w:val="213"/>
        </w:trPr>
        <w:tc>
          <w:tcPr>
            <w:tcW w:w="9200" w:type="dxa"/>
            <w:vAlign w:val="bottom"/>
          </w:tcPr>
          <w:p>
            <w:pPr>
              <w:spacing w:after="0"/>
              <w:rPr>
                <w:sz w:val="20"/>
                <w:szCs w:val="20"/>
                <w:color w:val="auto"/>
              </w:rPr>
            </w:pPr>
            <w:r>
              <w:rPr>
                <w:rFonts w:ascii="Arial" w:cs="Arial" w:eastAsia="Arial" w:hAnsi="Arial"/>
                <w:sz w:val="18"/>
                <w:szCs w:val="18"/>
                <w:color w:val="auto"/>
              </w:rPr>
              <w:t>Amortization of deferred financing costs and debt discount</w:t>
            </w:r>
          </w:p>
        </w:tc>
        <w:tc>
          <w:tcPr>
            <w:tcW w:w="2040" w:type="dxa"/>
            <w:vAlign w:val="bottom"/>
          </w:tcPr>
          <w:p>
            <w:pPr>
              <w:jc w:val="center"/>
              <w:spacing w:after="0"/>
              <w:rPr>
                <w:sz w:val="20"/>
                <w:szCs w:val="20"/>
                <w:color w:val="auto"/>
              </w:rPr>
            </w:pPr>
            <w:r>
              <w:rPr>
                <w:rFonts w:ascii="Arial" w:cs="Arial" w:eastAsia="Arial" w:hAnsi="Arial"/>
                <w:sz w:val="18"/>
                <w:szCs w:val="18"/>
                <w:color w:val="auto"/>
              </w:rPr>
              <w:t>0.08</w:t>
            </w:r>
          </w:p>
        </w:tc>
      </w:tr>
      <w:tr>
        <w:trPr>
          <w:trHeight w:val="214"/>
        </w:trPr>
        <w:tc>
          <w:tcPr>
            <w:tcW w:w="920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Accretion of settlement payable </w:t>
            </w:r>
            <w:r>
              <w:rPr>
                <w:rFonts w:ascii="Arial" w:cs="Arial" w:eastAsia="Arial" w:hAnsi="Arial"/>
                <w:sz w:val="15"/>
                <w:szCs w:val="15"/>
                <w:color w:val="auto"/>
              </w:rPr>
              <w:t>(4)</w:t>
            </w:r>
          </w:p>
        </w:tc>
        <w:tc>
          <w:tcPr>
            <w:tcW w:w="2040" w:type="dxa"/>
            <w:vAlign w:val="bottom"/>
            <w:shd w:val="clear" w:color="auto" w:fill="CFF0FC"/>
          </w:tcPr>
          <w:p>
            <w:pPr>
              <w:jc w:val="center"/>
              <w:spacing w:after="0"/>
              <w:rPr>
                <w:sz w:val="20"/>
                <w:szCs w:val="20"/>
                <w:color w:val="auto"/>
              </w:rPr>
            </w:pPr>
            <w:r>
              <w:rPr>
                <w:rFonts w:ascii="Arial" w:cs="Arial" w:eastAsia="Arial" w:hAnsi="Arial"/>
                <w:sz w:val="18"/>
                <w:szCs w:val="18"/>
                <w:color w:val="auto"/>
              </w:rPr>
              <w:t>0.05</w:t>
            </w:r>
          </w:p>
        </w:tc>
      </w:tr>
      <w:tr>
        <w:trPr>
          <w:trHeight w:val="213"/>
        </w:trPr>
        <w:tc>
          <w:tcPr>
            <w:tcW w:w="9200" w:type="dxa"/>
            <w:vAlign w:val="bottom"/>
          </w:tcPr>
          <w:p>
            <w:pPr>
              <w:spacing w:after="0"/>
              <w:rPr>
                <w:sz w:val="20"/>
                <w:szCs w:val="20"/>
                <w:color w:val="auto"/>
              </w:rPr>
            </w:pPr>
            <w:r>
              <w:rPr>
                <w:rFonts w:ascii="Arial" w:cs="Arial" w:eastAsia="Arial" w:hAnsi="Arial"/>
                <w:sz w:val="18"/>
                <w:szCs w:val="18"/>
                <w:color w:val="auto"/>
              </w:rPr>
              <w:t>Stock-based compensation</w:t>
            </w:r>
          </w:p>
        </w:tc>
        <w:tc>
          <w:tcPr>
            <w:tcW w:w="2040" w:type="dxa"/>
            <w:vAlign w:val="bottom"/>
          </w:tcPr>
          <w:p>
            <w:pPr>
              <w:jc w:val="center"/>
              <w:spacing w:after="0"/>
              <w:rPr>
                <w:sz w:val="20"/>
                <w:szCs w:val="20"/>
                <w:color w:val="auto"/>
              </w:rPr>
            </w:pPr>
            <w:r>
              <w:rPr>
                <w:rFonts w:ascii="Arial" w:cs="Arial" w:eastAsia="Arial" w:hAnsi="Arial"/>
                <w:sz w:val="18"/>
                <w:szCs w:val="18"/>
                <w:color w:val="auto"/>
              </w:rPr>
              <w:t>0.05</w:t>
            </w:r>
          </w:p>
        </w:tc>
      </w:tr>
      <w:tr>
        <w:trPr>
          <w:trHeight w:val="214"/>
        </w:trPr>
        <w:tc>
          <w:tcPr>
            <w:tcW w:w="9200" w:type="dxa"/>
            <w:vAlign w:val="bottom"/>
            <w:shd w:val="clear" w:color="auto" w:fill="CFF0FC"/>
          </w:tcPr>
          <w:p>
            <w:pPr>
              <w:spacing w:after="0"/>
              <w:rPr>
                <w:sz w:val="20"/>
                <w:szCs w:val="20"/>
                <w:color w:val="auto"/>
              </w:rPr>
            </w:pPr>
            <w:r>
              <w:rPr>
                <w:rFonts w:ascii="Arial" w:cs="Arial" w:eastAsia="Arial" w:hAnsi="Arial"/>
                <w:sz w:val="18"/>
                <w:szCs w:val="18"/>
                <w:color w:val="auto"/>
              </w:rPr>
              <w:t>Non-real estate depreciation and amortization</w:t>
            </w:r>
          </w:p>
        </w:tc>
        <w:tc>
          <w:tcPr>
            <w:tcW w:w="2040" w:type="dxa"/>
            <w:vAlign w:val="bottom"/>
            <w:shd w:val="clear" w:color="auto" w:fill="CFF0FC"/>
          </w:tcPr>
          <w:p>
            <w:pPr>
              <w:jc w:val="center"/>
              <w:spacing w:after="0"/>
              <w:rPr>
                <w:sz w:val="20"/>
                <w:szCs w:val="20"/>
                <w:color w:val="auto"/>
              </w:rPr>
            </w:pPr>
            <w:r>
              <w:rPr>
                <w:rFonts w:ascii="Arial" w:cs="Arial" w:eastAsia="Arial" w:hAnsi="Arial"/>
                <w:sz w:val="18"/>
                <w:szCs w:val="18"/>
                <w:color w:val="auto"/>
              </w:rPr>
              <w:t>0.36</w:t>
            </w:r>
          </w:p>
        </w:tc>
      </w:tr>
      <w:tr>
        <w:trPr>
          <w:trHeight w:val="213"/>
        </w:trPr>
        <w:tc>
          <w:tcPr>
            <w:tcW w:w="9200" w:type="dxa"/>
            <w:vAlign w:val="bottom"/>
          </w:tcPr>
          <w:p>
            <w:pPr>
              <w:spacing w:after="0"/>
              <w:rPr>
                <w:sz w:val="20"/>
                <w:szCs w:val="20"/>
                <w:color w:val="auto"/>
              </w:rPr>
            </w:pPr>
            <w:r>
              <w:rPr>
                <w:rFonts w:ascii="Arial" w:cs="Arial" w:eastAsia="Arial" w:hAnsi="Arial"/>
                <w:sz w:val="18"/>
                <w:szCs w:val="18"/>
                <w:color w:val="auto"/>
              </w:rPr>
              <w:t>Straight-line revenues</w:t>
            </w:r>
          </w:p>
        </w:tc>
        <w:tc>
          <w:tcPr>
            <w:tcW w:w="2040" w:type="dxa"/>
            <w:vAlign w:val="bottom"/>
          </w:tcPr>
          <w:p>
            <w:pPr>
              <w:jc w:val="center"/>
              <w:spacing w:after="0"/>
              <w:rPr>
                <w:sz w:val="20"/>
                <w:szCs w:val="20"/>
                <w:color w:val="auto"/>
              </w:rPr>
            </w:pPr>
            <w:r>
              <w:rPr>
                <w:rFonts w:ascii="Arial" w:cs="Arial" w:eastAsia="Arial" w:hAnsi="Arial"/>
                <w:sz w:val="18"/>
                <w:szCs w:val="18"/>
                <w:color w:val="auto"/>
              </w:rPr>
              <w:t>(0.16)</w:t>
            </w:r>
          </w:p>
        </w:tc>
      </w:tr>
      <w:tr>
        <w:trPr>
          <w:trHeight w:val="214"/>
        </w:trPr>
        <w:tc>
          <w:tcPr>
            <w:tcW w:w="9200" w:type="dxa"/>
            <w:vAlign w:val="bottom"/>
            <w:shd w:val="clear" w:color="auto" w:fill="CFF0FC"/>
          </w:tcPr>
          <w:p>
            <w:pPr>
              <w:spacing w:after="0"/>
              <w:rPr>
                <w:sz w:val="20"/>
                <w:szCs w:val="20"/>
                <w:color w:val="auto"/>
              </w:rPr>
            </w:pPr>
            <w:r>
              <w:rPr>
                <w:rFonts w:ascii="Arial" w:cs="Arial" w:eastAsia="Arial" w:hAnsi="Arial"/>
                <w:sz w:val="18"/>
                <w:szCs w:val="18"/>
                <w:color w:val="auto"/>
              </w:rPr>
              <w:t>Maintenance capital expenditures</w:t>
            </w:r>
          </w:p>
        </w:tc>
        <w:tc>
          <w:tcPr>
            <w:tcW w:w="2040" w:type="dxa"/>
            <w:vAlign w:val="bottom"/>
            <w:shd w:val="clear" w:color="auto" w:fill="CFF0FC"/>
          </w:tcPr>
          <w:p>
            <w:pPr>
              <w:jc w:val="center"/>
              <w:spacing w:after="0"/>
              <w:rPr>
                <w:sz w:val="20"/>
                <w:szCs w:val="20"/>
                <w:color w:val="auto"/>
              </w:rPr>
            </w:pPr>
            <w:r>
              <w:rPr>
                <w:rFonts w:ascii="Arial" w:cs="Arial" w:eastAsia="Arial" w:hAnsi="Arial"/>
                <w:sz w:val="18"/>
                <w:szCs w:val="18"/>
                <w:color w:val="auto"/>
              </w:rPr>
              <w:t>(0.03)</w:t>
            </w:r>
          </w:p>
        </w:tc>
      </w:tr>
      <w:tr>
        <w:trPr>
          <w:trHeight w:val="213"/>
        </w:trPr>
        <w:tc>
          <w:tcPr>
            <w:tcW w:w="9200" w:type="dxa"/>
            <w:vAlign w:val="bottom"/>
          </w:tcPr>
          <w:p>
            <w:pPr>
              <w:spacing w:after="0"/>
              <w:rPr>
                <w:sz w:val="20"/>
                <w:szCs w:val="20"/>
                <w:color w:val="auto"/>
              </w:rPr>
            </w:pPr>
            <w:r>
              <w:rPr>
                <w:rFonts w:ascii="Arial" w:cs="Arial" w:eastAsia="Arial" w:hAnsi="Arial"/>
                <w:sz w:val="18"/>
                <w:szCs w:val="18"/>
                <w:color w:val="auto"/>
              </w:rPr>
              <w:t>Other, net</w:t>
            </w:r>
          </w:p>
        </w:tc>
        <w:tc>
          <w:tcPr>
            <w:tcW w:w="2040" w:type="dxa"/>
            <w:vAlign w:val="bottom"/>
          </w:tcPr>
          <w:p>
            <w:pPr>
              <w:jc w:val="center"/>
              <w:spacing w:after="0"/>
              <w:rPr>
                <w:sz w:val="20"/>
                <w:szCs w:val="20"/>
                <w:color w:val="auto"/>
              </w:rPr>
            </w:pPr>
            <w:r>
              <w:rPr>
                <w:rFonts w:ascii="Arial" w:cs="Arial" w:eastAsia="Arial" w:hAnsi="Arial"/>
                <w:sz w:val="18"/>
                <w:szCs w:val="18"/>
                <w:color w:val="auto"/>
              </w:rPr>
              <w:t>(0.17)</w:t>
            </w:r>
          </w:p>
        </w:tc>
      </w:tr>
      <w:tr>
        <w:trPr>
          <w:trHeight w:val="214"/>
        </w:trPr>
        <w:tc>
          <w:tcPr>
            <w:tcW w:w="9200" w:type="dxa"/>
            <w:vAlign w:val="bottom"/>
            <w:shd w:val="clear" w:color="auto" w:fill="CFF0FC"/>
          </w:tcPr>
          <w:p>
            <w:pPr>
              <w:spacing w:after="0"/>
              <w:rPr>
                <w:sz w:val="20"/>
                <w:szCs w:val="20"/>
                <w:color w:val="auto"/>
              </w:rPr>
            </w:pPr>
            <w:r>
              <w:rPr>
                <w:rFonts w:ascii="Arial" w:cs="Arial" w:eastAsia="Arial" w:hAnsi="Arial"/>
                <w:sz w:val="18"/>
                <w:szCs w:val="18"/>
                <w:color w:val="auto"/>
              </w:rPr>
              <w:t>Adjustments for noncontrolling interests</w:t>
            </w:r>
          </w:p>
        </w:tc>
        <w:tc>
          <w:tcPr>
            <w:tcW w:w="20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9"/>
              </w:rPr>
              <w:t>-</w:t>
            </w:r>
          </w:p>
        </w:tc>
      </w:tr>
      <w:tr>
        <w:trPr>
          <w:trHeight w:val="207"/>
        </w:trPr>
        <w:tc>
          <w:tcPr>
            <w:tcW w:w="9200" w:type="dxa"/>
            <w:vAlign w:val="bottom"/>
          </w:tcPr>
          <w:p>
            <w:pPr>
              <w:spacing w:after="0"/>
              <w:rPr>
                <w:sz w:val="20"/>
                <w:szCs w:val="20"/>
                <w:color w:val="auto"/>
              </w:rPr>
            </w:pPr>
            <w:r>
              <w:rPr>
                <w:rFonts w:ascii="Arial" w:cs="Arial" w:eastAsia="Arial" w:hAnsi="Arial"/>
                <w:sz w:val="18"/>
                <w:szCs w:val="18"/>
                <w:b w:val="1"/>
                <w:bCs w:val="1"/>
                <w:color w:val="auto"/>
              </w:rPr>
              <w:t xml:space="preserve">AFFO attributable to common shareholders – Basic </w:t>
            </w:r>
            <w:r>
              <w:rPr>
                <w:rFonts w:ascii="Arial" w:cs="Arial" w:eastAsia="Arial" w:hAnsi="Arial"/>
                <w:sz w:val="15"/>
                <w:szCs w:val="15"/>
                <w:color w:val="auto"/>
              </w:rPr>
              <w:t>(2)</w:t>
            </w:r>
          </w:p>
        </w:tc>
        <w:tc>
          <w:tcPr>
            <w:tcW w:w="2040" w:type="dxa"/>
            <w:vAlign w:val="bottom"/>
          </w:tcPr>
          <w:p>
            <w:pPr>
              <w:ind w:left="400"/>
              <w:spacing w:after="0"/>
              <w:rPr>
                <w:sz w:val="20"/>
                <w:szCs w:val="20"/>
                <w:color w:val="auto"/>
              </w:rPr>
            </w:pPr>
            <w:r>
              <w:rPr>
                <w:rFonts w:ascii="Arial" w:cs="Arial" w:eastAsia="Arial" w:hAnsi="Arial"/>
                <w:sz w:val="18"/>
                <w:szCs w:val="18"/>
                <w:color w:val="auto"/>
              </w:rPr>
              <w:t>$ 1.89 to $ 1.97</w:t>
            </w:r>
          </w:p>
        </w:tc>
      </w:tr>
      <w:tr>
        <w:trPr>
          <w:trHeight w:val="213"/>
        </w:trPr>
        <w:tc>
          <w:tcPr>
            <w:tcW w:w="9200" w:type="dxa"/>
            <w:vAlign w:val="bottom"/>
            <w:shd w:val="clear" w:color="auto" w:fill="CFF0FC"/>
          </w:tcPr>
          <w:p>
            <w:pPr>
              <w:spacing w:after="0"/>
              <w:rPr>
                <w:sz w:val="20"/>
                <w:szCs w:val="20"/>
                <w:color w:val="auto"/>
              </w:rPr>
            </w:pPr>
            <w:r>
              <w:rPr>
                <w:rFonts w:ascii="Arial" w:cs="Arial" w:eastAsia="Arial" w:hAnsi="Arial"/>
                <w:sz w:val="18"/>
                <w:szCs w:val="18"/>
                <w:color w:val="auto"/>
              </w:rPr>
              <w:t>Impact of if-converted securities</w:t>
            </w:r>
          </w:p>
        </w:tc>
        <w:tc>
          <w:tcPr>
            <w:tcW w:w="20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rPr>
              <w:t>(0.18)</w:t>
            </w:r>
          </w:p>
        </w:tc>
      </w:tr>
      <w:tr>
        <w:trPr>
          <w:trHeight w:val="193"/>
        </w:trPr>
        <w:tc>
          <w:tcPr>
            <w:tcW w:w="9200" w:type="dxa"/>
            <w:vAlign w:val="bottom"/>
          </w:tcPr>
          <w:p>
            <w:pPr>
              <w:spacing w:after="0" w:line="194" w:lineRule="exact"/>
              <w:rPr>
                <w:sz w:val="20"/>
                <w:szCs w:val="20"/>
                <w:color w:val="auto"/>
              </w:rPr>
            </w:pPr>
            <w:r>
              <w:rPr>
                <w:rFonts w:ascii="Arial" w:cs="Arial" w:eastAsia="Arial" w:hAnsi="Arial"/>
                <w:sz w:val="18"/>
                <w:szCs w:val="18"/>
                <w:b w:val="1"/>
                <w:bCs w:val="1"/>
                <w:color w:val="auto"/>
              </w:rPr>
              <w:t xml:space="preserve">AFFO attributable to common shareholders – Diluted </w:t>
            </w:r>
            <w:r>
              <w:rPr>
                <w:rFonts w:ascii="Arial" w:cs="Arial" w:eastAsia="Arial" w:hAnsi="Arial"/>
                <w:sz w:val="15"/>
                <w:szCs w:val="15"/>
                <w:color w:val="auto"/>
              </w:rPr>
              <w:t>(2)</w:t>
            </w:r>
          </w:p>
        </w:tc>
        <w:tc>
          <w:tcPr>
            <w:tcW w:w="2040" w:type="dxa"/>
            <w:vAlign w:val="bottom"/>
            <w:tcBorders>
              <w:bottom w:val="single" w:sz="8" w:color="auto"/>
            </w:tcBorders>
          </w:tcPr>
          <w:p>
            <w:pPr>
              <w:ind w:left="400"/>
              <w:spacing w:after="0" w:line="194" w:lineRule="exact"/>
              <w:rPr>
                <w:sz w:val="20"/>
                <w:szCs w:val="20"/>
                <w:color w:val="auto"/>
              </w:rPr>
            </w:pPr>
            <w:r>
              <w:rPr>
                <w:rFonts w:ascii="Arial" w:cs="Arial" w:eastAsia="Arial" w:hAnsi="Arial"/>
                <w:sz w:val="18"/>
                <w:szCs w:val="18"/>
                <w:color w:val="auto"/>
              </w:rPr>
              <w:t>$ 1.71 to $ 1.78</w:t>
            </w:r>
          </w:p>
        </w:tc>
      </w:tr>
      <w:tr>
        <w:trPr>
          <w:trHeight w:val="20"/>
        </w:trPr>
        <w:tc>
          <w:tcPr>
            <w:tcW w:w="9200" w:type="dxa"/>
            <w:vAlign w:val="bottom"/>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r>
    </w:tbl>
    <w:p>
      <w:pPr>
        <w:spacing w:after="0" w:line="365" w:lineRule="exact"/>
        <w:rPr>
          <w:sz w:val="20"/>
          <w:szCs w:val="20"/>
          <w:color w:val="auto"/>
        </w:rPr>
      </w:pPr>
    </w:p>
    <w:p>
      <w:pPr>
        <w:ind w:left="780" w:right="140" w:hanging="386"/>
        <w:spacing w:after="0" w:line="238" w:lineRule="auto"/>
        <w:tabs>
          <w:tab w:leader="none" w:pos="780" w:val="left"/>
        </w:tabs>
        <w:numPr>
          <w:ilvl w:val="0"/>
          <w:numId w:val="9"/>
        </w:numPr>
        <w:rPr>
          <w:rFonts w:ascii="Arial" w:cs="Arial" w:eastAsia="Arial" w:hAnsi="Arial"/>
          <w:sz w:val="14"/>
          <w:szCs w:val="14"/>
          <w:color w:val="auto"/>
        </w:rPr>
      </w:pPr>
      <w:r>
        <w:rPr>
          <w:rFonts w:ascii="Arial" w:cs="Arial" w:eastAsia="Arial" w:hAnsi="Arial"/>
          <w:sz w:val="14"/>
          <w:szCs w:val="14"/>
          <w:color w:val="auto"/>
        </w:rPr>
        <w:t>These ranges represent management’s best estimates based on the underlying assumptions as of the date of this press release. Future acquisitions, capital market transactions, changes in market conditions, and other factors are excluded from our projections. There can be no assurance that our actual results will not differ materially from the estimates set forth above.</w:t>
      </w:r>
    </w:p>
    <w:p>
      <w:pPr>
        <w:spacing w:after="0" w:line="1" w:lineRule="exact"/>
        <w:rPr>
          <w:rFonts w:ascii="Arial" w:cs="Arial" w:eastAsia="Arial" w:hAnsi="Arial"/>
          <w:sz w:val="14"/>
          <w:szCs w:val="14"/>
          <w:color w:val="auto"/>
        </w:rPr>
      </w:pPr>
    </w:p>
    <w:p>
      <w:pPr>
        <w:ind w:left="780" w:hanging="386"/>
        <w:spacing w:after="0"/>
        <w:tabs>
          <w:tab w:leader="none" w:pos="780" w:val="left"/>
        </w:tabs>
        <w:numPr>
          <w:ilvl w:val="0"/>
          <w:numId w:val="9"/>
        </w:numPr>
        <w:rPr>
          <w:rFonts w:ascii="Arial" w:cs="Arial" w:eastAsia="Arial" w:hAnsi="Arial"/>
          <w:sz w:val="14"/>
          <w:szCs w:val="14"/>
          <w:color w:val="auto"/>
        </w:rPr>
      </w:pPr>
      <w:r>
        <w:rPr>
          <w:rFonts w:ascii="Arial" w:cs="Arial" w:eastAsia="Arial" w:hAnsi="Arial"/>
          <w:sz w:val="14"/>
          <w:szCs w:val="14"/>
          <w:color w:val="auto"/>
        </w:rPr>
        <w:t>The components of projected future results may not add to FFO and AFFO attributable to common shareholders due to rounding.</w:t>
      </w:r>
    </w:p>
    <w:p>
      <w:pPr>
        <w:spacing w:after="0" w:line="65" w:lineRule="exact"/>
        <w:rPr>
          <w:rFonts w:ascii="Arial" w:cs="Arial" w:eastAsia="Arial" w:hAnsi="Arial"/>
          <w:sz w:val="14"/>
          <w:szCs w:val="14"/>
          <w:color w:val="auto"/>
        </w:rPr>
      </w:pPr>
    </w:p>
    <w:p>
      <w:pPr>
        <w:ind w:left="780" w:hanging="386"/>
        <w:spacing w:after="0"/>
        <w:tabs>
          <w:tab w:leader="none" w:pos="780" w:val="left"/>
        </w:tabs>
        <w:numPr>
          <w:ilvl w:val="0"/>
          <w:numId w:val="9"/>
        </w:numPr>
        <w:rPr>
          <w:rFonts w:ascii="Arial" w:cs="Arial" w:eastAsia="Arial" w:hAnsi="Arial"/>
          <w:sz w:val="14"/>
          <w:szCs w:val="14"/>
          <w:color w:val="auto"/>
        </w:rPr>
      </w:pPr>
      <w:r>
        <w:rPr>
          <w:rFonts w:ascii="Arial" w:cs="Arial" w:eastAsia="Arial" w:hAnsi="Arial"/>
          <w:sz w:val="14"/>
          <w:szCs w:val="14"/>
          <w:color w:val="auto"/>
        </w:rPr>
        <w:t>Future transaction related and other costs are not included in our current outlook.</w:t>
      </w:r>
    </w:p>
    <w:p>
      <w:pPr>
        <w:spacing w:after="0" w:line="65" w:lineRule="exact"/>
        <w:rPr>
          <w:rFonts w:ascii="Arial" w:cs="Arial" w:eastAsia="Arial" w:hAnsi="Arial"/>
          <w:sz w:val="14"/>
          <w:szCs w:val="14"/>
          <w:color w:val="auto"/>
        </w:rPr>
      </w:pPr>
    </w:p>
    <w:p>
      <w:pPr>
        <w:ind w:left="780" w:right="240" w:hanging="386"/>
        <w:spacing w:after="0" w:line="253" w:lineRule="auto"/>
        <w:tabs>
          <w:tab w:leader="none" w:pos="780" w:val="left"/>
        </w:tabs>
        <w:numPr>
          <w:ilvl w:val="0"/>
          <w:numId w:val="9"/>
        </w:numPr>
        <w:rPr>
          <w:rFonts w:ascii="Arial" w:cs="Arial" w:eastAsia="Arial" w:hAnsi="Arial"/>
          <w:sz w:val="14"/>
          <w:szCs w:val="14"/>
          <w:color w:val="auto"/>
        </w:rPr>
      </w:pPr>
      <w:r>
        <w:rPr>
          <w:rFonts w:ascii="Arial" w:cs="Arial" w:eastAsia="Arial" w:hAnsi="Arial"/>
          <w:sz w:val="14"/>
          <w:szCs w:val="14"/>
          <w:color w:val="auto"/>
        </w:rPr>
        <w:t>Represents the accretion of the Windstream settlement payable to its stated value. At the effective date of the settlement, we recorded the payable on the balance sheet at its initial fair value, which will be accreted based on an effective interest rate of 4.7% and reduced by the scheduled quarterly payments.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21"/>
          <w:szCs w:val="21"/>
          <w:color w:val="auto"/>
        </w:rPr>
        <w:t>________________________</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1033" w:right="339" w:bottom="1440" w:gutter="0" w:footer="0" w:header="0"/>
          <w:type w:val="continuous"/>
        </w:sectPr>
      </w:pPr>
    </w:p>
    <w:bookmarkStart w:id="14" w:name="page15"/>
    <w:bookmarkEnd w:id="14"/>
    <w:p>
      <w:pPr>
        <w:jc w:val="center"/>
        <w:spacing w:after="0"/>
        <w:rPr>
          <w:sz w:val="20"/>
          <w:szCs w:val="20"/>
          <w:color w:val="auto"/>
        </w:rPr>
      </w:pPr>
      <w:r>
        <w:rPr>
          <w:rFonts w:ascii="Arial" w:cs="Arial" w:eastAsia="Arial" w:hAnsi="Arial"/>
          <w:sz w:val="20"/>
          <w:szCs w:val="20"/>
          <w:b w:val="1"/>
          <w:bCs w:val="1"/>
          <w:color w:val="auto"/>
        </w:rPr>
        <w:t xml:space="preserve">Components of Interest Expense </w:t>
      </w:r>
      <w:r>
        <w:rPr>
          <w:rFonts w:ascii="Arial" w:cs="Arial" w:eastAsia="Arial" w:hAnsi="Arial"/>
          <w:sz w:val="16"/>
          <w:szCs w:val="16"/>
          <w:color w:val="auto"/>
        </w:rPr>
        <w:t>(1)</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(In millions)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9200" w:type="dxa"/>
            <w:vAlign w:val="bottom"/>
            <w:tcBorders>
              <w:top w:val="single" w:sz="8" w:color="auto"/>
            </w:tcBorders>
          </w:tcPr>
          <w:p>
            <w:pPr>
              <w:spacing w:after="0"/>
              <w:rPr>
                <w:sz w:val="16"/>
                <w:szCs w:val="16"/>
                <w:color w:val="auto"/>
              </w:rPr>
            </w:pPr>
          </w:p>
        </w:tc>
        <w:tc>
          <w:tcPr>
            <w:tcW w:w="68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ind w:left="160"/>
              <w:spacing w:after="0" w:line="191" w:lineRule="exact"/>
              <w:rPr>
                <w:sz w:val="20"/>
                <w:szCs w:val="20"/>
                <w:color w:val="auto"/>
              </w:rPr>
            </w:pPr>
            <w:r>
              <w:rPr>
                <w:rFonts w:ascii="Arial" w:cs="Arial" w:eastAsia="Arial" w:hAnsi="Arial"/>
                <w:sz w:val="18"/>
                <w:szCs w:val="18"/>
                <w:b w:val="1"/>
                <w:bCs w:val="1"/>
                <w:color w:val="auto"/>
              </w:rPr>
              <w:t>Year</w:t>
            </w:r>
          </w:p>
        </w:tc>
      </w:tr>
      <w:tr>
        <w:trPr>
          <w:trHeight w:val="200"/>
        </w:trPr>
        <w:tc>
          <w:tcPr>
            <w:tcW w:w="9200" w:type="dxa"/>
            <w:vAlign w:val="bottom"/>
          </w:tcPr>
          <w:p>
            <w:pPr>
              <w:spacing w:after="0"/>
              <w:rPr>
                <w:sz w:val="17"/>
                <w:szCs w:val="17"/>
                <w:color w:val="auto"/>
              </w:rPr>
            </w:pPr>
          </w:p>
        </w:tc>
        <w:tc>
          <w:tcPr>
            <w:tcW w:w="680" w:type="dxa"/>
            <w:vAlign w:val="bottom"/>
          </w:tcPr>
          <w:p>
            <w:pPr>
              <w:ind w:left="20"/>
              <w:spacing w:after="0" w:line="201" w:lineRule="exact"/>
              <w:rPr>
                <w:sz w:val="20"/>
                <w:szCs w:val="20"/>
                <w:color w:val="auto"/>
              </w:rPr>
            </w:pPr>
            <w:r>
              <w:rPr>
                <w:rFonts w:ascii="Arial" w:cs="Arial" w:eastAsia="Arial" w:hAnsi="Arial"/>
                <w:sz w:val="18"/>
                <w:szCs w:val="18"/>
                <w:b w:val="1"/>
                <w:bCs w:val="1"/>
                <w:color w:val="auto"/>
              </w:rPr>
              <w:t>Ended</w:t>
            </w:r>
          </w:p>
        </w:tc>
        <w:tc>
          <w:tcPr>
            <w:tcW w:w="1360" w:type="dxa"/>
            <w:vAlign w:val="bottom"/>
          </w:tcPr>
          <w:p>
            <w:pPr>
              <w:ind w:left="180"/>
              <w:spacing w:after="0" w:line="201" w:lineRule="exact"/>
              <w:rPr>
                <w:sz w:val="20"/>
                <w:szCs w:val="20"/>
                <w:color w:val="auto"/>
              </w:rPr>
            </w:pPr>
            <w:r>
              <w:rPr>
                <w:rFonts w:ascii="Arial" w:cs="Arial" w:eastAsia="Arial" w:hAnsi="Arial"/>
                <w:sz w:val="18"/>
                <w:szCs w:val="18"/>
                <w:b w:val="1"/>
                <w:bCs w:val="1"/>
                <w:color w:val="auto"/>
                <w:w w:val="99"/>
              </w:rPr>
              <w:t>December 31,</w:t>
            </w:r>
          </w:p>
        </w:tc>
      </w:tr>
      <w:tr>
        <w:trPr>
          <w:trHeight w:val="223"/>
        </w:trPr>
        <w:tc>
          <w:tcPr>
            <w:tcW w:w="9200" w:type="dxa"/>
            <w:vAlign w:val="bottom"/>
            <w:tcBorders>
              <w:bottom w:val="single" w:sz="8" w:color="CFF0FC"/>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center"/>
              <w:ind w:right="591"/>
              <w:spacing w:after="0"/>
              <w:rPr>
                <w:sz w:val="20"/>
                <w:szCs w:val="20"/>
                <w:color w:val="auto"/>
              </w:rPr>
            </w:pPr>
            <w:r>
              <w:rPr>
                <w:rFonts w:ascii="Arial" w:cs="Arial" w:eastAsia="Arial" w:hAnsi="Arial"/>
                <w:sz w:val="18"/>
                <w:szCs w:val="18"/>
                <w:b w:val="1"/>
                <w:bCs w:val="1"/>
                <w:color w:val="auto"/>
                <w:w w:val="99"/>
              </w:rPr>
              <w:t>2022</w:t>
            </w:r>
          </w:p>
        </w:tc>
      </w:tr>
      <w:tr>
        <w:trPr>
          <w:trHeight w:val="207"/>
        </w:trPr>
        <w:tc>
          <w:tcPr>
            <w:tcW w:w="98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Interest expense on debt obligations</w:t>
            </w:r>
          </w:p>
        </w:tc>
        <w:tc>
          <w:tcPr>
            <w:tcW w:w="1360" w:type="dxa"/>
            <w:vAlign w:val="bottom"/>
            <w:shd w:val="clear" w:color="auto" w:fill="CFF0FC"/>
          </w:tcPr>
          <w:p>
            <w:pPr>
              <w:jc w:val="center"/>
              <w:ind w:right="591"/>
              <w:spacing w:after="0"/>
              <w:rPr>
                <w:sz w:val="20"/>
                <w:szCs w:val="20"/>
                <w:color w:val="auto"/>
              </w:rPr>
            </w:pPr>
            <w:r>
              <w:rPr>
                <w:rFonts w:ascii="Arial" w:cs="Arial" w:eastAsia="Arial" w:hAnsi="Arial"/>
                <w:sz w:val="18"/>
                <w:szCs w:val="18"/>
                <w:color w:val="auto"/>
                <w:w w:val="97"/>
              </w:rPr>
              <w:t>$ 349</w:t>
            </w:r>
          </w:p>
        </w:tc>
      </w:tr>
      <w:tr>
        <w:trPr>
          <w:trHeight w:val="213"/>
        </w:trPr>
        <w:tc>
          <w:tcPr>
            <w:tcW w:w="9880" w:type="dxa"/>
            <w:vAlign w:val="bottom"/>
            <w:gridSpan w:val="2"/>
          </w:tcPr>
          <w:p>
            <w:pPr>
              <w:spacing w:after="0"/>
              <w:rPr>
                <w:sz w:val="20"/>
                <w:szCs w:val="20"/>
                <w:color w:val="auto"/>
              </w:rPr>
            </w:pPr>
            <w:r>
              <w:rPr>
                <w:rFonts w:ascii="Arial" w:cs="Arial" w:eastAsia="Arial" w:hAnsi="Arial"/>
                <w:sz w:val="18"/>
                <w:szCs w:val="18"/>
                <w:color w:val="auto"/>
              </w:rPr>
              <w:t>Capitalized interest</w:t>
            </w:r>
          </w:p>
        </w:tc>
        <w:tc>
          <w:tcPr>
            <w:tcW w:w="1360" w:type="dxa"/>
            <w:vAlign w:val="bottom"/>
          </w:tcPr>
          <w:p>
            <w:pPr>
              <w:jc w:val="center"/>
              <w:ind w:right="571"/>
              <w:spacing w:after="0"/>
              <w:rPr>
                <w:sz w:val="20"/>
                <w:szCs w:val="20"/>
                <w:color w:val="auto"/>
              </w:rPr>
            </w:pPr>
            <w:r>
              <w:rPr>
                <w:rFonts w:ascii="Arial" w:cs="Arial" w:eastAsia="Arial" w:hAnsi="Arial"/>
                <w:sz w:val="18"/>
                <w:szCs w:val="18"/>
                <w:color w:val="auto"/>
                <w:w w:val="99"/>
              </w:rPr>
              <w:t>-</w:t>
            </w:r>
          </w:p>
        </w:tc>
      </w:tr>
      <w:tr>
        <w:trPr>
          <w:trHeight w:val="214"/>
        </w:trPr>
        <w:tc>
          <w:tcPr>
            <w:tcW w:w="98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Accretion of Windstream settlement payable</w:t>
            </w:r>
          </w:p>
        </w:tc>
        <w:tc>
          <w:tcPr>
            <w:tcW w:w="1360" w:type="dxa"/>
            <w:vAlign w:val="bottom"/>
            <w:shd w:val="clear" w:color="auto" w:fill="CFF0FC"/>
          </w:tcPr>
          <w:p>
            <w:pPr>
              <w:jc w:val="center"/>
              <w:ind w:right="591"/>
              <w:spacing w:after="0"/>
              <w:rPr>
                <w:sz w:val="20"/>
                <w:szCs w:val="20"/>
                <w:color w:val="auto"/>
              </w:rPr>
            </w:pPr>
            <w:r>
              <w:rPr>
                <w:rFonts w:ascii="Arial" w:cs="Arial" w:eastAsia="Arial" w:hAnsi="Arial"/>
                <w:sz w:val="18"/>
                <w:szCs w:val="18"/>
                <w:color w:val="auto"/>
                <w:w w:val="99"/>
              </w:rPr>
              <w:t>12</w:t>
            </w:r>
          </w:p>
        </w:tc>
      </w:tr>
      <w:tr>
        <w:trPr>
          <w:trHeight w:val="213"/>
        </w:trPr>
        <w:tc>
          <w:tcPr>
            <w:tcW w:w="9880" w:type="dxa"/>
            <w:vAlign w:val="bottom"/>
            <w:gridSpan w:val="2"/>
          </w:tcPr>
          <w:p>
            <w:pPr>
              <w:spacing w:after="0"/>
              <w:rPr>
                <w:sz w:val="20"/>
                <w:szCs w:val="20"/>
                <w:color w:val="auto"/>
              </w:rPr>
            </w:pPr>
            <w:r>
              <w:rPr>
                <w:rFonts w:ascii="Arial" w:cs="Arial" w:eastAsia="Arial" w:hAnsi="Arial"/>
                <w:sz w:val="18"/>
                <w:szCs w:val="18"/>
                <w:color w:val="auto"/>
              </w:rPr>
              <w:t>Amortization of deferred financing cost and debt discounts</w:t>
            </w:r>
          </w:p>
        </w:tc>
        <w:tc>
          <w:tcPr>
            <w:tcW w:w="1360" w:type="dxa"/>
            <w:vAlign w:val="bottom"/>
          </w:tcPr>
          <w:p>
            <w:pPr>
              <w:jc w:val="center"/>
              <w:ind w:right="591"/>
              <w:spacing w:after="0"/>
              <w:rPr>
                <w:sz w:val="20"/>
                <w:szCs w:val="20"/>
                <w:color w:val="auto"/>
              </w:rPr>
            </w:pPr>
            <w:r>
              <w:rPr>
                <w:rFonts w:ascii="Arial" w:cs="Arial" w:eastAsia="Arial" w:hAnsi="Arial"/>
                <w:sz w:val="18"/>
                <w:szCs w:val="18"/>
                <w:color w:val="auto"/>
                <w:w w:val="99"/>
              </w:rPr>
              <w:t>18</w:t>
            </w:r>
          </w:p>
        </w:tc>
      </w:tr>
      <w:tr>
        <w:trPr>
          <w:trHeight w:val="214"/>
        </w:trPr>
        <w:tc>
          <w:tcPr>
            <w:tcW w:w="98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 xml:space="preserve">Swap termination </w:t>
            </w:r>
            <w:r>
              <w:rPr>
                <w:rFonts w:ascii="Arial" w:cs="Arial" w:eastAsia="Arial" w:hAnsi="Arial"/>
                <w:sz w:val="15"/>
                <w:szCs w:val="15"/>
                <w:color w:val="auto"/>
              </w:rPr>
              <w:t>(2)</w:t>
            </w:r>
          </w:p>
        </w:tc>
        <w:tc>
          <w:tcPr>
            <w:tcW w:w="1360" w:type="dxa"/>
            <w:vAlign w:val="bottom"/>
            <w:shd w:val="clear" w:color="auto" w:fill="CFF0FC"/>
          </w:tcPr>
          <w:p>
            <w:pPr>
              <w:jc w:val="center"/>
              <w:ind w:right="571"/>
              <w:spacing w:after="0"/>
              <w:rPr>
                <w:sz w:val="20"/>
                <w:szCs w:val="20"/>
                <w:color w:val="auto"/>
              </w:rPr>
            </w:pPr>
            <w:r>
              <w:rPr>
                <w:rFonts w:ascii="Arial" w:cs="Arial" w:eastAsia="Arial" w:hAnsi="Arial"/>
                <w:sz w:val="18"/>
                <w:szCs w:val="18"/>
                <w:color w:val="auto"/>
                <w:w w:val="99"/>
              </w:rPr>
              <w:t>9</w:t>
            </w:r>
          </w:p>
        </w:tc>
      </w:tr>
      <w:tr>
        <w:trPr>
          <w:trHeight w:val="207"/>
        </w:trPr>
        <w:tc>
          <w:tcPr>
            <w:tcW w:w="9200" w:type="dxa"/>
            <w:vAlign w:val="bottom"/>
          </w:tcPr>
          <w:p>
            <w:pPr>
              <w:spacing w:after="0"/>
              <w:rPr>
                <w:sz w:val="20"/>
                <w:szCs w:val="20"/>
                <w:color w:val="auto"/>
              </w:rPr>
            </w:pPr>
            <w:r>
              <w:rPr>
                <w:rFonts w:ascii="Arial" w:cs="Arial" w:eastAsia="Arial" w:hAnsi="Arial"/>
                <w:sz w:val="18"/>
                <w:szCs w:val="18"/>
                <w:b w:val="1"/>
                <w:bCs w:val="1"/>
                <w:color w:val="auto"/>
              </w:rPr>
              <w:t xml:space="preserve">Interest expense, net </w:t>
            </w:r>
            <w:r>
              <w:rPr>
                <w:rFonts w:ascii="Arial" w:cs="Arial" w:eastAsia="Arial" w:hAnsi="Arial"/>
                <w:sz w:val="15"/>
                <w:szCs w:val="15"/>
                <w:color w:val="auto"/>
              </w:rPr>
              <w:t>(3)</w:t>
            </w:r>
          </w:p>
        </w:tc>
        <w:tc>
          <w:tcPr>
            <w:tcW w:w="680" w:type="dxa"/>
            <w:vAlign w:val="bottom"/>
            <w:tcBorders>
              <w:top w:val="single" w:sz="8" w:color="auto"/>
              <w:bottom w:val="single" w:sz="8" w:color="auto"/>
            </w:tcBorders>
          </w:tcPr>
          <w:p>
            <w:pPr>
              <w:spacing w:after="0"/>
              <w:rPr>
                <w:sz w:val="17"/>
                <w:szCs w:val="17"/>
                <w:color w:val="auto"/>
              </w:rPr>
            </w:pPr>
          </w:p>
        </w:tc>
        <w:tc>
          <w:tcPr>
            <w:tcW w:w="1360" w:type="dxa"/>
            <w:vAlign w:val="bottom"/>
            <w:tcBorders>
              <w:top w:val="single" w:sz="8" w:color="auto"/>
              <w:bottom w:val="single" w:sz="8" w:color="auto"/>
            </w:tcBorders>
          </w:tcPr>
          <w:p>
            <w:pPr>
              <w:jc w:val="center"/>
              <w:ind w:right="591"/>
              <w:spacing w:after="0"/>
              <w:rPr>
                <w:sz w:val="20"/>
                <w:szCs w:val="20"/>
                <w:color w:val="auto"/>
              </w:rPr>
            </w:pPr>
            <w:r>
              <w:rPr>
                <w:rFonts w:ascii="Arial" w:cs="Arial" w:eastAsia="Arial" w:hAnsi="Arial"/>
                <w:sz w:val="18"/>
                <w:szCs w:val="18"/>
                <w:color w:val="auto"/>
                <w:w w:val="97"/>
              </w:rPr>
              <w:t>$ 388</w:t>
            </w:r>
          </w:p>
        </w:tc>
      </w:tr>
      <w:tr>
        <w:trPr>
          <w:trHeight w:val="20"/>
        </w:trPr>
        <w:tc>
          <w:tcPr>
            <w:tcW w:w="92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151" w:lineRule="exact"/>
        <w:rPr>
          <w:sz w:val="20"/>
          <w:szCs w:val="20"/>
          <w:color w:val="auto"/>
        </w:rPr>
      </w:pPr>
    </w:p>
    <w:p>
      <w:pPr>
        <w:ind w:left="780" w:right="140" w:hanging="386"/>
        <w:spacing w:after="0" w:line="238" w:lineRule="auto"/>
        <w:tabs>
          <w:tab w:leader="none" w:pos="780" w:val="left"/>
        </w:tabs>
        <w:numPr>
          <w:ilvl w:val="0"/>
          <w:numId w:val="10"/>
        </w:numPr>
        <w:rPr>
          <w:rFonts w:ascii="Arial" w:cs="Arial" w:eastAsia="Arial" w:hAnsi="Arial"/>
          <w:sz w:val="14"/>
          <w:szCs w:val="14"/>
          <w:color w:val="auto"/>
        </w:rPr>
      </w:pPr>
      <w:r>
        <w:rPr>
          <w:rFonts w:ascii="Arial" w:cs="Arial" w:eastAsia="Arial" w:hAnsi="Arial"/>
          <w:sz w:val="14"/>
          <w:szCs w:val="14"/>
          <w:color w:val="auto"/>
        </w:rPr>
        <w:t>These ranges represent management’s best estimates based on the underlying assumptions as of the date of this press release. Future acquisitions, capital market transactions, changes in market conditions, and other factors are excluded from our projections. There can be no assurance that our actual results will not differ materially from the estimates set forth above.</w:t>
      </w:r>
    </w:p>
    <w:p>
      <w:pPr>
        <w:spacing w:after="0" w:line="1" w:lineRule="exact"/>
        <w:rPr>
          <w:rFonts w:ascii="Arial" w:cs="Arial" w:eastAsia="Arial" w:hAnsi="Arial"/>
          <w:sz w:val="14"/>
          <w:szCs w:val="14"/>
          <w:color w:val="auto"/>
        </w:rPr>
      </w:pPr>
    </w:p>
    <w:p>
      <w:pPr>
        <w:ind w:left="780" w:hanging="386"/>
        <w:spacing w:after="0"/>
        <w:tabs>
          <w:tab w:leader="none" w:pos="780" w:val="left"/>
        </w:tabs>
        <w:numPr>
          <w:ilvl w:val="0"/>
          <w:numId w:val="10"/>
        </w:numPr>
        <w:rPr>
          <w:rFonts w:ascii="Arial" w:cs="Arial" w:eastAsia="Arial" w:hAnsi="Arial"/>
          <w:sz w:val="14"/>
          <w:szCs w:val="14"/>
          <w:color w:val="auto"/>
        </w:rPr>
      </w:pPr>
      <w:r>
        <w:rPr>
          <w:rFonts w:ascii="Arial" w:cs="Arial" w:eastAsia="Arial" w:hAnsi="Arial"/>
          <w:sz w:val="14"/>
          <w:szCs w:val="14"/>
          <w:color w:val="auto"/>
        </w:rPr>
        <w:t>Represents recognition of deferred interest expense attributable to the discontinuance of hedge accounting on interest rate swaps.</w:t>
      </w:r>
    </w:p>
    <w:p>
      <w:pPr>
        <w:spacing w:after="0" w:line="65" w:lineRule="exact"/>
        <w:rPr>
          <w:rFonts w:ascii="Arial" w:cs="Arial" w:eastAsia="Arial" w:hAnsi="Arial"/>
          <w:sz w:val="14"/>
          <w:szCs w:val="14"/>
          <w:color w:val="auto"/>
        </w:rPr>
      </w:pPr>
    </w:p>
    <w:p>
      <w:pPr>
        <w:ind w:left="780" w:hanging="386"/>
        <w:spacing w:after="0"/>
        <w:tabs>
          <w:tab w:leader="none" w:pos="780" w:val="left"/>
        </w:tabs>
        <w:numPr>
          <w:ilvl w:val="0"/>
          <w:numId w:val="10"/>
        </w:numPr>
        <w:rPr>
          <w:rFonts w:ascii="Arial" w:cs="Arial" w:eastAsia="Arial" w:hAnsi="Arial"/>
          <w:sz w:val="14"/>
          <w:szCs w:val="14"/>
          <w:color w:val="auto"/>
        </w:rPr>
      </w:pPr>
      <w:r>
        <w:rPr>
          <w:rFonts w:ascii="Arial" w:cs="Arial" w:eastAsia="Arial" w:hAnsi="Arial"/>
          <w:sz w:val="14"/>
          <w:szCs w:val="14"/>
          <w:color w:val="auto"/>
        </w:rPr>
        <w:t>The components of interest expense may not add to the total due to rounding.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NON-GAAP FINANCIAL MEASURES</w:t>
      </w:r>
    </w:p>
    <w:p>
      <w:pPr>
        <w:spacing w:after="0" w:line="141" w:lineRule="exact"/>
        <w:rPr>
          <w:sz w:val="20"/>
          <w:szCs w:val="20"/>
          <w:color w:val="auto"/>
        </w:rPr>
      </w:pPr>
    </w:p>
    <w:p>
      <w:pPr>
        <w:jc w:val="both"/>
        <w:ind w:hanging="18"/>
        <w:spacing w:after="0" w:line="255" w:lineRule="auto"/>
        <w:rPr>
          <w:sz w:val="20"/>
          <w:szCs w:val="20"/>
          <w:color w:val="auto"/>
        </w:rPr>
      </w:pPr>
      <w:r>
        <w:rPr>
          <w:rFonts w:ascii="Arial" w:cs="Arial" w:eastAsia="Arial" w:hAnsi="Arial"/>
          <w:sz w:val="18"/>
          <w:szCs w:val="18"/>
          <w:color w:val="auto"/>
        </w:rPr>
        <w:t>We refer to EBITDA, Adjusted EBITDA, Funds From Operations (“FFO”) (as defined by the National Association of Real Estate Investment Trusts (“NAREIT”)) and Adjusted Funds From Operations (“AFFO”) in our analysis of our results of operations, which are not required by, or presented in accordance with, accounting principles generally accepted in the United States (“GAAP”). While we believe that net income, as defined by GAAP, is the most appropriate earnings measure, we also believe that EBITDA, Adjusted EBITDA, FFO and AFFO are important non-GAAP supplemental measures of operating performance for a REIT.</w:t>
      </w:r>
    </w:p>
    <w:p>
      <w:pPr>
        <w:spacing w:after="0" w:line="115" w:lineRule="exact"/>
        <w:rPr>
          <w:sz w:val="20"/>
          <w:szCs w:val="20"/>
          <w:color w:val="auto"/>
        </w:rPr>
      </w:pPr>
    </w:p>
    <w:p>
      <w:pPr>
        <w:jc w:val="both"/>
        <w:ind w:hanging="18"/>
        <w:spacing w:after="0" w:line="224" w:lineRule="auto"/>
        <w:rPr>
          <w:sz w:val="20"/>
          <w:szCs w:val="20"/>
          <w:color w:val="auto"/>
        </w:rPr>
      </w:pPr>
      <w:r>
        <w:rPr>
          <w:rFonts w:ascii="Arial" w:cs="Arial" w:eastAsia="Arial" w:hAnsi="Arial"/>
          <w:sz w:val="20"/>
          <w:szCs w:val="20"/>
          <w:color w:val="auto"/>
        </w:rPr>
        <w:t>We define “EBITDA” as net income, as defined by GAAP, before interest expense, provision for income taxes and depreciation and amortization. We define “Adjusted EBITDA” as EBITDA before stock-based compensation expense and the impact, which may be recurring in nature, of transaction and integration related costs, costs associated with Windstream’s bankruptcy, costs associated with litigation claims made against us, and costs associated with the implementation of our enterprise resource planning system, (collectively, “Transaction Related and Other Costs”), costs related to the settlement with Windstream, goodwill impairment charges, executive severance costs, amortization of non-cash rights-of-use assets, the write off of unamortized deferred financing costs, costs incurred as a result of the early repayment of debt, including early tender and redemption premiums and costs associated with the termination of related hedging activities, gains or losses on dispositions, changes in the fair value of contingent consideration and financial instruments, and other similar or infrequent items (although we may not have had such charges in the periods presented). Adjusted EBITDA includes adjustments to reflect the Company’s share of Adjusted EBITDA from unconsolidated entities. We believe EBITDA and Adjusted EBITDA are important supplemental measures to net income because they provide additional information to evaluate our operating performance on an unleveraged basis. In addition, Adjusted EBITDA is calculated similar to defined terms in our material debt agreements used to determine compliance with specific financial covenants. Since EBITDA and Adjusted EBITDA are not measures calculated in accordance with GAAP, they should not be considered as alternatives to net income determined in accordance with GAAP.</w:t>
      </w:r>
    </w:p>
    <w:p>
      <w:pPr>
        <w:spacing w:after="0" w:line="129" w:lineRule="exact"/>
        <w:rPr>
          <w:sz w:val="20"/>
          <w:szCs w:val="20"/>
          <w:color w:val="auto"/>
        </w:rPr>
      </w:pPr>
    </w:p>
    <w:p>
      <w:pPr>
        <w:jc w:val="both"/>
        <w:ind w:hanging="18"/>
        <w:spacing w:after="0" w:line="230" w:lineRule="auto"/>
        <w:rPr>
          <w:sz w:val="20"/>
          <w:szCs w:val="20"/>
          <w:color w:val="auto"/>
        </w:rPr>
      </w:pPr>
      <w:r>
        <w:rPr>
          <w:rFonts w:ascii="Arial" w:cs="Arial" w:eastAsia="Arial" w:hAnsi="Arial"/>
          <w:sz w:val="20"/>
          <w:szCs w:val="20"/>
          <w:color w:val="auto"/>
        </w:rPr>
        <w:t>Because the historical cost accounting convention used for real estate assets requires the recognition of depreciation expense except on land, such accounting presentation implies that the value of real estate assets diminishes predictably over time. However, since real estate values have historically risen or fallen</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1033" w:right="339" w:bottom="1440" w:gutter="0" w:footer="0" w:header="0"/>
        </w:sectPr>
      </w:pPr>
    </w:p>
    <w:bookmarkStart w:id="15" w:name="page16"/>
    <w:bookmarkEnd w:id="15"/>
    <w:p>
      <w:pPr>
        <w:jc w:val="both"/>
        <w:spacing w:after="0" w:line="225" w:lineRule="auto"/>
        <w:rPr>
          <w:sz w:val="20"/>
          <w:szCs w:val="20"/>
          <w:color w:val="auto"/>
        </w:rPr>
      </w:pPr>
      <w:r>
        <w:rPr>
          <w:rFonts w:ascii="Arial" w:cs="Arial" w:eastAsia="Arial" w:hAnsi="Arial"/>
          <w:sz w:val="20"/>
          <w:szCs w:val="20"/>
          <w:color w:val="auto"/>
        </w:rPr>
        <w:t>with market and other conditions, presentations of operating results for a REIT that uses historical cost accounting for depreciation could be less informative. Thus, NAREIT created FFO as a supplemental measure of operating performance for REITs that excludes historical cost depreciation and amortization, among other items, from net income, as defined by GAAP. FFO is defined by NAREIT as net income attributable to common shareholders computed in accordance with GAAP, excluding gains or losses from real estate dispositions, plus real estate depreciation and amortization and impairment charges, and includes adjustments to reflect the Company’s share of FFO from unconsolidated entities. We compute FFO in accordance with NAREIT’s definition.</w:t>
      </w:r>
    </w:p>
    <w:p>
      <w:pPr>
        <w:spacing w:after="0" w:line="132" w:lineRule="exact"/>
        <w:rPr>
          <w:sz w:val="20"/>
          <w:szCs w:val="20"/>
          <w:color w:val="auto"/>
        </w:rPr>
      </w:pPr>
    </w:p>
    <w:p>
      <w:pPr>
        <w:jc w:val="both"/>
        <w:ind w:hanging="18"/>
        <w:spacing w:after="0" w:line="249" w:lineRule="auto"/>
        <w:rPr>
          <w:sz w:val="20"/>
          <w:szCs w:val="20"/>
          <w:color w:val="auto"/>
        </w:rPr>
      </w:pPr>
      <w:r>
        <w:rPr>
          <w:rFonts w:ascii="Arial" w:cs="Arial" w:eastAsia="Arial" w:hAnsi="Arial"/>
          <w:sz w:val="18"/>
          <w:szCs w:val="18"/>
          <w:color w:val="auto"/>
        </w:rPr>
        <w:t>The Company defines AFFO, as FFO excluding (i) Transaction Related and Other Costs; (ii) costs related to the litigation settlement with Windstream, accretion on our settlement obligation, and gains on the prepayment of our settlement obligation as these items are not reflective of ongoing operating performance; (iii) goodwill impairment charges; (iv) certain non-cash revenues and expenses such as stock-based compensation expense, amortization of debt and equity discounts, amortization of deferred financing costs, depreciation and amortization of non-real estate assets, amortization of non-cash rights-of-use assets, straight line revenues, non-cash income taxes, and the amortization of other non-cash revenues to the extent that cash has not been received, such as revenue associated with the amortization of tenant capital improvements; and (v) the impact, which may be recurring in nature, of the write-off of unamortized deferred financing fees, additional costs incurred as a result of the early repayment of debt, including early tender and redemption premiums and costs associated with the termination of related hedging activities, executive severance costs, taxes associated with tax basis cancellation of debt, gains or losses on dispositions, changes in the fair value of contingent consideration and financial instruments and similar or infrequent items less maintenance capital expenditures. AFFO includes adjustments to reflect the Company’s share of AFFO from unconsolidated entities. We believe that the use of FFO and AFFO, and their respective per share amounts, combined with the required GAAP presentations, improves the understanding of operating results of REITs among investors and analysts, and makes comparisons of operating results among such companies more meaningful. We consider FFO and AFFO to be useful measures for reviewing comparative operating performance. In particular, we believe AFFO, by excluding certain revenue and expense items, can help investors compare our operating performance between periods and to other REITs on a consistent basis without having to account for differences caused by unanticipated items and events, such as transaction and integration related costs. The Company uses FFO and AFFO, and their respective per share amounts, only as performance measures, and FFO and AFFO do not purport to be indicative of cash available to fund our future cash requirements. While FFO and AFFO are relevant and widely used measures of operating performance of REITs, they do not represent cash flows from operations or net income as defined by GAAP and should not be considered an alternative to those measures in evaluating our liquidity or operating performance.</w:t>
      </w:r>
    </w:p>
    <w:p>
      <w:pPr>
        <w:spacing w:after="0" w:line="334" w:lineRule="exact"/>
        <w:rPr>
          <w:sz w:val="20"/>
          <w:szCs w:val="20"/>
          <w:color w:val="auto"/>
        </w:rPr>
      </w:pPr>
    </w:p>
    <w:p>
      <w:pPr>
        <w:jc w:val="both"/>
        <w:ind w:hanging="18"/>
        <w:spacing w:after="0" w:line="230" w:lineRule="auto"/>
        <w:rPr>
          <w:sz w:val="20"/>
          <w:szCs w:val="20"/>
          <w:color w:val="auto"/>
        </w:rPr>
      </w:pPr>
      <w:r>
        <w:rPr>
          <w:rFonts w:ascii="Arial" w:cs="Arial" w:eastAsia="Arial" w:hAnsi="Arial"/>
          <w:sz w:val="20"/>
          <w:szCs w:val="20"/>
          <w:color w:val="auto"/>
        </w:rPr>
        <w:t>Further, our computations of EBITDA, Adjusted EBITDA, FFO and AFFO may not be comparable to that reported by other REITs or companies that do not define FFO in accordance with the current NAREIT definition or that interpret the current NAREIT definition or define EBITDA, Adjusted EBITDA and AFFO differently than we do.</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191135</wp:posOffset>
            </wp:positionV>
            <wp:extent cx="7176135"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6135" cy="42545"/>
                    </a:xfrm>
                    <a:prstGeom prst="rect">
                      <a:avLst/>
                    </a:prstGeom>
                    <a:noFill/>
                  </pic:spPr>
                </pic:pic>
              </a:graphicData>
            </a:graphic>
          </wp:anchor>
        </w:drawing>
      </w:r>
    </w:p>
    <w:p>
      <w:pPr>
        <w:sectPr>
          <w:pgSz w:w="11900" w:h="16838" w:orient="portrait"/>
          <w:cols w:equalWidth="0" w:num="1">
            <w:col w:w="11240"/>
          </w:cols>
          <w:pgMar w:left="320" w:top="950" w:right="339" w:bottom="1440" w:gutter="0" w:footer="0" w:header="0"/>
        </w:sectPr>
      </w:pPr>
    </w:p>
    <w:bookmarkStart w:id="16" w:name="page17"/>
    <w:bookmarkEnd w:id="16"/>
    <w:p>
      <w:pPr>
        <w:spacing w:after="0"/>
        <w:rPr>
          <w:sz w:val="20"/>
          <w:szCs w:val="20"/>
          <w:color w:val="auto"/>
        </w:rPr>
      </w:pPr>
      <w:r>
        <w:rPr>
          <w:rFonts w:ascii="Arial" w:cs="Arial" w:eastAsia="Arial" w:hAnsi="Arial"/>
          <w:sz w:val="20"/>
          <w:szCs w:val="20"/>
          <w:color w:val="auto"/>
        </w:rPr>
        <w:t>INVESTOR AND MEDIA CONTACTS:</w:t>
      </w:r>
    </w:p>
    <w:p>
      <w:pPr>
        <w:spacing w:after="0" w:line="114" w:lineRule="exact"/>
        <w:rPr>
          <w:sz w:val="20"/>
          <w:szCs w:val="20"/>
          <w:color w:val="auto"/>
        </w:rPr>
      </w:pPr>
    </w:p>
    <w:p>
      <w:pPr>
        <w:ind w:left="20"/>
        <w:spacing w:after="0"/>
        <w:rPr>
          <w:sz w:val="20"/>
          <w:szCs w:val="20"/>
          <w:color w:val="auto"/>
        </w:rPr>
      </w:pPr>
      <w:r>
        <w:rPr>
          <w:rFonts w:ascii="Arial" w:cs="Arial" w:eastAsia="Arial" w:hAnsi="Arial"/>
          <w:sz w:val="20"/>
          <w:szCs w:val="20"/>
          <w:color w:val="auto"/>
        </w:rPr>
        <w:t>Paul Bullington, 251-662-1512</w:t>
      </w:r>
    </w:p>
    <w:p>
      <w:pPr>
        <w:ind w:left="20"/>
        <w:spacing w:after="0" w:line="222" w:lineRule="auto"/>
        <w:rPr>
          <w:sz w:val="20"/>
          <w:szCs w:val="20"/>
          <w:color w:val="auto"/>
        </w:rPr>
      </w:pPr>
      <w:r>
        <w:rPr>
          <w:rFonts w:ascii="Arial" w:cs="Arial" w:eastAsia="Arial" w:hAnsi="Arial"/>
          <w:sz w:val="20"/>
          <w:szCs w:val="20"/>
          <w:color w:val="auto"/>
        </w:rPr>
        <w:t>Senior Vice President, Chief Financial Officer &amp; Treasurer</w:t>
      </w:r>
    </w:p>
    <w:p>
      <w:pPr>
        <w:spacing w:after="0" w:line="1" w:lineRule="exact"/>
        <w:rPr>
          <w:sz w:val="20"/>
          <w:szCs w:val="20"/>
          <w:color w:val="auto"/>
        </w:rPr>
      </w:pPr>
    </w:p>
    <w:p>
      <w:pPr>
        <w:ind w:left="20"/>
        <w:spacing w:after="0"/>
        <w:rPr>
          <w:sz w:val="20"/>
          <w:szCs w:val="20"/>
          <w:color w:val="auto"/>
        </w:rPr>
      </w:pPr>
      <w:r>
        <w:rPr>
          <w:rFonts w:ascii="Arial" w:cs="Arial" w:eastAsia="Arial" w:hAnsi="Arial"/>
          <w:sz w:val="20"/>
          <w:szCs w:val="20"/>
          <w:u w:val="single" w:color="auto"/>
          <w:color w:val="0000FF"/>
        </w:rPr>
        <w:t>paul.bullington@uniti.com</w:t>
      </w:r>
    </w:p>
    <w:p>
      <w:pPr>
        <w:spacing w:after="0" w:line="207" w:lineRule="exact"/>
        <w:rPr>
          <w:sz w:val="20"/>
          <w:szCs w:val="20"/>
          <w:color w:val="auto"/>
        </w:rPr>
      </w:pPr>
    </w:p>
    <w:p>
      <w:pPr>
        <w:ind w:left="20"/>
        <w:spacing w:after="0"/>
        <w:rPr>
          <w:sz w:val="20"/>
          <w:szCs w:val="20"/>
          <w:color w:val="auto"/>
        </w:rPr>
      </w:pPr>
      <w:r>
        <w:rPr>
          <w:rFonts w:ascii="Arial" w:cs="Arial" w:eastAsia="Arial" w:hAnsi="Arial"/>
          <w:sz w:val="20"/>
          <w:szCs w:val="20"/>
          <w:color w:val="auto"/>
        </w:rPr>
        <w:t>Bill DiTullio, 501-850-0872</w:t>
      </w:r>
    </w:p>
    <w:p>
      <w:pPr>
        <w:ind w:left="20"/>
        <w:spacing w:after="0" w:line="222" w:lineRule="auto"/>
        <w:rPr>
          <w:sz w:val="20"/>
          <w:szCs w:val="20"/>
          <w:color w:val="auto"/>
        </w:rPr>
      </w:pPr>
      <w:r>
        <w:rPr>
          <w:rFonts w:ascii="Arial" w:cs="Arial" w:eastAsia="Arial" w:hAnsi="Arial"/>
          <w:sz w:val="20"/>
          <w:szCs w:val="20"/>
          <w:color w:val="auto"/>
        </w:rPr>
        <w:t>Vice President, Finance and Investor Relations</w:t>
      </w:r>
    </w:p>
    <w:p>
      <w:pPr>
        <w:spacing w:after="0" w:line="1" w:lineRule="exact"/>
        <w:rPr>
          <w:sz w:val="20"/>
          <w:szCs w:val="20"/>
          <w:color w:val="auto"/>
        </w:rPr>
      </w:pPr>
    </w:p>
    <w:p>
      <w:pPr>
        <w:ind w:left="20"/>
        <w:spacing w:after="0"/>
        <w:rPr>
          <w:sz w:val="20"/>
          <w:szCs w:val="20"/>
          <w:color w:val="auto"/>
        </w:rPr>
      </w:pPr>
      <w:r>
        <w:rPr>
          <w:rFonts w:ascii="Arial" w:cs="Arial" w:eastAsia="Arial" w:hAnsi="Arial"/>
          <w:sz w:val="20"/>
          <w:szCs w:val="20"/>
          <w:u w:val="single" w:color="auto"/>
          <w:color w:val="0000FF"/>
        </w:rPr>
        <w:t>bill.ditullio@uniti.com</w:t>
      </w:r>
    </w:p>
    <w:p>
      <w:pPr>
        <w:spacing w:after="0" w:line="200" w:lineRule="exact"/>
        <w:rPr>
          <w:sz w:val="20"/>
          <w:szCs w:val="20"/>
          <w:color w:val="auto"/>
        </w:rPr>
      </w:pPr>
    </w:p>
    <w:p>
      <w:pPr>
        <w:spacing w:after="0" w:line="211" w:lineRule="exact"/>
        <w:rPr>
          <w:sz w:val="20"/>
          <w:szCs w:val="20"/>
          <w:color w:val="auto"/>
        </w:rPr>
      </w:pPr>
    </w:p>
    <w:p>
      <w:pPr>
        <w:jc w:val="right"/>
        <w:ind w:right="4419"/>
        <w:spacing w:after="0"/>
        <w:rPr>
          <w:sz w:val="20"/>
          <w:szCs w:val="20"/>
          <w:color w:val="auto"/>
        </w:rPr>
      </w:pPr>
      <w:r>
        <w:rPr>
          <w:rFonts w:ascii="Arial" w:cs="Arial" w:eastAsia="Arial" w:hAnsi="Arial"/>
          <w:sz w:val="20"/>
          <w:szCs w:val="20"/>
          <w:color w:val="auto"/>
        </w:rPr>
        <w:t>14</w:t>
      </w:r>
    </w:p>
    <w:sectPr>
      <w:pgSz w:w="11900" w:h="16838" w:orient="portrait"/>
      <w:cols w:equalWidth="0" w:num="1">
        <w:col w:w="10039"/>
      </w:cols>
      <w:pgMar w:left="420" w:top="117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1)"/>
      <w:numFmt w:val="decimal"/>
      <w:start w:val="1"/>
    </w:lvl>
  </w:abstractNum>
  <w:abstractNum w:abstractNumId="3">
    <w:nsid w:val="41B71EFB"/>
    <w:multiLevelType w:val="hybridMultilevel"/>
    <w:lvl w:ilvl="0">
      <w:lvlJc w:val="left"/>
      <w:lvlText w:val="(%1)"/>
      <w:numFmt w:val="decimal"/>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1)"/>
      <w:numFmt w:val="decimal"/>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
      <w:numFmt w:val="bullet"/>
      <w:start w:val="1"/>
    </w:lvl>
  </w:abstractNum>
  <w:abstractNum w:abstractNumId="8">
    <w:nsid w:val="12200854"/>
    <w:multiLevelType w:val="hybridMultilevel"/>
    <w:lvl w:ilvl="0">
      <w:lvlJc w:val="left"/>
      <w:lvlText w:val="(%1)"/>
      <w:numFmt w:val="decimal"/>
      <w:start w:val="1"/>
    </w:lvl>
  </w:abstractNum>
  <w:abstractNum w:abstractNumId="9">
    <w:nsid w:val="4DB127F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2022-02-25T07:09:32Z</dcterms:created>
  <dcterms:modified xsi:type="dcterms:W3CDTF">2022-02-25T07:09:32Z</dcterms:modified>
</cp:coreProperties>
</file>