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2"/>
        <w:spacing w:after="0"/>
        <w:rPr>
          <w:sz w:val="20"/>
          <w:szCs w:val="20"/>
          <w:color w:val="auto"/>
        </w:rPr>
      </w:pPr>
      <w:r>
        <w:rPr>
          <w:rFonts w:ascii="Arial" w:cs="Arial" w:eastAsia="Arial" w:hAnsi="Arial"/>
          <w:sz w:val="23"/>
          <w:szCs w:val="23"/>
          <w:b w:val="1"/>
          <w:bCs w:val="1"/>
          <w:color w:val="auto"/>
        </w:rPr>
        <w:t>UNITED STATES</w:t>
      </w:r>
    </w:p>
    <w:p>
      <w:pPr>
        <w:spacing w:after="0" w:line="23" w:lineRule="exact"/>
        <w:rPr>
          <w:sz w:val="24"/>
          <w:szCs w:val="24"/>
          <w:color w:val="auto"/>
        </w:rPr>
      </w:pPr>
    </w:p>
    <w:p>
      <w:pPr>
        <w:jc w:val="center"/>
        <w:ind w:right="-2"/>
        <w:spacing w:after="0"/>
        <w:rPr>
          <w:sz w:val="20"/>
          <w:szCs w:val="20"/>
          <w:color w:val="auto"/>
        </w:rPr>
      </w:pPr>
      <w:r>
        <w:rPr>
          <w:rFonts w:ascii="Arial" w:cs="Arial" w:eastAsia="Arial" w:hAnsi="Arial"/>
          <w:sz w:val="23"/>
          <w:szCs w:val="23"/>
          <w:b w:val="1"/>
          <w:bCs w:val="1"/>
          <w:color w:val="auto"/>
        </w:rPr>
        <w:t>SECURITIES AND EXCHANGE COMMISSION</w:t>
      </w:r>
    </w:p>
    <w:p>
      <w:pPr>
        <w:jc w:val="center"/>
        <w:ind w:right="-2"/>
        <w:spacing w:after="0"/>
        <w:rPr>
          <w:sz w:val="20"/>
          <w:szCs w:val="20"/>
          <w:color w:val="auto"/>
        </w:rPr>
      </w:pPr>
      <w:r>
        <w:rPr>
          <w:rFonts w:ascii="Arial" w:cs="Arial" w:eastAsia="Arial" w:hAnsi="Arial"/>
          <w:sz w:val="19"/>
          <w:szCs w:val="19"/>
          <w:b w:val="1"/>
          <w:bCs w:val="1"/>
          <w:color w:val="auto"/>
        </w:rPr>
        <w:t>Washington, D.C. 20549</w:t>
      </w:r>
    </w:p>
    <w:p>
      <w:pPr>
        <w:spacing w:after="0" w:line="200" w:lineRule="exact"/>
        <w:rPr>
          <w:sz w:val="24"/>
          <w:szCs w:val="24"/>
          <w:color w:val="auto"/>
        </w:rPr>
      </w:pPr>
    </w:p>
    <w:p>
      <w:pPr>
        <w:jc w:val="center"/>
        <w:ind w:right="-2"/>
        <w:spacing w:after="0"/>
        <w:rPr>
          <w:sz w:val="20"/>
          <w:szCs w:val="20"/>
          <w:color w:val="auto"/>
        </w:rPr>
      </w:pPr>
      <w:r>
        <w:rPr>
          <w:rFonts w:ascii="Arial" w:cs="Arial" w:eastAsia="Arial" w:hAnsi="Arial"/>
          <w:sz w:val="23"/>
          <w:szCs w:val="23"/>
          <w:b w:val="1"/>
          <w:bCs w:val="1"/>
          <w:color w:val="auto"/>
        </w:rPr>
        <w:t>FORM 8-K</w:t>
      </w:r>
    </w:p>
    <w:p>
      <w:pPr>
        <w:spacing w:after="0" w:line="265" w:lineRule="exact"/>
        <w:rPr>
          <w:sz w:val="24"/>
          <w:szCs w:val="24"/>
          <w:color w:val="auto"/>
        </w:rPr>
      </w:pPr>
    </w:p>
    <w:p>
      <w:pPr>
        <w:jc w:val="center"/>
        <w:ind w:right="-2"/>
        <w:spacing w:after="0"/>
        <w:rPr>
          <w:sz w:val="20"/>
          <w:szCs w:val="20"/>
          <w:color w:val="auto"/>
        </w:rPr>
      </w:pPr>
      <w:r>
        <w:rPr>
          <w:rFonts w:ascii="Arial" w:cs="Arial" w:eastAsia="Arial" w:hAnsi="Arial"/>
          <w:sz w:val="19"/>
          <w:szCs w:val="19"/>
          <w:b w:val="1"/>
          <w:bCs w:val="1"/>
          <w:color w:val="auto"/>
        </w:rPr>
        <w:t>CURRENT REPORT</w:t>
      </w:r>
    </w:p>
    <w:p>
      <w:pPr>
        <w:spacing w:after="0" w:line="22" w:lineRule="exact"/>
        <w:rPr>
          <w:sz w:val="24"/>
          <w:szCs w:val="24"/>
          <w:color w:val="auto"/>
        </w:rPr>
      </w:pPr>
    </w:p>
    <w:p>
      <w:pPr>
        <w:jc w:val="center"/>
        <w:ind w:right="-2"/>
        <w:spacing w:after="0"/>
        <w:rPr>
          <w:sz w:val="20"/>
          <w:szCs w:val="20"/>
          <w:color w:val="auto"/>
        </w:rPr>
      </w:pPr>
      <w:r>
        <w:rPr>
          <w:rFonts w:ascii="Arial" w:cs="Arial" w:eastAsia="Arial" w:hAnsi="Arial"/>
          <w:sz w:val="19"/>
          <w:szCs w:val="19"/>
          <w:b w:val="1"/>
          <w:bCs w:val="1"/>
          <w:color w:val="auto"/>
        </w:rPr>
        <w:t>Pursuant to Section 13 or 15(d)</w:t>
      </w:r>
    </w:p>
    <w:p>
      <w:pPr>
        <w:jc w:val="center"/>
        <w:ind w:right="-2"/>
        <w:spacing w:after="0"/>
        <w:rPr>
          <w:sz w:val="20"/>
          <w:szCs w:val="20"/>
          <w:color w:val="auto"/>
        </w:rPr>
      </w:pPr>
      <w:r>
        <w:rPr>
          <w:rFonts w:ascii="Arial" w:cs="Arial" w:eastAsia="Arial" w:hAnsi="Arial"/>
          <w:sz w:val="19"/>
          <w:szCs w:val="19"/>
          <w:b w:val="1"/>
          <w:bCs w:val="1"/>
          <w:color w:val="auto"/>
        </w:rPr>
        <w:t>of the Securities Exchange Act of 1934</w:t>
      </w:r>
    </w:p>
    <w:p>
      <w:pPr>
        <w:jc w:val="center"/>
        <w:ind w:right="-2"/>
        <w:spacing w:after="0"/>
        <w:rPr>
          <w:sz w:val="20"/>
          <w:szCs w:val="20"/>
          <w:color w:val="auto"/>
        </w:rPr>
      </w:pPr>
      <w:r>
        <w:rPr>
          <w:rFonts w:ascii="Arial" w:cs="Arial" w:eastAsia="Arial" w:hAnsi="Arial"/>
          <w:sz w:val="17"/>
          <w:szCs w:val="17"/>
          <w:b w:val="1"/>
          <w:bCs w:val="1"/>
          <w:color w:val="auto"/>
        </w:rPr>
        <w:t>Date of Report (Date of earliest event reported): June 11, 2021</w:t>
      </w:r>
    </w:p>
    <w:p>
      <w:pPr>
        <w:spacing w:after="0" w:line="211" w:lineRule="exact"/>
        <w:rPr>
          <w:sz w:val="24"/>
          <w:szCs w:val="24"/>
          <w:color w:val="auto"/>
        </w:rPr>
      </w:pPr>
    </w:p>
    <w:p>
      <w:pPr>
        <w:jc w:val="center"/>
        <w:ind w:right="-2"/>
        <w:spacing w:after="0"/>
        <w:rPr>
          <w:sz w:val="20"/>
          <w:szCs w:val="20"/>
          <w:color w:val="auto"/>
        </w:rPr>
      </w:pPr>
      <w:r>
        <w:rPr>
          <w:rFonts w:ascii="Arial" w:cs="Arial" w:eastAsia="Arial" w:hAnsi="Arial"/>
          <w:sz w:val="32"/>
          <w:szCs w:val="32"/>
          <w:b w:val="1"/>
          <w:bCs w:val="1"/>
          <w:color w:val="auto"/>
        </w:rPr>
        <w:t>Uniti Group Inc.</w:t>
      </w:r>
    </w:p>
    <w:p>
      <w:pPr>
        <w:spacing w:after="0" w:line="42" w:lineRule="exact"/>
        <w:rPr>
          <w:sz w:val="24"/>
          <w:szCs w:val="24"/>
          <w:color w:val="auto"/>
        </w:rPr>
      </w:pPr>
    </w:p>
    <w:p>
      <w:pPr>
        <w:jc w:val="center"/>
        <w:ind w:right="-2"/>
        <w:spacing w:after="0"/>
        <w:rPr>
          <w:sz w:val="20"/>
          <w:szCs w:val="20"/>
          <w:color w:val="auto"/>
        </w:rPr>
      </w:pPr>
      <w:r>
        <w:rPr>
          <w:rFonts w:ascii="Arial" w:cs="Arial" w:eastAsia="Arial" w:hAnsi="Arial"/>
          <w:sz w:val="16"/>
          <w:szCs w:val="16"/>
          <w:b w:val="1"/>
          <w:bCs w:val="1"/>
          <w:color w:val="auto"/>
        </w:rPr>
        <w:t>(Exact name of registrant as specified in its charter)</w:t>
      </w:r>
    </w:p>
    <w:p>
      <w:pPr>
        <w:sectPr>
          <w:pgSz w:w="11900" w:h="16838" w:orient="portrait"/>
          <w:cols w:equalWidth="0" w:num="1">
            <w:col w:w="11263"/>
          </w:cols>
          <w:pgMar w:left="317" w:top="433" w:right="319" w:bottom="1440" w:gutter="0" w:footer="0" w:header="0"/>
        </w:sectPr>
      </w:pPr>
    </w:p>
    <w:p>
      <w:pPr>
        <w:spacing w:after="0" w:line="186" w:lineRule="exact"/>
        <w:rPr>
          <w:sz w:val="24"/>
          <w:szCs w:val="24"/>
          <w:color w:val="auto"/>
        </w:rPr>
      </w:pPr>
    </w:p>
    <w:p>
      <w:pPr>
        <w:ind w:left="1683"/>
        <w:spacing w:after="0"/>
        <w:rPr>
          <w:sz w:val="20"/>
          <w:szCs w:val="20"/>
          <w:color w:val="auto"/>
        </w:rPr>
      </w:pPr>
      <w:r>
        <w:rPr>
          <w:rFonts w:ascii="Arial" w:cs="Arial" w:eastAsia="Arial" w:hAnsi="Arial"/>
          <w:sz w:val="16"/>
          <w:szCs w:val="16"/>
          <w:b w:val="1"/>
          <w:bCs w:val="1"/>
          <w:color w:val="auto"/>
        </w:rPr>
        <w:t>Maryland</w:t>
      </w:r>
    </w:p>
    <w:p>
      <w:pPr>
        <w:spacing w:after="0" w:line="26" w:lineRule="exact"/>
        <w:rPr>
          <w:sz w:val="24"/>
          <w:szCs w:val="24"/>
          <w:color w:val="auto"/>
        </w:rPr>
      </w:pPr>
    </w:p>
    <w:p>
      <w:pPr>
        <w:ind w:left="1103"/>
        <w:spacing w:after="0"/>
        <w:rPr>
          <w:sz w:val="20"/>
          <w:szCs w:val="20"/>
          <w:color w:val="auto"/>
        </w:rPr>
      </w:pPr>
      <w:r>
        <w:rPr>
          <w:rFonts w:ascii="Arial" w:cs="Arial" w:eastAsia="Arial" w:hAnsi="Arial"/>
          <w:sz w:val="14"/>
          <w:szCs w:val="14"/>
          <w:b w:val="1"/>
          <w:bCs w:val="1"/>
          <w:color w:val="auto"/>
        </w:rPr>
        <w:t>(State or other jurisdiction</w:t>
      </w:r>
    </w:p>
    <w:p>
      <w:pPr>
        <w:spacing w:after="0" w:line="33" w:lineRule="exact"/>
        <w:rPr>
          <w:sz w:val="24"/>
          <w:szCs w:val="24"/>
          <w:color w:val="auto"/>
        </w:rPr>
      </w:pPr>
    </w:p>
    <w:p>
      <w:pPr>
        <w:ind w:left="1443"/>
        <w:spacing w:after="0"/>
        <w:rPr>
          <w:sz w:val="20"/>
          <w:szCs w:val="20"/>
          <w:color w:val="auto"/>
        </w:rPr>
      </w:pPr>
      <w:r>
        <w:rPr>
          <w:rFonts w:ascii="Arial" w:cs="Arial" w:eastAsia="Arial" w:hAnsi="Arial"/>
          <w:sz w:val="16"/>
          <w:szCs w:val="16"/>
          <w:b w:val="1"/>
          <w:bCs w:val="1"/>
          <w:color w:val="auto"/>
        </w:rPr>
        <w:t>of incorporation)</w:t>
      </w:r>
    </w:p>
    <w:p>
      <w:pPr>
        <w:spacing w:after="0" w:line="20" w:lineRule="exact"/>
        <w:rPr>
          <w:sz w:val="24"/>
          <w:szCs w:val="24"/>
          <w:color w:val="auto"/>
        </w:rPr>
      </w:pPr>
      <w:r>
        <w:rPr>
          <w:sz w:val="24"/>
          <w:szCs w:val="24"/>
          <w:color w:val="auto"/>
        </w:rPr>
        <w:br w:type="column"/>
      </w:r>
    </w:p>
    <w:p>
      <w:pPr>
        <w:spacing w:after="0" w:line="166" w:lineRule="exact"/>
        <w:rPr>
          <w:sz w:val="24"/>
          <w:szCs w:val="24"/>
          <w:color w:val="auto"/>
        </w:rPr>
      </w:pPr>
    </w:p>
    <w:p>
      <w:pPr>
        <w:ind w:left="140"/>
        <w:spacing w:after="0"/>
        <w:rPr>
          <w:sz w:val="20"/>
          <w:szCs w:val="20"/>
          <w:color w:val="auto"/>
        </w:rPr>
      </w:pPr>
      <w:r>
        <w:rPr>
          <w:rFonts w:ascii="Arial" w:cs="Arial" w:eastAsia="Arial" w:hAnsi="Arial"/>
          <w:sz w:val="16"/>
          <w:szCs w:val="16"/>
          <w:b w:val="1"/>
          <w:bCs w:val="1"/>
          <w:color w:val="auto"/>
        </w:rPr>
        <w:t>001-36708</w:t>
      </w:r>
    </w:p>
    <w:p>
      <w:pPr>
        <w:spacing w:after="0" w:line="26" w:lineRule="exact"/>
        <w:rPr>
          <w:sz w:val="24"/>
          <w:szCs w:val="24"/>
          <w:color w:val="auto"/>
        </w:rPr>
      </w:pPr>
    </w:p>
    <w:p>
      <w:pPr>
        <w:spacing w:after="0"/>
        <w:rPr>
          <w:sz w:val="20"/>
          <w:szCs w:val="20"/>
          <w:color w:val="auto"/>
        </w:rPr>
      </w:pPr>
      <w:r>
        <w:rPr>
          <w:rFonts w:ascii="Arial" w:cs="Arial" w:eastAsia="Arial" w:hAnsi="Arial"/>
          <w:sz w:val="14"/>
          <w:szCs w:val="14"/>
          <w:b w:val="1"/>
          <w:bCs w:val="1"/>
          <w:color w:val="auto"/>
        </w:rPr>
        <w:t>(Commission</w:t>
      </w:r>
    </w:p>
    <w:p>
      <w:pPr>
        <w:spacing w:after="0" w:line="33" w:lineRule="exact"/>
        <w:rPr>
          <w:sz w:val="24"/>
          <w:szCs w:val="24"/>
          <w:color w:val="auto"/>
        </w:rPr>
      </w:pPr>
    </w:p>
    <w:p>
      <w:pPr>
        <w:ind w:left="20"/>
        <w:spacing w:after="0"/>
        <w:rPr>
          <w:sz w:val="20"/>
          <w:szCs w:val="20"/>
          <w:color w:val="auto"/>
        </w:rPr>
      </w:pPr>
      <w:r>
        <w:rPr>
          <w:rFonts w:ascii="Arial" w:cs="Arial" w:eastAsia="Arial" w:hAnsi="Arial"/>
          <w:sz w:val="15"/>
          <w:szCs w:val="15"/>
          <w:b w:val="1"/>
          <w:bCs w:val="1"/>
          <w:color w:val="auto"/>
        </w:rPr>
        <w:t>File Number)</w:t>
      </w:r>
    </w:p>
    <w:p>
      <w:pPr>
        <w:spacing w:after="0" w:line="20" w:lineRule="exact"/>
        <w:rPr>
          <w:sz w:val="24"/>
          <w:szCs w:val="24"/>
          <w:color w:val="auto"/>
        </w:rPr>
      </w:pPr>
      <w:r>
        <w:rPr>
          <w:sz w:val="24"/>
          <w:szCs w:val="24"/>
          <w:color w:val="auto"/>
        </w:rPr>
        <w:br w:type="column"/>
      </w:r>
    </w:p>
    <w:p>
      <w:pPr>
        <w:spacing w:after="0" w:line="166" w:lineRule="exact"/>
        <w:rPr>
          <w:sz w:val="24"/>
          <w:szCs w:val="24"/>
          <w:color w:val="auto"/>
        </w:rPr>
      </w:pPr>
    </w:p>
    <w:p>
      <w:pPr>
        <w:ind w:left="240"/>
        <w:spacing w:after="0"/>
        <w:rPr>
          <w:sz w:val="20"/>
          <w:szCs w:val="20"/>
          <w:color w:val="auto"/>
        </w:rPr>
      </w:pPr>
      <w:r>
        <w:rPr>
          <w:rFonts w:ascii="Arial" w:cs="Arial" w:eastAsia="Arial" w:hAnsi="Arial"/>
          <w:sz w:val="16"/>
          <w:szCs w:val="16"/>
          <w:b w:val="1"/>
          <w:bCs w:val="1"/>
          <w:color w:val="auto"/>
        </w:rPr>
        <w:t>46-5230630</w:t>
      </w:r>
    </w:p>
    <w:p>
      <w:pPr>
        <w:spacing w:after="0" w:line="26" w:lineRule="exact"/>
        <w:rPr>
          <w:sz w:val="24"/>
          <w:szCs w:val="24"/>
          <w:color w:val="auto"/>
        </w:rPr>
      </w:pPr>
    </w:p>
    <w:p>
      <w:pPr>
        <w:ind w:left="80"/>
        <w:spacing w:after="0"/>
        <w:rPr>
          <w:sz w:val="20"/>
          <w:szCs w:val="20"/>
          <w:color w:val="auto"/>
        </w:rPr>
      </w:pPr>
      <w:r>
        <w:rPr>
          <w:rFonts w:ascii="Arial" w:cs="Arial" w:eastAsia="Arial" w:hAnsi="Arial"/>
          <w:sz w:val="16"/>
          <w:szCs w:val="16"/>
          <w:b w:val="1"/>
          <w:bCs w:val="1"/>
          <w:color w:val="auto"/>
        </w:rPr>
        <w:t>(IRS Employer</w:t>
      </w:r>
    </w:p>
    <w:p>
      <w:pPr>
        <w:spacing w:after="0" w:line="10" w:lineRule="exact"/>
        <w:rPr>
          <w:sz w:val="24"/>
          <w:szCs w:val="24"/>
          <w:color w:val="auto"/>
        </w:rPr>
      </w:pPr>
    </w:p>
    <w:p>
      <w:pPr>
        <w:spacing w:after="0"/>
        <w:rPr>
          <w:sz w:val="20"/>
          <w:szCs w:val="20"/>
          <w:color w:val="auto"/>
        </w:rPr>
      </w:pPr>
      <w:r>
        <w:rPr>
          <w:rFonts w:ascii="Arial" w:cs="Arial" w:eastAsia="Arial" w:hAnsi="Arial"/>
          <w:sz w:val="14"/>
          <w:szCs w:val="14"/>
          <w:b w:val="1"/>
          <w:bCs w:val="1"/>
          <w:color w:val="auto"/>
        </w:rPr>
        <w:t>Identification No.)</w:t>
      </w:r>
    </w:p>
    <w:p>
      <w:pPr>
        <w:spacing w:after="0" w:line="210" w:lineRule="exact"/>
        <w:rPr>
          <w:sz w:val="24"/>
          <w:szCs w:val="24"/>
          <w:color w:val="auto"/>
        </w:rPr>
      </w:pPr>
    </w:p>
    <w:p>
      <w:pPr>
        <w:sectPr>
          <w:pgSz w:w="11900" w:h="16838" w:orient="portrait"/>
          <w:cols w:equalWidth="0" w:num="3">
            <w:col w:w="4723" w:space="720"/>
            <w:col w:w="2720" w:space="720"/>
            <w:col w:w="2380"/>
          </w:cols>
          <w:pgMar w:left="317" w:top="433" w:right="319" w:bottom="1440" w:gutter="0" w:footer="0" w:header="0"/>
          <w:type w:val="continuous"/>
        </w:sectPr>
      </w:pPr>
    </w:p>
    <w:p>
      <w:pPr>
        <w:ind w:left="1843"/>
        <w:spacing w:after="0"/>
        <w:rPr>
          <w:sz w:val="20"/>
          <w:szCs w:val="20"/>
          <w:color w:val="auto"/>
        </w:rPr>
      </w:pPr>
      <w:r>
        <w:rPr>
          <w:rFonts w:ascii="Arial" w:cs="Arial" w:eastAsia="Arial" w:hAnsi="Arial"/>
          <w:sz w:val="14"/>
          <w:szCs w:val="14"/>
          <w:b w:val="1"/>
          <w:bCs w:val="1"/>
          <w:color w:val="auto"/>
        </w:rPr>
        <w:t>10802 Executive Center Drive</w:t>
      </w:r>
    </w:p>
    <w:p>
      <w:pPr>
        <w:spacing w:after="0" w:line="20" w:lineRule="exact"/>
        <w:rPr>
          <w:sz w:val="24"/>
          <w:szCs w:val="24"/>
          <w:color w:val="auto"/>
        </w:rPr>
      </w:pPr>
      <w:r>
        <w:rPr>
          <w:sz w:val="24"/>
          <w:szCs w:val="24"/>
          <w:color w:val="auto"/>
        </w:rPr>
        <w:br w:type="column"/>
      </w:r>
    </w:p>
    <w:p>
      <w:pPr>
        <w:spacing w:after="0"/>
        <w:rPr>
          <w:sz w:val="20"/>
          <w:szCs w:val="20"/>
          <w:color w:val="auto"/>
        </w:rPr>
      </w:pPr>
      <w:r>
        <w:rPr>
          <w:rFonts w:ascii="Arial" w:cs="Arial" w:eastAsia="Arial" w:hAnsi="Arial"/>
          <w:sz w:val="14"/>
          <w:szCs w:val="14"/>
          <w:b w:val="1"/>
          <w:bCs w:val="1"/>
          <w:color w:val="auto"/>
        </w:rPr>
        <w:t>72211</w:t>
      </w:r>
    </w:p>
    <w:p>
      <w:pPr>
        <w:spacing w:after="0" w:line="49" w:lineRule="exact"/>
        <w:rPr>
          <w:sz w:val="24"/>
          <w:szCs w:val="24"/>
          <w:color w:val="auto"/>
        </w:rPr>
      </w:pPr>
    </w:p>
    <w:p>
      <w:pPr>
        <w:sectPr>
          <w:pgSz w:w="11900" w:h="16838" w:orient="portrait"/>
          <w:cols w:equalWidth="0" w:num="2">
            <w:col w:w="7643" w:space="720"/>
            <w:col w:w="2900"/>
          </w:cols>
          <w:pgMar w:left="317" w:top="433" w:right="319" w:bottom="1440" w:gutter="0" w:footer="0" w:header="0"/>
          <w:type w:val="continuous"/>
        </w:sectPr>
      </w:pPr>
    </w:p>
    <w:p>
      <w:pPr>
        <w:jc w:val="center"/>
        <w:ind w:right="5497"/>
        <w:spacing w:after="0"/>
        <w:rPr>
          <w:sz w:val="20"/>
          <w:szCs w:val="20"/>
          <w:color w:val="auto"/>
        </w:rPr>
      </w:pPr>
      <w:r>
        <w:rPr>
          <w:rFonts w:ascii="Arial" w:cs="Arial" w:eastAsia="Arial" w:hAnsi="Arial"/>
          <w:sz w:val="14"/>
          <w:szCs w:val="14"/>
          <w:b w:val="1"/>
          <w:bCs w:val="1"/>
          <w:color w:val="auto"/>
        </w:rPr>
        <w:t>Benton Building Suite 300</w:t>
      </w:r>
    </w:p>
    <w:p>
      <w:pPr>
        <w:spacing w:after="0" w:line="33" w:lineRule="exact"/>
        <w:rPr>
          <w:sz w:val="24"/>
          <w:szCs w:val="24"/>
          <w:color w:val="auto"/>
        </w:rPr>
      </w:pPr>
    </w:p>
    <w:p>
      <w:pPr>
        <w:jc w:val="center"/>
        <w:ind w:right="5497"/>
        <w:spacing w:after="0"/>
        <w:rPr>
          <w:sz w:val="20"/>
          <w:szCs w:val="20"/>
          <w:color w:val="auto"/>
        </w:rPr>
      </w:pPr>
      <w:r>
        <w:rPr>
          <w:rFonts w:ascii="Arial" w:cs="Arial" w:eastAsia="Arial" w:hAnsi="Arial"/>
          <w:sz w:val="16"/>
          <w:szCs w:val="16"/>
          <w:b w:val="1"/>
          <w:bCs w:val="1"/>
          <w:color w:val="auto"/>
        </w:rPr>
        <w:t>Little Rock, Arkansas</w:t>
      </w:r>
    </w:p>
    <w:p>
      <w:pPr>
        <w:sectPr>
          <w:pgSz w:w="11900" w:h="16838" w:orient="portrait"/>
          <w:cols w:equalWidth="0" w:num="1">
            <w:col w:w="11263"/>
          </w:cols>
          <w:pgMar w:left="317" w:top="433" w:right="319" w:bottom="1440" w:gutter="0" w:footer="0" w:header="0"/>
          <w:type w:val="continuous"/>
        </w:sectPr>
      </w:pPr>
    </w:p>
    <w:p>
      <w:pPr>
        <w:spacing w:after="0" w:line="10" w:lineRule="exact"/>
        <w:rPr>
          <w:sz w:val="24"/>
          <w:szCs w:val="24"/>
          <w:color w:val="auto"/>
        </w:rPr>
      </w:pPr>
    </w:p>
    <w:p>
      <w:pPr>
        <w:ind w:left="1543"/>
        <w:spacing w:after="0"/>
        <w:rPr>
          <w:sz w:val="20"/>
          <w:szCs w:val="20"/>
          <w:color w:val="auto"/>
        </w:rPr>
      </w:pPr>
      <w:r>
        <w:rPr>
          <w:rFonts w:ascii="Arial" w:cs="Arial" w:eastAsia="Arial" w:hAnsi="Arial"/>
          <w:sz w:val="14"/>
          <w:szCs w:val="14"/>
          <w:b w:val="1"/>
          <w:bCs w:val="1"/>
          <w:color w:val="auto"/>
        </w:rPr>
        <w:t>(Address of principal executive offices)</w:t>
      </w:r>
    </w:p>
    <w:p>
      <w:pPr>
        <w:spacing w:after="0" w:line="20" w:lineRule="exact"/>
        <w:rPr>
          <w:sz w:val="24"/>
          <w:szCs w:val="24"/>
          <w:color w:val="auto"/>
        </w:rPr>
      </w:pPr>
      <w:r>
        <w:rPr>
          <w:sz w:val="24"/>
          <w:szCs w:val="24"/>
          <w:color w:val="auto"/>
        </w:rPr>
        <w:br w:type="column"/>
      </w:r>
    </w:p>
    <w:p>
      <w:pPr>
        <w:spacing w:after="0"/>
        <w:rPr>
          <w:sz w:val="20"/>
          <w:szCs w:val="20"/>
          <w:color w:val="auto"/>
        </w:rPr>
      </w:pPr>
      <w:r>
        <w:rPr>
          <w:rFonts w:ascii="Arial" w:cs="Arial" w:eastAsia="Arial" w:hAnsi="Arial"/>
          <w:sz w:val="14"/>
          <w:szCs w:val="14"/>
          <w:b w:val="1"/>
          <w:bCs w:val="1"/>
          <w:color w:val="auto"/>
        </w:rPr>
        <w:t>(Zip Code)</w:t>
      </w:r>
    </w:p>
    <w:p>
      <w:pPr>
        <w:spacing w:after="0" w:line="200" w:lineRule="exact"/>
        <w:rPr>
          <w:sz w:val="24"/>
          <w:szCs w:val="24"/>
          <w:color w:val="auto"/>
        </w:rPr>
      </w:pPr>
    </w:p>
    <w:p>
      <w:pPr>
        <w:sectPr>
          <w:pgSz w:w="11900" w:h="16838" w:orient="portrait"/>
          <w:cols w:equalWidth="0" w:num="2">
            <w:col w:w="7463" w:space="720"/>
            <w:col w:w="3080"/>
          </w:cols>
          <w:pgMar w:left="317" w:top="433" w:right="319" w:bottom="1440" w:gutter="0" w:footer="0" w:header="0"/>
          <w:type w:val="continuous"/>
        </w:sectPr>
      </w:pPr>
    </w:p>
    <w:p>
      <w:pPr>
        <w:spacing w:after="0" w:line="11" w:lineRule="exact"/>
        <w:rPr>
          <w:sz w:val="24"/>
          <w:szCs w:val="24"/>
          <w:color w:val="auto"/>
        </w:rPr>
      </w:pPr>
    </w:p>
    <w:p>
      <w:pPr>
        <w:jc w:val="center"/>
        <w:ind w:right="-2"/>
        <w:spacing w:after="0"/>
        <w:rPr>
          <w:sz w:val="20"/>
          <w:szCs w:val="20"/>
          <w:color w:val="auto"/>
        </w:rPr>
      </w:pPr>
      <w:r>
        <w:rPr>
          <w:rFonts w:ascii="Arial" w:cs="Arial" w:eastAsia="Arial" w:hAnsi="Arial"/>
          <w:sz w:val="16"/>
          <w:szCs w:val="16"/>
          <w:b w:val="1"/>
          <w:bCs w:val="1"/>
          <w:color w:val="auto"/>
        </w:rPr>
        <w:t>Registrant’s telephone number, including area code: (501) 850-0820</w:t>
      </w:r>
    </w:p>
    <w:p>
      <w:pPr>
        <w:spacing w:after="0" w:line="204" w:lineRule="exact"/>
        <w:rPr>
          <w:sz w:val="24"/>
          <w:szCs w:val="24"/>
          <w:color w:val="auto"/>
        </w:rPr>
      </w:pPr>
    </w:p>
    <w:p>
      <w:pPr>
        <w:jc w:val="center"/>
        <w:ind w:right="-2"/>
        <w:spacing w:after="0"/>
        <w:rPr>
          <w:sz w:val="20"/>
          <w:szCs w:val="20"/>
          <w:color w:val="auto"/>
        </w:rPr>
      </w:pPr>
      <w:r>
        <w:rPr>
          <w:rFonts w:ascii="Arial" w:cs="Arial" w:eastAsia="Arial" w:hAnsi="Arial"/>
          <w:sz w:val="16"/>
          <w:szCs w:val="16"/>
          <w:b w:val="1"/>
          <w:bCs w:val="1"/>
          <w:color w:val="auto"/>
        </w:rPr>
        <w:t>Not Applicable</w:t>
      </w:r>
    </w:p>
    <w:p>
      <w:pPr>
        <w:spacing w:after="0" w:line="26" w:lineRule="exact"/>
        <w:rPr>
          <w:sz w:val="24"/>
          <w:szCs w:val="24"/>
          <w:color w:val="auto"/>
        </w:rPr>
      </w:pPr>
    </w:p>
    <w:p>
      <w:pPr>
        <w:jc w:val="center"/>
        <w:ind w:right="-2"/>
        <w:spacing w:after="0"/>
        <w:rPr>
          <w:sz w:val="20"/>
          <w:szCs w:val="20"/>
          <w:color w:val="auto"/>
        </w:rPr>
      </w:pPr>
      <w:r>
        <w:rPr>
          <w:rFonts w:ascii="Arial" w:cs="Arial" w:eastAsia="Arial" w:hAnsi="Arial"/>
          <w:sz w:val="16"/>
          <w:szCs w:val="16"/>
          <w:b w:val="1"/>
          <w:bCs w:val="1"/>
          <w:color w:val="auto"/>
        </w:rPr>
        <w:t>(Former name or former address, if changed since last report.)</w:t>
      </w:r>
    </w:p>
    <w:p>
      <w:pPr>
        <w:spacing w:after="0" w:line="192" w:lineRule="exact"/>
        <w:rPr>
          <w:sz w:val="24"/>
          <w:szCs w:val="24"/>
          <w:color w:val="auto"/>
        </w:rPr>
      </w:pPr>
    </w:p>
    <w:p>
      <w:pPr>
        <w:ind w:left="3"/>
        <w:spacing w:after="0"/>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w:t>
      </w:r>
    </w:p>
    <w:p>
      <w:pPr>
        <w:spacing w:after="0" w:line="216" w:lineRule="exact"/>
        <w:rPr>
          <w:sz w:val="24"/>
          <w:szCs w:val="24"/>
          <w:color w:val="auto"/>
        </w:rPr>
      </w:pPr>
    </w:p>
    <w:p>
      <w:pPr>
        <w:ind w:left="463" w:hanging="463"/>
        <w:spacing w:after="0"/>
        <w:tabs>
          <w:tab w:leader="none" w:pos="463"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Written communications pursuant to Rule 425 under the Securities Act (17 CFR 230.425)</w:t>
      </w:r>
    </w:p>
    <w:p>
      <w:pPr>
        <w:spacing w:after="0" w:line="204" w:lineRule="exact"/>
        <w:rPr>
          <w:rFonts w:ascii="MS PGothic" w:cs="MS PGothic" w:eastAsia="MS PGothic" w:hAnsi="MS PGothic"/>
          <w:sz w:val="16"/>
          <w:szCs w:val="16"/>
          <w:color w:val="auto"/>
        </w:rPr>
      </w:pPr>
    </w:p>
    <w:p>
      <w:pPr>
        <w:ind w:left="463" w:hanging="463"/>
        <w:spacing w:after="0"/>
        <w:tabs>
          <w:tab w:leader="none" w:pos="463"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Soliciting material pursuant to Rule 14a-12 under the Exchange Act (17 CFR 240.14a-12)</w:t>
      </w:r>
    </w:p>
    <w:p>
      <w:pPr>
        <w:spacing w:after="0" w:line="204" w:lineRule="exact"/>
        <w:rPr>
          <w:rFonts w:ascii="MS PGothic" w:cs="MS PGothic" w:eastAsia="MS PGothic" w:hAnsi="MS PGothic"/>
          <w:sz w:val="16"/>
          <w:szCs w:val="16"/>
          <w:color w:val="auto"/>
        </w:rPr>
      </w:pPr>
    </w:p>
    <w:p>
      <w:pPr>
        <w:ind w:left="463" w:hanging="463"/>
        <w:spacing w:after="0"/>
        <w:tabs>
          <w:tab w:leader="none" w:pos="463"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Pre-commencement communications pursuant to Rule 14d-2(b) under the Exchange Act (17 CFR 240.14d-2(b))</w:t>
      </w:r>
    </w:p>
    <w:p>
      <w:pPr>
        <w:spacing w:after="0" w:line="204" w:lineRule="exact"/>
        <w:rPr>
          <w:rFonts w:ascii="MS PGothic" w:cs="MS PGothic" w:eastAsia="MS PGothic" w:hAnsi="MS PGothic"/>
          <w:sz w:val="16"/>
          <w:szCs w:val="16"/>
          <w:color w:val="auto"/>
        </w:rPr>
      </w:pPr>
    </w:p>
    <w:p>
      <w:pPr>
        <w:ind w:left="3" w:right="3580" w:hanging="3"/>
        <w:spacing w:after="0" w:line="514" w:lineRule="auto"/>
        <w:tabs>
          <w:tab w:leader="none" w:pos="464"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Pre-commencement communications pursuant to Rule 13e-4(c) under the Exchange Act (17 CFR 240.13e-4(c)) Securities registered pursuant to Section 12(b) of the Act:</w:t>
      </w:r>
    </w:p>
    <w:tbl>
      <w:tblPr>
        <w:tblLayout w:type="fixed"/>
        <w:tblInd w:w="13" w:type="dxa"/>
        <w:tblCellMar>
          <w:top w:w="0" w:type="dxa"/>
          <w:left w:w="0" w:type="dxa"/>
          <w:bottom w:w="0" w:type="dxa"/>
          <w:right w:w="0" w:type="dxa"/>
        </w:tblCellMar>
      </w:tblPr>
      <w:tr>
        <w:trPr>
          <w:trHeight w:val="187"/>
        </w:trPr>
        <w:tc>
          <w:tcPr>
            <w:tcW w:w="4400" w:type="dxa"/>
            <w:vAlign w:val="bottom"/>
            <w:tcBorders>
              <w:top w:val="single" w:sz="8" w:color="auto"/>
              <w:left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6"/>
                <w:szCs w:val="16"/>
                <w:color w:val="auto"/>
                <w:w w:val="90"/>
              </w:rPr>
              <w:t>Title of each class</w:t>
            </w:r>
          </w:p>
        </w:tc>
        <w:tc>
          <w:tcPr>
            <w:tcW w:w="2600" w:type="dxa"/>
            <w:vAlign w:val="bottom"/>
            <w:tcBorders>
              <w:top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6"/>
                <w:szCs w:val="16"/>
                <w:color w:val="auto"/>
                <w:w w:val="93"/>
              </w:rPr>
              <w:t>Trading Symbol(s)</w:t>
            </w:r>
          </w:p>
        </w:tc>
        <w:tc>
          <w:tcPr>
            <w:tcW w:w="4260" w:type="dxa"/>
            <w:vAlign w:val="bottom"/>
            <w:tcBorders>
              <w:top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6"/>
                <w:szCs w:val="16"/>
                <w:color w:val="auto"/>
                <w:w w:val="90"/>
              </w:rPr>
              <w:t>Name of each exchange on which registered</w:t>
            </w:r>
          </w:p>
        </w:tc>
      </w:tr>
      <w:tr>
        <w:trPr>
          <w:trHeight w:val="186"/>
        </w:trPr>
        <w:tc>
          <w:tcPr>
            <w:tcW w:w="4400" w:type="dxa"/>
            <w:vAlign w:val="bottom"/>
            <w:tcBorders>
              <w:left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6"/>
                <w:szCs w:val="16"/>
                <w:color w:val="auto"/>
                <w:w w:val="91"/>
              </w:rPr>
              <w:t>Common Stock</w:t>
            </w:r>
          </w:p>
        </w:tc>
        <w:tc>
          <w:tcPr>
            <w:tcW w:w="260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6"/>
                <w:szCs w:val="16"/>
                <w:color w:val="auto"/>
              </w:rPr>
              <w:t>UNIT</w:t>
            </w:r>
          </w:p>
        </w:tc>
        <w:tc>
          <w:tcPr>
            <w:tcW w:w="42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6"/>
                <w:szCs w:val="16"/>
                <w:color w:val="auto"/>
                <w:w w:val="94"/>
              </w:rPr>
              <w:t>The NASDAQ Global Select Market</w:t>
            </w:r>
          </w:p>
        </w:tc>
      </w:tr>
    </w:tbl>
    <w:p>
      <w:pPr>
        <w:spacing w:after="0" w:line="182" w:lineRule="exact"/>
        <w:rPr>
          <w:sz w:val="24"/>
          <w:szCs w:val="24"/>
          <w:color w:val="auto"/>
        </w:rPr>
      </w:pPr>
    </w:p>
    <w:p>
      <w:pPr>
        <w:jc w:val="both"/>
        <w:ind w:left="3" w:right="20"/>
        <w:spacing w:after="0" w:line="281" w:lineRule="auto"/>
        <w:rPr>
          <w:sz w:val="20"/>
          <w:szCs w:val="20"/>
          <w:color w:val="auto"/>
        </w:rPr>
      </w:pPr>
      <w:r>
        <w:rPr>
          <w:rFonts w:ascii="Arial" w:cs="Arial" w:eastAsia="Arial" w:hAnsi="Arial"/>
          <w:sz w:val="16"/>
          <w:szCs w:val="16"/>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1" w:lineRule="exact"/>
        <w:rPr>
          <w:sz w:val="24"/>
          <w:szCs w:val="24"/>
          <w:color w:val="auto"/>
        </w:rPr>
      </w:pPr>
    </w:p>
    <w:p>
      <w:pPr>
        <w:ind w:left="3"/>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34" w:lineRule="exact"/>
        <w:rPr>
          <w:sz w:val="24"/>
          <w:szCs w:val="24"/>
          <w:color w:val="auto"/>
        </w:rPr>
      </w:pPr>
    </w:p>
    <w:p>
      <w:pPr>
        <w:jc w:val="both"/>
        <w:ind w:left="3"/>
        <w:spacing w:after="0" w:line="209" w:lineRule="exact"/>
        <w:rPr>
          <w:sz w:val="20"/>
          <w:szCs w:val="20"/>
          <w:color w:val="auto"/>
        </w:rPr>
      </w:pPr>
      <w:r>
        <w:rPr>
          <w:rFonts w:ascii="Arial" w:cs="Arial" w:eastAsia="Arial" w:hAnsi="Arial"/>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6"/>
          <w:szCs w:val="16"/>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290195</wp:posOffset>
            </wp:positionV>
            <wp:extent cx="7146290" cy="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46290" cy="7620"/>
                    </a:xfrm>
                    <a:prstGeom prst="rect">
                      <a:avLst/>
                    </a:prstGeom>
                    <a:noFill/>
                  </pic:spPr>
                </pic:pic>
              </a:graphicData>
            </a:graphic>
          </wp:anchor>
        </w:drawing>
      </w:r>
    </w:p>
    <w:p>
      <w:pPr>
        <w:sectPr>
          <w:pgSz w:w="11900" w:h="16838" w:orient="portrait"/>
          <w:cols w:equalWidth="0" w:num="1">
            <w:col w:w="11263"/>
          </w:cols>
          <w:pgMar w:left="317" w:top="433" w:right="319" w:bottom="1440" w:gutter="0" w:footer="0" w:header="0"/>
          <w:type w:val="continuous"/>
        </w:sectPr>
      </w:pPr>
    </w:p>
    <w:bookmarkStart w:id="1" w:name="page2"/>
    <w:bookmarkEnd w:id="1"/>
    <w:p>
      <w:pPr>
        <w:ind w:left="3"/>
        <w:spacing w:after="0"/>
        <w:tabs>
          <w:tab w:leader="none" w:pos="1103" w:val="left"/>
        </w:tabs>
        <w:rPr>
          <w:sz w:val="20"/>
          <w:szCs w:val="20"/>
          <w:color w:val="auto"/>
        </w:rPr>
      </w:pPr>
      <w:r>
        <w:rPr>
          <w:rFonts w:ascii="Arial" w:cs="Arial" w:eastAsia="Arial" w:hAnsi="Arial"/>
          <w:sz w:val="16"/>
          <w:szCs w:val="16"/>
          <w:b w:val="1"/>
          <w:bCs w:val="1"/>
          <w:color w:val="auto"/>
        </w:rPr>
        <w:t>Item 7.01</w:t>
      </w:r>
      <w:r>
        <w:rPr>
          <w:sz w:val="20"/>
          <w:szCs w:val="20"/>
          <w:color w:val="auto"/>
        </w:rPr>
        <w:tab/>
      </w:r>
      <w:r>
        <w:rPr>
          <w:rFonts w:ascii="Arial" w:cs="Arial" w:eastAsia="Arial" w:hAnsi="Arial"/>
          <w:sz w:val="14"/>
          <w:szCs w:val="14"/>
          <w:b w:val="1"/>
          <w:bCs w:val="1"/>
          <w:color w:val="auto"/>
        </w:rPr>
        <w:t>Regulation FD Disclosure.</w:t>
      </w:r>
    </w:p>
    <w:p>
      <w:pPr>
        <w:spacing w:after="0" w:line="208" w:lineRule="exact"/>
        <w:rPr>
          <w:sz w:val="20"/>
          <w:szCs w:val="20"/>
          <w:color w:val="auto"/>
        </w:rPr>
      </w:pPr>
    </w:p>
    <w:p>
      <w:pPr>
        <w:ind w:left="3" w:right="80"/>
        <w:spacing w:after="0" w:line="262" w:lineRule="auto"/>
        <w:rPr>
          <w:sz w:val="20"/>
          <w:szCs w:val="20"/>
          <w:color w:val="auto"/>
        </w:rPr>
      </w:pPr>
      <w:r>
        <w:rPr>
          <w:rFonts w:ascii="Arial" w:cs="Arial" w:eastAsia="Arial" w:hAnsi="Arial"/>
          <w:sz w:val="16"/>
          <w:szCs w:val="16"/>
          <w:color w:val="auto"/>
        </w:rPr>
        <w:t>Uniti Group Inc. (the “Company”) is furnishing this Current Report on Form 8-K to provide certain financial information of Windstream Holdings II, LLC, successor in interest to Windstream Holdings, Inc., and consolidated subsidiaries (collectively, “Windstream”) as of and for the three months ended March 31, 2021. The financial information was provided to the Company by Windstream; the Company did not assist in the preparation or review of this financial information and makes no representation as to its accuracy.</w:t>
      </w:r>
    </w:p>
    <w:p>
      <w:pPr>
        <w:spacing w:after="0" w:line="167" w:lineRule="exact"/>
        <w:rPr>
          <w:sz w:val="20"/>
          <w:szCs w:val="20"/>
          <w:color w:val="auto"/>
        </w:rPr>
      </w:pPr>
    </w:p>
    <w:p>
      <w:pPr>
        <w:ind w:left="3" w:right="220"/>
        <w:spacing w:after="0" w:line="262" w:lineRule="auto"/>
        <w:rPr>
          <w:sz w:val="20"/>
          <w:szCs w:val="20"/>
          <w:color w:val="auto"/>
        </w:rPr>
      </w:pPr>
      <w:r>
        <w:rPr>
          <w:rFonts w:ascii="Arial" w:cs="Arial" w:eastAsia="Arial" w:hAnsi="Arial"/>
          <w:sz w:val="16"/>
          <w:szCs w:val="16"/>
          <w:color w:val="auto"/>
        </w:rPr>
        <w:t>The information contained in this Item 7.01, including the exhibit attached hereto, is being “furnished” and shall not be deemed “filed” for purposes of Section 18 of the Securities Exchange Act of 1934, as amended (the “Exchange Act”), or otherwise subject to the liabilities of Section 18 of the Exchange Act. The information in this Item 7.01 shall not be incorporated by reference into any registration statement or other document pursuant to the Securities Act of 1933, as amended, or into any filing or other document pursuant to the Exchange Act, except as otherwise expressly stated in any such filing.</w:t>
      </w:r>
    </w:p>
    <w:p>
      <w:pPr>
        <w:spacing w:after="0" w:line="163" w:lineRule="exact"/>
        <w:rPr>
          <w:sz w:val="20"/>
          <w:szCs w:val="20"/>
          <w:color w:val="auto"/>
        </w:rPr>
      </w:pPr>
    </w:p>
    <w:p>
      <w:pPr>
        <w:ind w:left="3"/>
        <w:spacing w:after="0"/>
        <w:tabs>
          <w:tab w:leader="none" w:pos="1103" w:val="left"/>
        </w:tabs>
        <w:rPr>
          <w:sz w:val="20"/>
          <w:szCs w:val="20"/>
          <w:color w:val="auto"/>
        </w:rPr>
      </w:pPr>
      <w:r>
        <w:rPr>
          <w:rFonts w:ascii="Arial" w:cs="Arial" w:eastAsia="Arial" w:hAnsi="Arial"/>
          <w:sz w:val="16"/>
          <w:szCs w:val="16"/>
          <w:b w:val="1"/>
          <w:bCs w:val="1"/>
          <w:color w:val="auto"/>
        </w:rPr>
        <w:t>Item 9.01.</w:t>
      </w:r>
      <w:r>
        <w:rPr>
          <w:sz w:val="20"/>
          <w:szCs w:val="20"/>
          <w:color w:val="auto"/>
        </w:rPr>
        <w:tab/>
      </w:r>
      <w:r>
        <w:rPr>
          <w:rFonts w:ascii="Arial" w:cs="Arial" w:eastAsia="Arial" w:hAnsi="Arial"/>
          <w:sz w:val="14"/>
          <w:szCs w:val="14"/>
          <w:b w:val="1"/>
          <w:bCs w:val="1"/>
          <w:color w:val="auto"/>
        </w:rPr>
        <w:t>Financial Statements and Exhibits.</w:t>
      </w:r>
    </w:p>
    <w:p>
      <w:pPr>
        <w:spacing w:after="0" w:line="208" w:lineRule="exact"/>
        <w:rPr>
          <w:sz w:val="20"/>
          <w:szCs w:val="20"/>
          <w:color w:val="auto"/>
        </w:rPr>
      </w:pPr>
    </w:p>
    <w:p>
      <w:pPr>
        <w:ind w:left="223" w:hanging="223"/>
        <w:spacing w:after="0"/>
        <w:tabs>
          <w:tab w:leader="none" w:pos="223" w:val="left"/>
        </w:tabs>
        <w:numPr>
          <w:ilvl w:val="0"/>
          <w:numId w:val="2"/>
        </w:numPr>
        <w:rPr>
          <w:rFonts w:ascii="Arial" w:cs="Arial" w:eastAsia="Arial" w:hAnsi="Arial"/>
          <w:sz w:val="16"/>
          <w:szCs w:val="16"/>
          <w:color w:val="auto"/>
        </w:rPr>
      </w:pPr>
      <w:r>
        <w:rPr>
          <w:rFonts w:ascii="Arial" w:cs="Arial" w:eastAsia="Arial" w:hAnsi="Arial"/>
          <w:sz w:val="16"/>
          <w:szCs w:val="16"/>
          <w:i w:val="1"/>
          <w:iCs w:val="1"/>
          <w:color w:val="auto"/>
        </w:rPr>
        <w:t>Exhibits</w:t>
      </w:r>
    </w:p>
    <w:p>
      <w:pPr>
        <w:spacing w:after="0" w:line="200" w:lineRule="exact"/>
        <w:rPr>
          <w:sz w:val="20"/>
          <w:szCs w:val="20"/>
          <w:color w:val="auto"/>
        </w:rPr>
      </w:pPr>
    </w:p>
    <w:tbl>
      <w:tblPr>
        <w:tblLayout w:type="fixed"/>
        <w:tblInd w:w="3" w:type="dxa"/>
        <w:tblCellMar>
          <w:top w:w="0" w:type="dxa"/>
          <w:left w:w="0" w:type="dxa"/>
          <w:bottom w:w="0" w:type="dxa"/>
          <w:right w:w="0" w:type="dxa"/>
        </w:tblCellMar>
      </w:tblPr>
      <w:tr>
        <w:trPr>
          <w:trHeight w:val="194"/>
        </w:trPr>
        <w:tc>
          <w:tcPr>
            <w:tcW w:w="2600" w:type="dxa"/>
            <w:vAlign w:val="bottom"/>
          </w:tcPr>
          <w:p>
            <w:pPr>
              <w:jc w:val="center"/>
              <w:ind w:right="379"/>
              <w:spacing w:after="0"/>
              <w:rPr>
                <w:sz w:val="20"/>
                <w:szCs w:val="20"/>
                <w:color w:val="auto"/>
              </w:rPr>
            </w:pPr>
            <w:r>
              <w:rPr>
                <w:rFonts w:ascii="Arial" w:cs="Arial" w:eastAsia="Arial" w:hAnsi="Arial"/>
                <w:sz w:val="16"/>
                <w:szCs w:val="16"/>
                <w:b w:val="1"/>
                <w:bCs w:val="1"/>
                <w:color w:val="auto"/>
                <w:w w:val="93"/>
              </w:rPr>
              <w:t>Exhibit</w:t>
            </w:r>
          </w:p>
        </w:tc>
        <w:tc>
          <w:tcPr>
            <w:tcW w:w="6080" w:type="dxa"/>
            <w:vAlign w:val="bottom"/>
          </w:tcPr>
          <w:p>
            <w:pPr>
              <w:spacing w:after="0"/>
              <w:rPr>
                <w:sz w:val="16"/>
                <w:szCs w:val="16"/>
                <w:color w:val="auto"/>
              </w:rPr>
            </w:pPr>
          </w:p>
        </w:tc>
        <w:tc>
          <w:tcPr>
            <w:tcW w:w="2580" w:type="dxa"/>
            <w:vAlign w:val="bottom"/>
          </w:tcPr>
          <w:p>
            <w:pPr>
              <w:spacing w:after="0"/>
              <w:rPr>
                <w:sz w:val="16"/>
                <w:szCs w:val="16"/>
                <w:color w:val="auto"/>
              </w:rPr>
            </w:pPr>
          </w:p>
        </w:tc>
      </w:tr>
      <w:tr>
        <w:trPr>
          <w:trHeight w:val="210"/>
        </w:trPr>
        <w:tc>
          <w:tcPr>
            <w:tcW w:w="2600" w:type="dxa"/>
            <w:vAlign w:val="bottom"/>
          </w:tcPr>
          <w:p>
            <w:pPr>
              <w:jc w:val="center"/>
              <w:ind w:right="379"/>
              <w:spacing w:after="0"/>
              <w:rPr>
                <w:sz w:val="20"/>
                <w:szCs w:val="20"/>
                <w:color w:val="auto"/>
              </w:rPr>
            </w:pPr>
            <w:r>
              <w:rPr>
                <w:rFonts w:ascii="Arial" w:cs="Arial" w:eastAsia="Arial" w:hAnsi="Arial"/>
                <w:sz w:val="16"/>
                <w:szCs w:val="16"/>
                <w:b w:val="1"/>
                <w:bCs w:val="1"/>
                <w:color w:val="auto"/>
                <w:w w:val="85"/>
              </w:rPr>
              <w:t>No.</w:t>
            </w:r>
          </w:p>
        </w:tc>
        <w:tc>
          <w:tcPr>
            <w:tcW w:w="8660" w:type="dxa"/>
            <w:vAlign w:val="bottom"/>
            <w:gridSpan w:val="2"/>
          </w:tcPr>
          <w:p>
            <w:pPr>
              <w:ind w:left="3560"/>
              <w:spacing w:after="0"/>
              <w:rPr>
                <w:sz w:val="20"/>
                <w:szCs w:val="20"/>
                <w:color w:val="auto"/>
              </w:rPr>
            </w:pPr>
            <w:r>
              <w:rPr>
                <w:rFonts w:ascii="Arial" w:cs="Arial" w:eastAsia="Arial" w:hAnsi="Arial"/>
                <w:sz w:val="16"/>
                <w:szCs w:val="16"/>
                <w:b w:val="1"/>
                <w:bCs w:val="1"/>
                <w:color w:val="auto"/>
              </w:rPr>
              <w:t>Description of Exhibit</w:t>
            </w:r>
          </w:p>
        </w:tc>
      </w:tr>
      <w:tr>
        <w:trPr>
          <w:trHeight w:val="546"/>
        </w:trPr>
        <w:tc>
          <w:tcPr>
            <w:tcW w:w="2600" w:type="dxa"/>
            <w:vAlign w:val="bottom"/>
          </w:tcPr>
          <w:p>
            <w:pPr>
              <w:jc w:val="right"/>
              <w:ind w:right="1299"/>
              <w:spacing w:after="0"/>
              <w:rPr>
                <w:sz w:val="20"/>
                <w:szCs w:val="20"/>
                <w:color w:val="auto"/>
              </w:rPr>
            </w:pPr>
            <w:r>
              <w:rPr>
                <w:rFonts w:ascii="Arial" w:cs="Arial" w:eastAsia="Arial" w:hAnsi="Arial"/>
                <w:sz w:val="16"/>
                <w:szCs w:val="16"/>
                <w:color w:val="auto"/>
              </w:rPr>
              <w:t>99.1</w:t>
            </w:r>
          </w:p>
        </w:tc>
        <w:tc>
          <w:tcPr>
            <w:tcW w:w="8660" w:type="dxa"/>
            <w:vAlign w:val="bottom"/>
            <w:gridSpan w:val="2"/>
          </w:tcPr>
          <w:p>
            <w:pPr>
              <w:spacing w:after="0"/>
              <w:rPr>
                <w:rFonts w:ascii="Arial" w:cs="Arial" w:eastAsia="Arial" w:hAnsi="Arial"/>
                <w:sz w:val="16"/>
                <w:szCs w:val="16"/>
                <w:color w:val="0000FF"/>
              </w:rPr>
            </w:pPr>
            <w:hyperlink w:anchor="page4">
              <w:r>
                <w:rPr>
                  <w:rFonts w:ascii="Arial" w:cs="Arial" w:eastAsia="Arial" w:hAnsi="Arial"/>
                  <w:sz w:val="16"/>
                  <w:szCs w:val="16"/>
                  <w:color w:val="0000FF"/>
                </w:rPr>
                <w:t>Select Windstream financial information as of and for the three months ended March 31, 2021</w:t>
              </w:r>
            </w:hyperlink>
          </w:p>
        </w:tc>
      </w:tr>
      <w:tr>
        <w:trPr>
          <w:trHeight w:val="404"/>
        </w:trPr>
        <w:tc>
          <w:tcPr>
            <w:tcW w:w="2600" w:type="dxa"/>
            <w:vAlign w:val="bottom"/>
          </w:tcPr>
          <w:p>
            <w:pPr>
              <w:jc w:val="right"/>
              <w:ind w:right="1319"/>
              <w:spacing w:after="0"/>
              <w:rPr>
                <w:sz w:val="20"/>
                <w:szCs w:val="20"/>
                <w:color w:val="auto"/>
              </w:rPr>
            </w:pPr>
            <w:r>
              <w:rPr>
                <w:rFonts w:ascii="Arial" w:cs="Arial" w:eastAsia="Arial" w:hAnsi="Arial"/>
                <w:sz w:val="16"/>
                <w:szCs w:val="16"/>
                <w:color w:val="auto"/>
              </w:rPr>
              <w:t>104</w:t>
            </w:r>
          </w:p>
        </w:tc>
        <w:tc>
          <w:tcPr>
            <w:tcW w:w="6080" w:type="dxa"/>
            <w:vAlign w:val="bottom"/>
            <w:tcBorders>
              <w:top w:val="single" w:sz="8" w:color="0000FF"/>
            </w:tcBorders>
          </w:tcPr>
          <w:p>
            <w:pPr>
              <w:spacing w:after="0"/>
              <w:rPr>
                <w:sz w:val="20"/>
                <w:szCs w:val="20"/>
                <w:color w:val="auto"/>
              </w:rPr>
            </w:pPr>
            <w:r>
              <w:rPr>
                <w:rFonts w:ascii="Arial" w:cs="Arial" w:eastAsia="Arial" w:hAnsi="Arial"/>
                <w:sz w:val="16"/>
                <w:szCs w:val="16"/>
                <w:color w:val="auto"/>
              </w:rPr>
              <w:t>Cover Page Interactive Data File (embedded within the Inline XBRL document).</w:t>
            </w:r>
          </w:p>
        </w:tc>
        <w:tc>
          <w:tcPr>
            <w:tcW w:w="2580" w:type="dxa"/>
            <w:vAlign w:val="bottom"/>
          </w:tcPr>
          <w:p>
            <w:pPr>
              <w:spacing w:after="0"/>
              <w:rPr>
                <w:sz w:val="24"/>
                <w:szCs w:val="24"/>
                <w:color w:val="auto"/>
              </w:rPr>
            </w:pPr>
          </w:p>
        </w:tc>
      </w:tr>
      <w:tr>
        <w:trPr>
          <w:trHeight w:val="279"/>
        </w:trPr>
        <w:tc>
          <w:tcPr>
            <w:tcW w:w="2600" w:type="dxa"/>
            <w:vAlign w:val="bottom"/>
            <w:tcBorders>
              <w:bottom w:val="single" w:sz="8" w:color="auto"/>
            </w:tcBorders>
          </w:tcPr>
          <w:p>
            <w:pPr>
              <w:spacing w:after="0"/>
              <w:rPr>
                <w:sz w:val="24"/>
                <w:szCs w:val="24"/>
                <w:color w:val="auto"/>
              </w:rPr>
            </w:pPr>
          </w:p>
        </w:tc>
        <w:tc>
          <w:tcPr>
            <w:tcW w:w="6080" w:type="dxa"/>
            <w:vAlign w:val="bottom"/>
            <w:tcBorders>
              <w:bottom w:val="single" w:sz="8" w:color="auto"/>
            </w:tcBorders>
          </w:tcPr>
          <w:p>
            <w:pPr>
              <w:spacing w:after="0"/>
              <w:rPr>
                <w:sz w:val="24"/>
                <w:szCs w:val="24"/>
                <w:color w:val="auto"/>
              </w:rPr>
            </w:pPr>
          </w:p>
        </w:tc>
        <w:tc>
          <w:tcPr>
            <w:tcW w:w="2580" w:type="dxa"/>
            <w:vAlign w:val="bottom"/>
            <w:tcBorders>
              <w:bottom w:val="single" w:sz="8" w:color="auto"/>
            </w:tcBorders>
          </w:tcPr>
          <w:p>
            <w:pPr>
              <w:spacing w:after="0"/>
              <w:rPr>
                <w:sz w:val="24"/>
                <w:szCs w:val="24"/>
                <w:color w:val="auto"/>
              </w:rPr>
            </w:pPr>
          </w:p>
        </w:tc>
      </w:tr>
    </w:tbl>
    <w:p>
      <w:pPr>
        <w:sectPr>
          <w:pgSz w:w="11900" w:h="16838" w:orient="portrait"/>
          <w:cols w:equalWidth="0" w:num="1">
            <w:col w:w="11263"/>
          </w:cols>
          <w:pgMar w:left="317" w:top="535" w:right="319" w:bottom="1440" w:gutter="0" w:footer="0" w:header="0"/>
        </w:sectPr>
      </w:pPr>
    </w:p>
    <w:bookmarkStart w:id="2" w:name="page3"/>
    <w:bookmarkEnd w:id="2"/>
    <w:p>
      <w:pPr>
        <w:jc w:val="center"/>
        <w:spacing w:after="0"/>
        <w:rPr>
          <w:sz w:val="20"/>
          <w:szCs w:val="20"/>
          <w:color w:val="auto"/>
        </w:rPr>
      </w:pPr>
      <w:r>
        <w:rPr>
          <w:rFonts w:ascii="Arial" w:cs="Arial" w:eastAsia="Arial" w:hAnsi="Arial"/>
          <w:sz w:val="16"/>
          <w:szCs w:val="16"/>
          <w:b w:val="1"/>
          <w:bCs w:val="1"/>
          <w:color w:val="auto"/>
        </w:rPr>
        <w:t>SIGNATURES</w:t>
      </w:r>
    </w:p>
    <w:p>
      <w:pPr>
        <w:spacing w:after="0" w:line="208" w:lineRule="exact"/>
        <w:rPr>
          <w:sz w:val="20"/>
          <w:szCs w:val="20"/>
          <w:color w:val="auto"/>
        </w:rPr>
      </w:pPr>
    </w:p>
    <w:p>
      <w:pPr>
        <w:ind w:right="20"/>
        <w:spacing w:after="0" w:line="281" w:lineRule="auto"/>
        <w:rPr>
          <w:sz w:val="20"/>
          <w:szCs w:val="20"/>
          <w:color w:val="auto"/>
        </w:rPr>
      </w:pPr>
      <w:r>
        <w:rPr>
          <w:rFonts w:ascii="Arial" w:cs="Arial" w:eastAsia="Arial" w:hAnsi="Arial"/>
          <w:sz w:val="16"/>
          <w:szCs w:val="16"/>
          <w:color w:val="auto"/>
        </w:rPr>
        <w:t>Pursuant to the requirements of the Securities Exchange Act of 1934, the registrant has duly caused this report to be signed on its behalf by the undersigned hereunto duly authorized.</w:t>
      </w:r>
    </w:p>
    <w:p>
      <w:pPr>
        <w:spacing w:after="0" w:line="151" w:lineRule="exact"/>
        <w:rPr>
          <w:sz w:val="20"/>
          <w:szCs w:val="20"/>
          <w:color w:val="auto"/>
        </w:rPr>
      </w:pPr>
    </w:p>
    <w:tbl>
      <w:tblPr>
        <w:tblLayout w:type="fixed"/>
        <w:tblInd w:w="0" w:type="dxa"/>
        <w:tblCellMar>
          <w:top w:w="0" w:type="dxa"/>
          <w:left w:w="0" w:type="dxa"/>
          <w:bottom w:w="0" w:type="dxa"/>
          <w:right w:w="0" w:type="dxa"/>
        </w:tblCellMar>
      </w:tblPr>
      <w:tr>
        <w:trPr>
          <w:trHeight w:val="206"/>
        </w:trPr>
        <w:tc>
          <w:tcPr>
            <w:tcW w:w="3740" w:type="dxa"/>
            <w:vAlign w:val="bottom"/>
          </w:tcPr>
          <w:p>
            <w:pPr>
              <w:spacing w:after="0"/>
              <w:rPr>
                <w:sz w:val="20"/>
                <w:szCs w:val="20"/>
                <w:color w:val="auto"/>
              </w:rPr>
            </w:pPr>
            <w:r>
              <w:rPr>
                <w:rFonts w:ascii="Arial" w:cs="Arial" w:eastAsia="Arial" w:hAnsi="Arial"/>
                <w:sz w:val="16"/>
                <w:szCs w:val="16"/>
                <w:color w:val="auto"/>
              </w:rPr>
              <w:t>Date: June 11, 2021</w:t>
            </w:r>
          </w:p>
        </w:tc>
        <w:tc>
          <w:tcPr>
            <w:tcW w:w="7520" w:type="dxa"/>
            <w:vAlign w:val="bottom"/>
            <w:gridSpan w:val="3"/>
          </w:tcPr>
          <w:p>
            <w:pPr>
              <w:ind w:left="2460"/>
              <w:spacing w:after="0"/>
              <w:rPr>
                <w:sz w:val="20"/>
                <w:szCs w:val="20"/>
                <w:color w:val="auto"/>
              </w:rPr>
            </w:pPr>
            <w:r>
              <w:rPr>
                <w:rFonts w:ascii="Arial" w:cs="Arial" w:eastAsia="Arial" w:hAnsi="Arial"/>
                <w:sz w:val="16"/>
                <w:szCs w:val="16"/>
                <w:color w:val="auto"/>
              </w:rPr>
              <w:t>UNITI GROUP INC.</w:t>
            </w:r>
          </w:p>
        </w:tc>
      </w:tr>
      <w:tr>
        <w:trPr>
          <w:trHeight w:val="388"/>
        </w:trPr>
        <w:tc>
          <w:tcPr>
            <w:tcW w:w="3740" w:type="dxa"/>
            <w:vAlign w:val="bottom"/>
          </w:tcPr>
          <w:p>
            <w:pPr>
              <w:spacing w:after="0"/>
              <w:rPr>
                <w:sz w:val="24"/>
                <w:szCs w:val="24"/>
                <w:color w:val="auto"/>
              </w:rPr>
            </w:pPr>
          </w:p>
        </w:tc>
        <w:tc>
          <w:tcPr>
            <w:tcW w:w="7520" w:type="dxa"/>
            <w:vAlign w:val="bottom"/>
            <w:gridSpan w:val="3"/>
          </w:tcPr>
          <w:p>
            <w:pPr>
              <w:ind w:left="2460"/>
              <w:spacing w:after="0"/>
              <w:rPr>
                <w:sz w:val="20"/>
                <w:szCs w:val="20"/>
                <w:color w:val="auto"/>
              </w:rPr>
            </w:pPr>
            <w:r>
              <w:rPr>
                <w:rFonts w:ascii="Arial" w:cs="Arial" w:eastAsia="Arial" w:hAnsi="Arial"/>
                <w:sz w:val="16"/>
                <w:szCs w:val="16"/>
                <w:color w:val="auto"/>
              </w:rPr>
              <w:t>By:  /s/ Daniel L. Heard</w:t>
            </w:r>
          </w:p>
        </w:tc>
      </w:tr>
      <w:tr>
        <w:trPr>
          <w:trHeight w:val="174"/>
        </w:trPr>
        <w:tc>
          <w:tcPr>
            <w:tcW w:w="3740" w:type="dxa"/>
            <w:vAlign w:val="bottom"/>
          </w:tcPr>
          <w:p>
            <w:pPr>
              <w:spacing w:after="0"/>
              <w:rPr>
                <w:sz w:val="15"/>
                <w:szCs w:val="15"/>
                <w:color w:val="auto"/>
              </w:rPr>
            </w:pPr>
          </w:p>
        </w:tc>
        <w:tc>
          <w:tcPr>
            <w:tcW w:w="2800" w:type="dxa"/>
            <w:vAlign w:val="bottom"/>
          </w:tcPr>
          <w:p>
            <w:pPr>
              <w:spacing w:after="0"/>
              <w:rPr>
                <w:sz w:val="15"/>
                <w:szCs w:val="15"/>
                <w:color w:val="auto"/>
              </w:rPr>
            </w:pPr>
          </w:p>
        </w:tc>
        <w:tc>
          <w:tcPr>
            <w:tcW w:w="600" w:type="dxa"/>
            <w:vAlign w:val="bottom"/>
            <w:tcBorders>
              <w:top w:val="single" w:sz="8" w:color="auto"/>
            </w:tcBorders>
          </w:tcPr>
          <w:p>
            <w:pPr>
              <w:spacing w:after="0" w:line="174" w:lineRule="exact"/>
              <w:rPr>
                <w:sz w:val="20"/>
                <w:szCs w:val="20"/>
                <w:color w:val="auto"/>
              </w:rPr>
            </w:pPr>
            <w:r>
              <w:rPr>
                <w:rFonts w:ascii="Arial" w:cs="Arial" w:eastAsia="Arial" w:hAnsi="Arial"/>
                <w:sz w:val="16"/>
                <w:szCs w:val="16"/>
                <w:color w:val="auto"/>
              </w:rPr>
              <w:t>Name:</w:t>
            </w:r>
          </w:p>
        </w:tc>
        <w:tc>
          <w:tcPr>
            <w:tcW w:w="4120" w:type="dxa"/>
            <w:vAlign w:val="bottom"/>
            <w:tcBorders>
              <w:top w:val="single" w:sz="8" w:color="auto"/>
            </w:tcBorders>
          </w:tcPr>
          <w:p>
            <w:pPr>
              <w:ind w:left="160"/>
              <w:spacing w:after="0" w:line="174" w:lineRule="exact"/>
              <w:rPr>
                <w:sz w:val="20"/>
                <w:szCs w:val="20"/>
                <w:color w:val="auto"/>
              </w:rPr>
            </w:pPr>
            <w:r>
              <w:rPr>
                <w:rFonts w:ascii="Arial" w:cs="Arial" w:eastAsia="Arial" w:hAnsi="Arial"/>
                <w:sz w:val="16"/>
                <w:szCs w:val="16"/>
                <w:color w:val="auto"/>
              </w:rPr>
              <w:t>Daniel L. Heard</w:t>
            </w:r>
          </w:p>
        </w:tc>
      </w:tr>
      <w:tr>
        <w:trPr>
          <w:trHeight w:val="206"/>
        </w:trPr>
        <w:tc>
          <w:tcPr>
            <w:tcW w:w="374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00" w:type="dxa"/>
            <w:vAlign w:val="bottom"/>
          </w:tcPr>
          <w:p>
            <w:pPr>
              <w:spacing w:after="0"/>
              <w:rPr>
                <w:sz w:val="20"/>
                <w:szCs w:val="20"/>
                <w:color w:val="auto"/>
              </w:rPr>
            </w:pPr>
            <w:r>
              <w:rPr>
                <w:rFonts w:ascii="Arial" w:cs="Arial" w:eastAsia="Arial" w:hAnsi="Arial"/>
                <w:sz w:val="16"/>
                <w:szCs w:val="16"/>
                <w:color w:val="auto"/>
              </w:rPr>
              <w:t>Title:</w:t>
            </w:r>
          </w:p>
        </w:tc>
        <w:tc>
          <w:tcPr>
            <w:tcW w:w="4120" w:type="dxa"/>
            <w:vAlign w:val="bottom"/>
          </w:tcPr>
          <w:p>
            <w:pPr>
              <w:ind w:left="160"/>
              <w:spacing w:after="0"/>
              <w:rPr>
                <w:sz w:val="20"/>
                <w:szCs w:val="20"/>
                <w:color w:val="auto"/>
              </w:rPr>
            </w:pPr>
            <w:r>
              <w:rPr>
                <w:rFonts w:ascii="Arial" w:cs="Arial" w:eastAsia="Arial" w:hAnsi="Arial"/>
                <w:sz w:val="16"/>
                <w:szCs w:val="16"/>
                <w:color w:val="auto"/>
                <w:w w:val="94"/>
              </w:rPr>
              <w:t>Executive Vice President - General Counsel and Secretary</w:t>
            </w:r>
          </w:p>
        </w:tc>
      </w:tr>
      <w:tr>
        <w:trPr>
          <w:trHeight w:val="279"/>
        </w:trPr>
        <w:tc>
          <w:tcPr>
            <w:tcW w:w="3740" w:type="dxa"/>
            <w:vAlign w:val="bottom"/>
            <w:tcBorders>
              <w:bottom w:val="single" w:sz="8" w:color="auto"/>
            </w:tcBorders>
          </w:tcPr>
          <w:p>
            <w:pPr>
              <w:spacing w:after="0"/>
              <w:rPr>
                <w:sz w:val="24"/>
                <w:szCs w:val="24"/>
                <w:color w:val="auto"/>
              </w:rPr>
            </w:pPr>
          </w:p>
        </w:tc>
        <w:tc>
          <w:tcPr>
            <w:tcW w:w="280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4120" w:type="dxa"/>
            <w:vAlign w:val="bottom"/>
            <w:tcBorders>
              <w:bottom w:val="single" w:sz="8" w:color="auto"/>
            </w:tcBorders>
          </w:tcPr>
          <w:p>
            <w:pPr>
              <w:spacing w:after="0"/>
              <w:rPr>
                <w:sz w:val="24"/>
                <w:szCs w:val="24"/>
                <w:color w:val="auto"/>
              </w:rPr>
            </w:pPr>
          </w:p>
        </w:tc>
      </w:tr>
    </w:tbl>
    <w:p>
      <w:pPr>
        <w:sectPr>
          <w:pgSz w:w="11900" w:h="16838" w:orient="portrait"/>
          <w:cols w:equalWidth="0" w:num="1">
            <w:col w:w="11260"/>
          </w:cols>
          <w:pgMar w:left="320" w:top="535" w:right="319" w:bottom="1440" w:gutter="0" w:footer="0" w:header="0"/>
        </w:sectPr>
      </w:pPr>
    </w:p>
    <w:bookmarkStart w:id="3" w:name="page4"/>
    <w:bookmarkEnd w:id="3"/>
    <w:p>
      <w:pPr>
        <w:ind w:left="9300"/>
        <w:spacing w:after="0"/>
        <w:rPr>
          <w:sz w:val="20"/>
          <w:szCs w:val="20"/>
          <w:color w:val="auto"/>
        </w:rPr>
      </w:pPr>
      <w:r>
        <w:rPr>
          <w:rFonts w:ascii="Arial" w:cs="Arial" w:eastAsia="Arial" w:hAnsi="Arial"/>
          <w:sz w:val="15"/>
          <w:szCs w:val="15"/>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-712470</wp:posOffset>
            </wp:positionH>
            <wp:positionV relativeFrom="paragraph">
              <wp:posOffset>4636770</wp:posOffset>
            </wp:positionV>
            <wp:extent cx="7146290"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column">
              <wp:posOffset>-712470</wp:posOffset>
            </wp:positionH>
            <wp:positionV relativeFrom="paragraph">
              <wp:posOffset>147320</wp:posOffset>
            </wp:positionV>
            <wp:extent cx="7202805" cy="4065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0" w:num="1">
            <w:col w:w="10140"/>
          </w:cols>
          <w:pgMar w:left="1440" w:top="560" w:right="319" w:bottom="1440" w:gutter="0" w:footer="0" w:header="0"/>
        </w:sectPr>
      </w:pPr>
    </w:p>
    <w:bookmarkStart w:id="4" w:name="page5"/>
    <w:bookmarkEnd w:id="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596900</wp:posOffset>
            </wp:positionV>
            <wp:extent cx="7202805" cy="43738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5086350</wp:posOffset>
            </wp:positionV>
            <wp:extent cx="7146290" cy="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473710</wp:posOffset>
            </wp:positionV>
            <wp:extent cx="7202805" cy="4065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473710</wp:posOffset>
            </wp:positionV>
            <wp:extent cx="7202805" cy="43738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4963160</wp:posOffset>
            </wp:positionV>
            <wp:extent cx="7146290" cy="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065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4839970</wp:posOffset>
            </wp:positionV>
            <wp:extent cx="7146290" cy="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065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4839970</wp:posOffset>
            </wp:positionV>
            <wp:extent cx="7146290" cy="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065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4839970</wp:posOffset>
            </wp:positionV>
            <wp:extent cx="7146290" cy="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065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4839970</wp:posOffset>
            </wp:positionV>
            <wp:extent cx="7146290" cy="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065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4839970</wp:posOffset>
            </wp:positionV>
            <wp:extent cx="7146290" cy="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46290" cy="7620"/>
                    </a:xfrm>
                    <a:prstGeom prst="rect">
                      <a:avLst/>
                    </a:prstGeom>
                    <a:noFill/>
                  </pic:spPr>
                </pic:pic>
              </a:graphicData>
            </a:graphic>
          </wp:anchor>
        </w:drawing>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065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202805" cy="40659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473710</wp:posOffset>
            </wp:positionV>
            <wp:extent cx="7202805" cy="43738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201295</wp:posOffset>
            </wp:positionH>
            <wp:positionV relativeFrom="page">
              <wp:posOffset>350520</wp:posOffset>
            </wp:positionV>
            <wp:extent cx="7202805" cy="43738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02805" cy="437388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43C9869"/>
    <w:multiLevelType w:val="hybridMultilevel"/>
    <w:lvl w:ilvl="0">
      <w:lvlJc w:val="left"/>
      <w:lvlText w:val="☐"/>
      <w:numFmt w:val="bullet"/>
      <w:start w:val="1"/>
    </w:lvl>
  </w:abstractNum>
  <w:abstractNum w:abstractNumId="1">
    <w:nsid w:val="66334873"/>
    <w:multiLevelType w:val="hybridMultilevel"/>
    <w:lvl w:ilvl="0">
      <w:lvlJc w:val="left"/>
      <w:lvlText w:val="(%1)"/>
      <w:numFmt w:val="lowerLetter"/>
      <w:start w:val="4"/>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2021-06-11T15:18:49Z</dcterms:created>
  <dcterms:modified xsi:type="dcterms:W3CDTF">2021-06-11T15:18:49Z</dcterms:modified>
</cp:coreProperties>
</file>