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20955</wp:posOffset>
            </wp:positionV>
            <wp:extent cx="7292340" cy="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92340" cy="571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32385</wp:posOffset>
            </wp:positionV>
            <wp:extent cx="7292340" cy="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92340" cy="5715"/>
                    </a:xfrm>
                    <a:prstGeom prst="rect">
                      <a:avLst/>
                    </a:prstGeom>
                    <a:noFill/>
                  </pic:spPr>
                </pic:pic>
              </a:graphicData>
            </a:graphic>
          </wp:anchor>
        </w:drawing>
      </w:r>
    </w:p>
    <w:p>
      <w:pPr>
        <w:spacing w:after="0" w:line="54" w:lineRule="exact"/>
        <w:rPr>
          <w:sz w:val="24"/>
          <w:szCs w:val="24"/>
          <w:color w:val="auto"/>
        </w:rPr>
      </w:pPr>
    </w:p>
    <w:p>
      <w:pPr>
        <w:jc w:val="center"/>
        <w:ind w:right="-7"/>
        <w:spacing w:after="0"/>
        <w:rPr>
          <w:sz w:val="20"/>
          <w:szCs w:val="20"/>
          <w:color w:val="auto"/>
        </w:rPr>
      </w:pPr>
      <w:r>
        <w:rPr>
          <w:rFonts w:ascii="Arial" w:cs="Arial" w:eastAsia="Arial" w:hAnsi="Arial"/>
          <w:sz w:val="19"/>
          <w:szCs w:val="19"/>
          <w:b w:val="1"/>
          <w:bCs w:val="1"/>
          <w:color w:val="auto"/>
        </w:rPr>
        <w:t>UNITED STATES</w:t>
      </w:r>
    </w:p>
    <w:p>
      <w:pPr>
        <w:spacing w:after="0" w:line="29" w:lineRule="exact"/>
        <w:rPr>
          <w:sz w:val="24"/>
          <w:szCs w:val="24"/>
          <w:color w:val="auto"/>
        </w:rPr>
      </w:pPr>
    </w:p>
    <w:p>
      <w:pPr>
        <w:jc w:val="center"/>
        <w:ind w:right="-7"/>
        <w:spacing w:after="0"/>
        <w:rPr>
          <w:sz w:val="20"/>
          <w:szCs w:val="20"/>
          <w:color w:val="auto"/>
        </w:rPr>
      </w:pPr>
      <w:r>
        <w:rPr>
          <w:rFonts w:ascii="Arial" w:cs="Arial" w:eastAsia="Arial" w:hAnsi="Arial"/>
          <w:sz w:val="19"/>
          <w:szCs w:val="19"/>
          <w:b w:val="1"/>
          <w:bCs w:val="1"/>
          <w:color w:val="auto"/>
        </w:rPr>
        <w:t>SECURITIES AND EXCHANGE COMMISSION</w:t>
      </w:r>
    </w:p>
    <w:p>
      <w:pPr>
        <w:spacing w:after="0" w:line="8" w:lineRule="exact"/>
        <w:rPr>
          <w:sz w:val="24"/>
          <w:szCs w:val="24"/>
          <w:color w:val="auto"/>
        </w:rPr>
      </w:pPr>
    </w:p>
    <w:p>
      <w:pPr>
        <w:jc w:val="center"/>
        <w:ind w:right="-7"/>
        <w:spacing w:after="0"/>
        <w:rPr>
          <w:sz w:val="20"/>
          <w:szCs w:val="20"/>
          <w:color w:val="auto"/>
        </w:rPr>
      </w:pPr>
      <w:r>
        <w:rPr>
          <w:rFonts w:ascii="Arial" w:cs="Arial" w:eastAsia="Arial" w:hAnsi="Arial"/>
          <w:sz w:val="12"/>
          <w:szCs w:val="1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2802255</wp:posOffset>
            </wp:positionH>
            <wp:positionV relativeFrom="paragraph">
              <wp:posOffset>43180</wp:posOffset>
            </wp:positionV>
            <wp:extent cx="1687195" cy="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87195" cy="5715"/>
                    </a:xfrm>
                    <a:prstGeom prst="rect">
                      <a:avLst/>
                    </a:prstGeom>
                    <a:noFill/>
                  </pic:spPr>
                </pic:pic>
              </a:graphicData>
            </a:graphic>
          </wp:anchor>
        </w:drawing>
      </w:r>
    </w:p>
    <w:p>
      <w:pPr>
        <w:spacing w:after="0" w:line="71" w:lineRule="exact"/>
        <w:rPr>
          <w:sz w:val="24"/>
          <w:szCs w:val="24"/>
          <w:color w:val="auto"/>
        </w:rPr>
      </w:pPr>
    </w:p>
    <w:p>
      <w:pPr>
        <w:jc w:val="center"/>
        <w:ind w:right="-7"/>
        <w:spacing w:after="0"/>
        <w:rPr>
          <w:sz w:val="20"/>
          <w:szCs w:val="20"/>
          <w:color w:val="auto"/>
        </w:rPr>
      </w:pPr>
      <w:r>
        <w:rPr>
          <w:rFonts w:ascii="Arial" w:cs="Arial" w:eastAsia="Arial" w:hAnsi="Arial"/>
          <w:sz w:val="19"/>
          <w:szCs w:val="19"/>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2802255</wp:posOffset>
            </wp:positionH>
            <wp:positionV relativeFrom="paragraph">
              <wp:posOffset>52705</wp:posOffset>
            </wp:positionV>
            <wp:extent cx="1687195" cy="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87195" cy="5715"/>
                    </a:xfrm>
                    <a:prstGeom prst="rect">
                      <a:avLst/>
                    </a:prstGeom>
                    <a:noFill/>
                  </pic:spPr>
                </pic:pic>
              </a:graphicData>
            </a:graphic>
          </wp:anchor>
        </w:drawing>
      </w:r>
    </w:p>
    <w:p>
      <w:pPr>
        <w:spacing w:after="0" w:line="80" w:lineRule="exact"/>
        <w:rPr>
          <w:sz w:val="24"/>
          <w:szCs w:val="24"/>
          <w:color w:val="auto"/>
        </w:rPr>
      </w:pPr>
    </w:p>
    <w:p>
      <w:pPr>
        <w:ind w:left="8"/>
        <w:spacing w:after="0"/>
        <w:rPr>
          <w:sz w:val="20"/>
          <w:szCs w:val="20"/>
          <w:color w:val="auto"/>
        </w:rPr>
      </w:pPr>
      <w:r>
        <w:rPr>
          <w:rFonts w:ascii="Arial" w:cs="Arial" w:eastAsia="Arial" w:hAnsi="Arial"/>
          <w:sz w:val="10"/>
          <w:szCs w:val="10"/>
          <w:b w:val="1"/>
          <w:bCs w:val="1"/>
          <w:color w:val="auto"/>
        </w:rPr>
        <w:t>(Mark One)</w:t>
      </w:r>
    </w:p>
    <w:p>
      <w:pPr>
        <w:ind w:left="588" w:hanging="588"/>
        <w:spacing w:after="0"/>
        <w:tabs>
          <w:tab w:leader="none" w:pos="588" w:val="left"/>
        </w:tabs>
        <w:numPr>
          <w:ilvl w:val="0"/>
          <w:numId w:val="1"/>
        </w:numPr>
        <w:rPr>
          <w:rFonts w:ascii="MS PGothic" w:cs="MS PGothic" w:eastAsia="MS PGothic" w:hAnsi="MS PGothic"/>
          <w:sz w:val="12"/>
          <w:szCs w:val="12"/>
          <w:color w:val="auto"/>
        </w:rPr>
      </w:pPr>
      <w:r>
        <w:rPr>
          <w:rFonts w:ascii="Arial" w:cs="Arial" w:eastAsia="Arial" w:hAnsi="Arial"/>
          <w:sz w:val="12"/>
          <w:szCs w:val="12"/>
          <w:b w:val="1"/>
          <w:bCs w:val="1"/>
          <w:color w:val="auto"/>
        </w:rPr>
        <w:t>ANNUAL REPORT PURSUANT TO SECTION 13 OR 15(d) OF THE SECURITIES EXCHANGE ACT OF 1934</w:t>
      </w:r>
    </w:p>
    <w:p>
      <w:pPr>
        <w:spacing w:after="0" w:line="26" w:lineRule="exact"/>
        <w:rPr>
          <w:sz w:val="24"/>
          <w:szCs w:val="24"/>
          <w:color w:val="auto"/>
        </w:rPr>
      </w:pPr>
    </w:p>
    <w:p>
      <w:pPr>
        <w:jc w:val="center"/>
        <w:ind w:right="-7"/>
        <w:spacing w:after="0"/>
        <w:rPr>
          <w:sz w:val="20"/>
          <w:szCs w:val="20"/>
          <w:color w:val="auto"/>
        </w:rPr>
      </w:pPr>
      <w:r>
        <w:rPr>
          <w:rFonts w:ascii="Arial" w:cs="Arial" w:eastAsia="Arial" w:hAnsi="Arial"/>
          <w:sz w:val="10"/>
          <w:szCs w:val="10"/>
          <w:b w:val="1"/>
          <w:bCs w:val="1"/>
          <w:color w:val="auto"/>
        </w:rPr>
        <w:t>For the fiscal year ended December 31, 2018</w:t>
      </w:r>
    </w:p>
    <w:p>
      <w:pPr>
        <w:spacing w:after="0" w:line="16" w:lineRule="exact"/>
        <w:rPr>
          <w:sz w:val="24"/>
          <w:szCs w:val="24"/>
          <w:color w:val="auto"/>
        </w:rPr>
      </w:pPr>
    </w:p>
    <w:p>
      <w:pPr>
        <w:jc w:val="center"/>
        <w:ind w:right="-7"/>
        <w:spacing w:after="0"/>
        <w:rPr>
          <w:sz w:val="20"/>
          <w:szCs w:val="20"/>
          <w:color w:val="auto"/>
        </w:rPr>
      </w:pPr>
      <w:r>
        <w:rPr>
          <w:rFonts w:ascii="Arial" w:cs="Arial" w:eastAsia="Arial" w:hAnsi="Arial"/>
          <w:sz w:val="10"/>
          <w:szCs w:val="10"/>
          <w:b w:val="1"/>
          <w:bCs w:val="1"/>
          <w:color w:val="auto"/>
        </w:rPr>
        <w:t>OR</w:t>
      </w:r>
    </w:p>
    <w:p>
      <w:pPr>
        <w:spacing w:after="0" w:line="13" w:lineRule="exact"/>
        <w:rPr>
          <w:sz w:val="24"/>
          <w:szCs w:val="24"/>
          <w:color w:val="auto"/>
        </w:rPr>
      </w:pPr>
    </w:p>
    <w:p>
      <w:pPr>
        <w:ind w:left="588" w:hanging="588"/>
        <w:spacing w:after="0"/>
        <w:tabs>
          <w:tab w:leader="none" w:pos="588" w:val="left"/>
        </w:tabs>
        <w:numPr>
          <w:ilvl w:val="0"/>
          <w:numId w:val="2"/>
        </w:numPr>
        <w:rPr>
          <w:rFonts w:ascii="MS PGothic" w:cs="MS PGothic" w:eastAsia="MS PGothic" w:hAnsi="MS PGothic"/>
          <w:sz w:val="12"/>
          <w:szCs w:val="12"/>
          <w:color w:val="auto"/>
        </w:rPr>
      </w:pPr>
      <w:r>
        <w:rPr>
          <w:rFonts w:ascii="Arial" w:cs="Arial" w:eastAsia="Arial" w:hAnsi="Arial"/>
          <w:sz w:val="12"/>
          <w:szCs w:val="12"/>
          <w:b w:val="1"/>
          <w:bCs w:val="1"/>
          <w:color w:val="auto"/>
        </w:rPr>
        <w:t xml:space="preserve">TRANSITION REPORT PURSUANT TO SECTION 13 OR 15(d) OF THE SECURITIES EXCHANGE ACT OF 1934 </w:t>
      </w:r>
      <w:r>
        <w:rPr>
          <w:rFonts w:ascii="Arial" w:cs="Arial" w:eastAsia="Arial" w:hAnsi="Arial"/>
          <w:sz w:val="10"/>
          <w:szCs w:val="10"/>
          <w:b w:val="1"/>
          <w:bCs w:val="1"/>
          <w:color w:val="auto"/>
        </w:rPr>
        <w:t>For the transition period from _____ to _____</w:t>
      </w:r>
    </w:p>
    <w:p>
      <w:pPr>
        <w:spacing w:after="0" w:line="35" w:lineRule="exact"/>
        <w:rPr>
          <w:rFonts w:ascii="MS PGothic" w:cs="MS PGothic" w:eastAsia="MS PGothic" w:hAnsi="MS PGothic"/>
          <w:sz w:val="12"/>
          <w:szCs w:val="12"/>
          <w:color w:val="auto"/>
        </w:rPr>
      </w:pPr>
    </w:p>
    <w:p>
      <w:pPr>
        <w:ind w:left="4948"/>
        <w:spacing w:after="0"/>
        <w:rPr>
          <w:rFonts w:ascii="MS PGothic" w:cs="MS PGothic" w:eastAsia="MS PGothic" w:hAnsi="MS PGothic"/>
          <w:sz w:val="12"/>
          <w:szCs w:val="12"/>
          <w:color w:val="auto"/>
        </w:rPr>
      </w:pPr>
      <w:r>
        <w:rPr>
          <w:rFonts w:ascii="Arial" w:cs="Arial" w:eastAsia="Arial" w:hAnsi="Arial"/>
          <w:sz w:val="10"/>
          <w:szCs w:val="10"/>
          <w:b w:val="1"/>
          <w:bCs w:val="1"/>
          <w:color w:val="auto"/>
        </w:rPr>
        <w:t>Commission File Number 001-36708</w:t>
      </w:r>
    </w:p>
    <w:p>
      <w:pPr>
        <w:spacing w:after="0" w:line="47" w:lineRule="exact"/>
        <w:rPr>
          <w:sz w:val="24"/>
          <w:szCs w:val="24"/>
          <w:color w:val="auto"/>
        </w:rPr>
      </w:pPr>
    </w:p>
    <w:tbl>
      <w:tblPr>
        <w:tblLayout w:type="fixed"/>
        <w:tblInd w:w="8" w:type="dxa"/>
        <w:tblCellMar>
          <w:top w:w="0" w:type="dxa"/>
          <w:left w:w="0" w:type="dxa"/>
          <w:bottom w:w="0" w:type="dxa"/>
          <w:right w:w="0" w:type="dxa"/>
        </w:tblCellMar>
      </w:tblPr>
      <w:tr>
        <w:trPr>
          <w:trHeight w:val="259"/>
        </w:trPr>
        <w:tc>
          <w:tcPr>
            <w:tcW w:w="24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500" w:type="dxa"/>
            <w:vAlign w:val="bottom"/>
            <w:tcBorders>
              <w:top w:val="single" w:sz="8" w:color="auto"/>
            </w:tcBorders>
          </w:tcPr>
          <w:p>
            <w:pPr>
              <w:spacing w:after="0"/>
              <w:rPr>
                <w:sz w:val="22"/>
                <w:szCs w:val="22"/>
                <w:color w:val="auto"/>
              </w:rPr>
            </w:pPr>
          </w:p>
        </w:tc>
        <w:tc>
          <w:tcPr>
            <w:tcW w:w="2160" w:type="dxa"/>
            <w:vAlign w:val="bottom"/>
            <w:tcBorders>
              <w:top w:val="single" w:sz="8" w:color="auto"/>
            </w:tcBorders>
            <w:gridSpan w:val="3"/>
          </w:tcPr>
          <w:p>
            <w:pPr>
              <w:jc w:val="center"/>
              <w:ind w:right="450"/>
              <w:spacing w:after="0"/>
              <w:rPr>
                <w:sz w:val="20"/>
                <w:szCs w:val="20"/>
                <w:color w:val="auto"/>
              </w:rPr>
            </w:pPr>
            <w:r>
              <w:rPr>
                <w:rFonts w:ascii="Arial" w:cs="Arial" w:eastAsia="Arial" w:hAnsi="Arial"/>
                <w:sz w:val="22"/>
                <w:szCs w:val="22"/>
                <w:b w:val="1"/>
                <w:bCs w:val="1"/>
                <w:color w:val="auto"/>
                <w:w w:val="93"/>
              </w:rPr>
              <w:t>Uniti Group Inc.</w:t>
            </w:r>
          </w:p>
        </w:tc>
        <w:tc>
          <w:tcPr>
            <w:tcW w:w="2220" w:type="dxa"/>
            <w:vAlign w:val="bottom"/>
            <w:gridSpan w:val="3"/>
          </w:tcPr>
          <w:p>
            <w:pPr>
              <w:spacing w:after="0"/>
              <w:rPr>
                <w:sz w:val="22"/>
                <w:szCs w:val="22"/>
                <w:color w:val="auto"/>
              </w:rPr>
            </w:pPr>
          </w:p>
        </w:tc>
        <w:tc>
          <w:tcPr>
            <w:tcW w:w="0" w:type="dxa"/>
            <w:vAlign w:val="bottom"/>
          </w:tcPr>
          <w:p>
            <w:pPr>
              <w:spacing w:after="0"/>
              <w:rPr>
                <w:sz w:val="1"/>
                <w:szCs w:val="1"/>
                <w:color w:val="auto"/>
              </w:rPr>
            </w:pPr>
          </w:p>
        </w:tc>
      </w:tr>
      <w:tr>
        <w:trPr>
          <w:trHeight w:val="131"/>
        </w:trPr>
        <w:tc>
          <w:tcPr>
            <w:tcW w:w="2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4880" w:type="dxa"/>
            <w:vAlign w:val="bottom"/>
            <w:gridSpan w:val="7"/>
          </w:tcPr>
          <w:p>
            <w:pPr>
              <w:jc w:val="center"/>
              <w:ind w:right="2149"/>
              <w:spacing w:after="0"/>
              <w:rPr>
                <w:sz w:val="20"/>
                <w:szCs w:val="20"/>
                <w:color w:val="auto"/>
              </w:rPr>
            </w:pPr>
            <w:r>
              <w:rPr>
                <w:rFonts w:ascii="Arial" w:cs="Arial" w:eastAsia="Arial" w:hAnsi="Arial"/>
                <w:sz w:val="10"/>
                <w:szCs w:val="10"/>
                <w:b w:val="1"/>
                <w:bCs w:val="1"/>
                <w:color w:val="auto"/>
                <w:w w:val="92"/>
              </w:rPr>
              <w:t>(Exact name of Registrant as specified in its Charter)</w:t>
            </w:r>
          </w:p>
        </w:tc>
        <w:tc>
          <w:tcPr>
            <w:tcW w:w="0" w:type="dxa"/>
            <w:vAlign w:val="bottom"/>
          </w:tcPr>
          <w:p>
            <w:pPr>
              <w:spacing w:after="0"/>
              <w:rPr>
                <w:sz w:val="1"/>
                <w:szCs w:val="1"/>
                <w:color w:val="auto"/>
              </w:rPr>
            </w:pPr>
          </w:p>
        </w:tc>
      </w:tr>
      <w:tr>
        <w:trPr>
          <w:trHeight w:val="51"/>
        </w:trPr>
        <w:tc>
          <w:tcPr>
            <w:tcW w:w="24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0"/>
        </w:trPr>
        <w:tc>
          <w:tcPr>
            <w:tcW w:w="2440" w:type="dxa"/>
            <w:vAlign w:val="bottom"/>
          </w:tcPr>
          <w:p>
            <w:pPr>
              <w:spacing w:after="0"/>
              <w:rPr>
                <w:sz w:val="9"/>
                <w:szCs w:val="9"/>
                <w:color w:val="auto"/>
              </w:rPr>
            </w:pPr>
          </w:p>
        </w:tc>
        <w:tc>
          <w:tcPr>
            <w:tcW w:w="2460" w:type="dxa"/>
            <w:vAlign w:val="bottom"/>
            <w:gridSpan w:val="3"/>
          </w:tcPr>
          <w:p>
            <w:pPr>
              <w:jc w:val="center"/>
              <w:ind w:right="1569"/>
              <w:spacing w:after="0" w:line="110" w:lineRule="exact"/>
              <w:rPr>
                <w:sz w:val="20"/>
                <w:szCs w:val="20"/>
                <w:color w:val="auto"/>
              </w:rPr>
            </w:pPr>
            <w:r>
              <w:rPr>
                <w:rFonts w:ascii="Arial" w:cs="Arial" w:eastAsia="Arial" w:hAnsi="Arial"/>
                <w:sz w:val="10"/>
                <w:szCs w:val="10"/>
                <w:b w:val="1"/>
                <w:bCs w:val="1"/>
                <w:color w:val="auto"/>
              </w:rPr>
              <w:t>Maryland</w:t>
            </w: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3640" w:type="dxa"/>
            <w:vAlign w:val="bottom"/>
            <w:gridSpan w:val="3"/>
          </w:tcPr>
          <w:p>
            <w:pPr>
              <w:jc w:val="right"/>
              <w:ind w:right="12"/>
              <w:spacing w:after="0" w:line="110" w:lineRule="exact"/>
              <w:rPr>
                <w:sz w:val="20"/>
                <w:szCs w:val="20"/>
                <w:color w:val="auto"/>
              </w:rPr>
            </w:pPr>
            <w:r>
              <w:rPr>
                <w:rFonts w:ascii="Arial" w:cs="Arial" w:eastAsia="Arial" w:hAnsi="Arial"/>
                <w:sz w:val="10"/>
                <w:szCs w:val="10"/>
                <w:b w:val="1"/>
                <w:bCs w:val="1"/>
                <w:color w:val="auto"/>
              </w:rPr>
              <w:t>46-5230630</w:t>
            </w:r>
          </w:p>
        </w:tc>
        <w:tc>
          <w:tcPr>
            <w:tcW w:w="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9"/>
        </w:trPr>
        <w:tc>
          <w:tcPr>
            <w:tcW w:w="4900" w:type="dxa"/>
            <w:vAlign w:val="bottom"/>
            <w:gridSpan w:val="4"/>
          </w:tcPr>
          <w:p>
            <w:pPr>
              <w:jc w:val="center"/>
              <w:ind w:left="790"/>
              <w:spacing w:after="0" w:line="99" w:lineRule="exact"/>
              <w:rPr>
                <w:sz w:val="20"/>
                <w:szCs w:val="20"/>
                <w:color w:val="auto"/>
              </w:rPr>
            </w:pPr>
            <w:r>
              <w:rPr>
                <w:rFonts w:ascii="Arial" w:cs="Arial" w:eastAsia="Arial" w:hAnsi="Arial"/>
                <w:sz w:val="10"/>
                <w:szCs w:val="10"/>
                <w:b w:val="1"/>
                <w:bCs w:val="1"/>
                <w:color w:val="auto"/>
                <w:w w:val="87"/>
              </w:rPr>
              <w:t>( State or other jurisdiction of</w:t>
            </w:r>
          </w:p>
        </w:tc>
        <w:tc>
          <w:tcPr>
            <w:tcW w:w="2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gridSpan w:val="2"/>
          </w:tcPr>
          <w:p>
            <w:pPr>
              <w:jc w:val="center"/>
              <w:ind w:right="169"/>
              <w:spacing w:after="0" w:line="99" w:lineRule="exact"/>
              <w:rPr>
                <w:sz w:val="20"/>
                <w:szCs w:val="20"/>
                <w:color w:val="auto"/>
              </w:rPr>
            </w:pPr>
            <w:r>
              <w:rPr>
                <w:rFonts w:ascii="Arial" w:cs="Arial" w:eastAsia="Arial" w:hAnsi="Arial"/>
                <w:sz w:val="10"/>
                <w:szCs w:val="10"/>
                <w:b w:val="1"/>
                <w:bCs w:val="1"/>
                <w:color w:val="auto"/>
                <w:w w:val="91"/>
              </w:rPr>
              <w:t>(I.R.S. Employer</w:t>
            </w:r>
          </w:p>
        </w:tc>
        <w:tc>
          <w:tcPr>
            <w:tcW w:w="0" w:type="dxa"/>
            <w:vAlign w:val="bottom"/>
          </w:tcPr>
          <w:p>
            <w:pPr>
              <w:spacing w:after="0"/>
              <w:rPr>
                <w:sz w:val="1"/>
                <w:szCs w:val="1"/>
                <w:color w:val="auto"/>
              </w:rPr>
            </w:pPr>
          </w:p>
        </w:tc>
      </w:tr>
      <w:tr>
        <w:trPr>
          <w:trHeight w:val="103"/>
        </w:trPr>
        <w:tc>
          <w:tcPr>
            <w:tcW w:w="4900" w:type="dxa"/>
            <w:vAlign w:val="bottom"/>
            <w:gridSpan w:val="4"/>
          </w:tcPr>
          <w:p>
            <w:pPr>
              <w:jc w:val="center"/>
              <w:ind w:left="790"/>
              <w:spacing w:after="0" w:line="103" w:lineRule="exact"/>
              <w:rPr>
                <w:sz w:val="20"/>
                <w:szCs w:val="20"/>
                <w:color w:val="auto"/>
              </w:rPr>
            </w:pPr>
            <w:r>
              <w:rPr>
                <w:rFonts w:ascii="Arial" w:cs="Arial" w:eastAsia="Arial" w:hAnsi="Arial"/>
                <w:sz w:val="10"/>
                <w:szCs w:val="10"/>
                <w:b w:val="1"/>
                <w:bCs w:val="1"/>
                <w:color w:val="auto"/>
                <w:w w:val="88"/>
              </w:rPr>
              <w:t>incorporation or organization)</w:t>
            </w:r>
          </w:p>
        </w:tc>
        <w:tc>
          <w:tcPr>
            <w:tcW w:w="2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gridSpan w:val="2"/>
          </w:tcPr>
          <w:p>
            <w:pPr>
              <w:jc w:val="center"/>
              <w:ind w:right="169"/>
              <w:spacing w:after="0" w:line="103" w:lineRule="exact"/>
              <w:rPr>
                <w:sz w:val="20"/>
                <w:szCs w:val="20"/>
                <w:color w:val="auto"/>
              </w:rPr>
            </w:pPr>
            <w:r>
              <w:rPr>
                <w:rFonts w:ascii="Arial" w:cs="Arial" w:eastAsia="Arial" w:hAnsi="Arial"/>
                <w:sz w:val="10"/>
                <w:szCs w:val="10"/>
                <w:b w:val="1"/>
                <w:bCs w:val="1"/>
                <w:color w:val="auto"/>
                <w:w w:val="87"/>
              </w:rPr>
              <w:t>Identification No.)</w:t>
            </w:r>
          </w:p>
        </w:tc>
        <w:tc>
          <w:tcPr>
            <w:tcW w:w="0" w:type="dxa"/>
            <w:vAlign w:val="bottom"/>
          </w:tcPr>
          <w:p>
            <w:pPr>
              <w:spacing w:after="0"/>
              <w:rPr>
                <w:sz w:val="1"/>
                <w:szCs w:val="1"/>
                <w:color w:val="auto"/>
              </w:rPr>
            </w:pPr>
          </w:p>
        </w:tc>
      </w:tr>
      <w:tr>
        <w:trPr>
          <w:trHeight w:val="108"/>
        </w:trPr>
        <w:tc>
          <w:tcPr>
            <w:tcW w:w="4900" w:type="dxa"/>
            <w:vAlign w:val="bottom"/>
            <w:gridSpan w:val="4"/>
          </w:tcPr>
          <w:p>
            <w:pPr>
              <w:jc w:val="center"/>
              <w:ind w:left="790"/>
              <w:spacing w:after="0" w:line="108" w:lineRule="exact"/>
              <w:rPr>
                <w:sz w:val="20"/>
                <w:szCs w:val="20"/>
                <w:color w:val="auto"/>
              </w:rPr>
            </w:pPr>
            <w:r>
              <w:rPr>
                <w:rFonts w:ascii="Arial" w:cs="Arial" w:eastAsia="Arial" w:hAnsi="Arial"/>
                <w:sz w:val="10"/>
                <w:szCs w:val="10"/>
                <w:b w:val="1"/>
                <w:bCs w:val="1"/>
                <w:color w:val="auto"/>
                <w:w w:val="93"/>
              </w:rPr>
              <w:t>10802 Executive Center Drive</w:t>
            </w: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4900" w:type="dxa"/>
            <w:vAlign w:val="bottom"/>
            <w:gridSpan w:val="4"/>
          </w:tcPr>
          <w:p>
            <w:pPr>
              <w:jc w:val="center"/>
              <w:ind w:left="790"/>
              <w:spacing w:after="0" w:line="108" w:lineRule="exact"/>
              <w:rPr>
                <w:sz w:val="20"/>
                <w:szCs w:val="20"/>
                <w:color w:val="auto"/>
              </w:rPr>
            </w:pPr>
            <w:r>
              <w:rPr>
                <w:rFonts w:ascii="Arial" w:cs="Arial" w:eastAsia="Arial" w:hAnsi="Arial"/>
                <w:sz w:val="10"/>
                <w:szCs w:val="10"/>
                <w:b w:val="1"/>
                <w:bCs w:val="1"/>
                <w:color w:val="auto"/>
                <w:w w:val="91"/>
              </w:rPr>
              <w:t>Benton Building Suite 300</w:t>
            </w: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4"/>
        </w:trPr>
        <w:tc>
          <w:tcPr>
            <w:tcW w:w="4900" w:type="dxa"/>
            <w:vAlign w:val="bottom"/>
            <w:gridSpan w:val="4"/>
          </w:tcPr>
          <w:p>
            <w:pPr>
              <w:jc w:val="center"/>
              <w:ind w:left="770"/>
              <w:spacing w:after="0" w:line="104" w:lineRule="exact"/>
              <w:rPr>
                <w:sz w:val="20"/>
                <w:szCs w:val="20"/>
                <w:color w:val="auto"/>
              </w:rPr>
            </w:pPr>
            <w:r>
              <w:rPr>
                <w:rFonts w:ascii="Arial" w:cs="Arial" w:eastAsia="Arial" w:hAnsi="Arial"/>
                <w:sz w:val="10"/>
                <w:szCs w:val="10"/>
                <w:b w:val="1"/>
                <w:bCs w:val="1"/>
                <w:color w:val="auto"/>
                <w:w w:val="94"/>
              </w:rPr>
              <w:t>Little Rock, Arkansas</w:t>
            </w: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3640" w:type="dxa"/>
            <w:vAlign w:val="bottom"/>
            <w:gridSpan w:val="3"/>
          </w:tcPr>
          <w:p>
            <w:pPr>
              <w:jc w:val="right"/>
              <w:ind w:right="132"/>
              <w:spacing w:after="0" w:line="104" w:lineRule="exact"/>
              <w:rPr>
                <w:sz w:val="20"/>
                <w:szCs w:val="20"/>
                <w:color w:val="auto"/>
              </w:rPr>
            </w:pPr>
            <w:r>
              <w:rPr>
                <w:rFonts w:ascii="Arial" w:cs="Arial" w:eastAsia="Arial" w:hAnsi="Arial"/>
                <w:sz w:val="10"/>
                <w:szCs w:val="10"/>
                <w:b w:val="1"/>
                <w:bCs w:val="1"/>
                <w:color w:val="auto"/>
              </w:rPr>
              <w:t>72211</w:t>
            </w:r>
          </w:p>
        </w:tc>
        <w:tc>
          <w:tcPr>
            <w:tcW w:w="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4900" w:type="dxa"/>
            <w:vAlign w:val="bottom"/>
            <w:gridSpan w:val="4"/>
          </w:tcPr>
          <w:p>
            <w:pPr>
              <w:jc w:val="center"/>
              <w:ind w:left="790"/>
              <w:spacing w:after="0"/>
              <w:rPr>
                <w:sz w:val="20"/>
                <w:szCs w:val="20"/>
                <w:color w:val="auto"/>
              </w:rPr>
            </w:pPr>
            <w:r>
              <w:rPr>
                <w:rFonts w:ascii="Arial" w:cs="Arial" w:eastAsia="Arial" w:hAnsi="Arial"/>
                <w:sz w:val="10"/>
                <w:szCs w:val="10"/>
                <w:b w:val="1"/>
                <w:bCs w:val="1"/>
                <w:color w:val="auto"/>
                <w:w w:val="84"/>
              </w:rPr>
              <w:t>(Address of principal executive offices)</w:t>
            </w:r>
          </w:p>
        </w:tc>
        <w:tc>
          <w:tcPr>
            <w:tcW w:w="2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120" w:type="dxa"/>
            <w:vAlign w:val="bottom"/>
            <w:gridSpan w:val="2"/>
          </w:tcPr>
          <w:p>
            <w:pPr>
              <w:jc w:val="center"/>
              <w:ind w:right="189"/>
              <w:spacing w:after="0"/>
              <w:rPr>
                <w:sz w:val="20"/>
                <w:szCs w:val="20"/>
                <w:color w:val="auto"/>
              </w:rPr>
            </w:pPr>
            <w:r>
              <w:rPr>
                <w:rFonts w:ascii="Arial" w:cs="Arial" w:eastAsia="Arial" w:hAnsi="Arial"/>
                <w:sz w:val="10"/>
                <w:szCs w:val="10"/>
                <w:b w:val="1"/>
                <w:bCs w:val="1"/>
                <w:color w:val="auto"/>
                <w:w w:val="88"/>
              </w:rPr>
              <w:t>(Zip Code)</w:t>
            </w:r>
          </w:p>
        </w:tc>
        <w:tc>
          <w:tcPr>
            <w:tcW w:w="0" w:type="dxa"/>
            <w:vAlign w:val="bottom"/>
          </w:tcPr>
          <w:p>
            <w:pPr>
              <w:spacing w:after="0"/>
              <w:rPr>
                <w:sz w:val="1"/>
                <w:szCs w:val="1"/>
                <w:color w:val="auto"/>
              </w:rPr>
            </w:pPr>
          </w:p>
        </w:tc>
      </w:tr>
      <w:tr>
        <w:trPr>
          <w:trHeight w:val="137"/>
        </w:trPr>
        <w:tc>
          <w:tcPr>
            <w:tcW w:w="2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140" w:type="dxa"/>
            <w:vAlign w:val="bottom"/>
            <w:gridSpan w:val="8"/>
          </w:tcPr>
          <w:p>
            <w:pPr>
              <w:jc w:val="center"/>
              <w:ind w:right="909"/>
              <w:spacing w:after="0"/>
              <w:rPr>
                <w:sz w:val="20"/>
                <w:szCs w:val="20"/>
                <w:color w:val="auto"/>
              </w:rPr>
            </w:pPr>
            <w:r>
              <w:rPr>
                <w:rFonts w:ascii="Arial" w:cs="Arial" w:eastAsia="Arial" w:hAnsi="Arial"/>
                <w:sz w:val="10"/>
                <w:szCs w:val="10"/>
                <w:b w:val="1"/>
                <w:bCs w:val="1"/>
                <w:color w:val="auto"/>
                <w:w w:val="91"/>
              </w:rPr>
              <w:t>Registrant’s telephone number, including area code: (501) 850-0820</w:t>
            </w:r>
          </w:p>
        </w:tc>
        <w:tc>
          <w:tcPr>
            <w:tcW w:w="0" w:type="dxa"/>
            <w:vAlign w:val="bottom"/>
          </w:tcPr>
          <w:p>
            <w:pPr>
              <w:spacing w:after="0"/>
              <w:rPr>
                <w:sz w:val="1"/>
                <w:szCs w:val="1"/>
                <w:color w:val="auto"/>
              </w:rPr>
            </w:pPr>
          </w:p>
        </w:tc>
      </w:tr>
      <w:tr>
        <w:trPr>
          <w:trHeight w:val="42"/>
        </w:trPr>
        <w:tc>
          <w:tcPr>
            <w:tcW w:w="2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1260" w:type="dxa"/>
            <w:vAlign w:val="bottom"/>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780" w:type="dxa"/>
            <w:vAlign w:val="bottom"/>
            <w:tcBorders>
              <w:bottom w:val="single" w:sz="8" w:color="auto"/>
            </w:tcBorders>
          </w:tcPr>
          <w:p>
            <w:pPr>
              <w:spacing w:after="0"/>
              <w:rPr>
                <w:sz w:val="3"/>
                <w:szCs w:val="3"/>
                <w:color w:val="auto"/>
              </w:rPr>
            </w:pPr>
          </w:p>
        </w:tc>
        <w:tc>
          <w:tcPr>
            <w:tcW w:w="1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3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36"/>
        </w:trPr>
        <w:tc>
          <w:tcPr>
            <w:tcW w:w="4900" w:type="dxa"/>
            <w:vAlign w:val="bottom"/>
            <w:gridSpan w:val="4"/>
          </w:tcPr>
          <w:p>
            <w:pPr>
              <w:spacing w:after="0"/>
              <w:rPr>
                <w:sz w:val="20"/>
                <w:szCs w:val="20"/>
                <w:color w:val="auto"/>
              </w:rPr>
            </w:pPr>
            <w:r>
              <w:rPr>
                <w:rFonts w:ascii="Arial" w:cs="Arial" w:eastAsia="Arial" w:hAnsi="Arial"/>
                <w:sz w:val="10"/>
                <w:szCs w:val="10"/>
                <w:color w:val="auto"/>
              </w:rPr>
              <w:t>Securities registered pursuant to Section 12(b) of the Act:</w:t>
            </w:r>
          </w:p>
        </w:tc>
        <w:tc>
          <w:tcPr>
            <w:tcW w:w="2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2220" w:type="dxa"/>
            <w:vAlign w:val="bottom"/>
            <w:gridSpan w:val="3"/>
          </w:tcPr>
          <w:p>
            <w:pPr>
              <w:jc w:val="center"/>
              <w:ind w:left="690"/>
              <w:spacing w:after="0" w:line="102" w:lineRule="exact"/>
              <w:rPr>
                <w:sz w:val="20"/>
                <w:szCs w:val="20"/>
                <w:color w:val="auto"/>
              </w:rPr>
            </w:pPr>
            <w:r>
              <w:rPr>
                <w:rFonts w:ascii="Arial" w:cs="Arial" w:eastAsia="Arial" w:hAnsi="Arial"/>
                <w:sz w:val="10"/>
                <w:szCs w:val="10"/>
                <w:color w:val="auto"/>
                <w:w w:val="84"/>
              </w:rPr>
              <w:t>Name of each exchange</w:t>
            </w:r>
          </w:p>
        </w:tc>
        <w:tc>
          <w:tcPr>
            <w:tcW w:w="0" w:type="dxa"/>
            <w:vAlign w:val="bottom"/>
          </w:tcPr>
          <w:p>
            <w:pPr>
              <w:spacing w:after="0"/>
              <w:rPr>
                <w:sz w:val="1"/>
                <w:szCs w:val="1"/>
                <w:color w:val="auto"/>
              </w:rPr>
            </w:pPr>
          </w:p>
        </w:tc>
      </w:tr>
      <w:tr>
        <w:trPr>
          <w:trHeight w:val="103"/>
        </w:trPr>
        <w:tc>
          <w:tcPr>
            <w:tcW w:w="2440" w:type="dxa"/>
            <w:vAlign w:val="bottom"/>
          </w:tcPr>
          <w:p>
            <w:pPr>
              <w:spacing w:after="0"/>
              <w:rPr>
                <w:sz w:val="8"/>
                <w:szCs w:val="8"/>
                <w:color w:val="auto"/>
              </w:rPr>
            </w:pPr>
          </w:p>
        </w:tc>
        <w:tc>
          <w:tcPr>
            <w:tcW w:w="700" w:type="dxa"/>
            <w:vAlign w:val="bottom"/>
            <w:tcBorders>
              <w:bottom w:val="single" w:sz="8" w:color="auto"/>
            </w:tcBorders>
          </w:tcPr>
          <w:p>
            <w:pPr>
              <w:jc w:val="center"/>
              <w:spacing w:after="0" w:line="103" w:lineRule="exact"/>
              <w:rPr>
                <w:sz w:val="20"/>
                <w:szCs w:val="20"/>
                <w:color w:val="auto"/>
              </w:rPr>
            </w:pPr>
            <w:r>
              <w:rPr>
                <w:rFonts w:ascii="Arial" w:cs="Arial" w:eastAsia="Arial" w:hAnsi="Arial"/>
                <w:sz w:val="10"/>
                <w:szCs w:val="10"/>
                <w:color w:val="auto"/>
                <w:w w:val="87"/>
              </w:rPr>
              <w:t>Title of each class</w:t>
            </w:r>
          </w:p>
        </w:tc>
        <w:tc>
          <w:tcPr>
            <w:tcW w:w="1760" w:type="dxa"/>
            <w:vAlign w:val="bottom"/>
            <w:gridSpan w:val="2"/>
          </w:tcPr>
          <w:p>
            <w:pPr>
              <w:spacing w:after="0"/>
              <w:rPr>
                <w:sz w:val="8"/>
                <w:szCs w:val="8"/>
                <w:color w:val="auto"/>
              </w:rPr>
            </w:pPr>
          </w:p>
        </w:tc>
        <w:tc>
          <w:tcPr>
            <w:tcW w:w="2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Borders>
              <w:bottom w:val="single" w:sz="8" w:color="auto"/>
            </w:tcBorders>
          </w:tcPr>
          <w:p>
            <w:pPr>
              <w:jc w:val="center"/>
              <w:spacing w:after="0" w:line="103" w:lineRule="exact"/>
              <w:rPr>
                <w:sz w:val="20"/>
                <w:szCs w:val="20"/>
                <w:color w:val="auto"/>
              </w:rPr>
            </w:pPr>
            <w:r>
              <w:rPr>
                <w:rFonts w:ascii="Arial" w:cs="Arial" w:eastAsia="Arial" w:hAnsi="Arial"/>
                <w:sz w:val="10"/>
                <w:szCs w:val="10"/>
                <w:color w:val="auto"/>
                <w:w w:val="87"/>
              </w:rPr>
              <w:t>on which registered</w:t>
            </w: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3"/>
        </w:trPr>
        <w:tc>
          <w:tcPr>
            <w:tcW w:w="2440" w:type="dxa"/>
            <w:vAlign w:val="bottom"/>
          </w:tcPr>
          <w:p>
            <w:pPr>
              <w:ind w:left="2080"/>
              <w:spacing w:after="0" w:line="109" w:lineRule="exact"/>
              <w:rPr>
                <w:sz w:val="20"/>
                <w:szCs w:val="20"/>
                <w:color w:val="auto"/>
              </w:rPr>
            </w:pPr>
            <w:r>
              <w:rPr>
                <w:rFonts w:ascii="Arial" w:cs="Arial" w:eastAsia="Arial" w:hAnsi="Arial"/>
                <w:sz w:val="10"/>
                <w:szCs w:val="10"/>
                <w:color w:val="auto"/>
                <w:w w:val="83"/>
              </w:rPr>
              <w:t>Common</w:t>
            </w:r>
          </w:p>
        </w:tc>
        <w:tc>
          <w:tcPr>
            <w:tcW w:w="700" w:type="dxa"/>
            <w:vAlign w:val="bottom"/>
          </w:tcPr>
          <w:p>
            <w:pPr>
              <w:jc w:val="center"/>
              <w:spacing w:after="0" w:line="114" w:lineRule="exact"/>
              <w:rPr>
                <w:sz w:val="20"/>
                <w:szCs w:val="20"/>
                <w:color w:val="auto"/>
              </w:rPr>
            </w:pPr>
            <w:r>
              <w:rPr>
                <w:rFonts w:ascii="Arial" w:cs="Arial" w:eastAsia="Arial" w:hAnsi="Arial"/>
                <w:sz w:val="10"/>
                <w:szCs w:val="10"/>
                <w:color w:val="auto"/>
                <w:w w:val="92"/>
              </w:rPr>
              <w:t>Stock, $0.0001</w:t>
            </w:r>
          </w:p>
        </w:tc>
        <w:tc>
          <w:tcPr>
            <w:tcW w:w="1760" w:type="dxa"/>
            <w:vAlign w:val="bottom"/>
            <w:gridSpan w:val="2"/>
          </w:tcPr>
          <w:p>
            <w:pPr>
              <w:spacing w:after="0" w:line="109" w:lineRule="exact"/>
              <w:rPr>
                <w:sz w:val="20"/>
                <w:szCs w:val="20"/>
                <w:color w:val="auto"/>
              </w:rPr>
            </w:pPr>
            <w:r>
              <w:rPr>
                <w:rFonts w:ascii="Arial" w:cs="Arial" w:eastAsia="Arial" w:hAnsi="Arial"/>
                <w:sz w:val="10"/>
                <w:szCs w:val="10"/>
                <w:color w:val="auto"/>
              </w:rPr>
              <w:t>Par Value</w:t>
            </w: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80" w:type="dxa"/>
            <w:vAlign w:val="bottom"/>
          </w:tcPr>
          <w:p>
            <w:pPr>
              <w:spacing w:after="0"/>
              <w:rPr>
                <w:sz w:val="9"/>
                <w:szCs w:val="9"/>
                <w:color w:val="auto"/>
              </w:rPr>
            </w:pPr>
          </w:p>
        </w:tc>
        <w:tc>
          <w:tcPr>
            <w:tcW w:w="1860" w:type="dxa"/>
            <w:vAlign w:val="bottom"/>
            <w:gridSpan w:val="2"/>
          </w:tcPr>
          <w:p>
            <w:pPr>
              <w:ind w:left="720"/>
              <w:spacing w:after="0" w:line="114" w:lineRule="exact"/>
              <w:rPr>
                <w:sz w:val="20"/>
                <w:szCs w:val="20"/>
                <w:color w:val="auto"/>
              </w:rPr>
            </w:pPr>
            <w:r>
              <w:rPr>
                <w:rFonts w:ascii="Arial" w:cs="Arial" w:eastAsia="Arial" w:hAnsi="Arial"/>
                <w:sz w:val="10"/>
                <w:szCs w:val="10"/>
                <w:color w:val="auto"/>
                <w:w w:val="89"/>
              </w:rPr>
              <w:t>The NASDAQ Global Select</w:t>
            </w:r>
          </w:p>
        </w:tc>
        <w:tc>
          <w:tcPr>
            <w:tcW w:w="360" w:type="dxa"/>
            <w:vAlign w:val="bottom"/>
          </w:tcPr>
          <w:p>
            <w:pPr>
              <w:ind w:left="80"/>
              <w:spacing w:after="0" w:line="109" w:lineRule="exact"/>
              <w:rPr>
                <w:sz w:val="20"/>
                <w:szCs w:val="20"/>
                <w:color w:val="auto"/>
              </w:rPr>
            </w:pPr>
            <w:r>
              <w:rPr>
                <w:rFonts w:ascii="Arial" w:cs="Arial" w:eastAsia="Arial" w:hAnsi="Arial"/>
                <w:sz w:val="10"/>
                <w:szCs w:val="10"/>
                <w:color w:val="auto"/>
                <w:w w:val="84"/>
              </w:rPr>
              <w:t>Market</w:t>
            </w:r>
          </w:p>
        </w:tc>
        <w:tc>
          <w:tcPr>
            <w:tcW w:w="0" w:type="dxa"/>
            <w:vAlign w:val="bottom"/>
          </w:tcPr>
          <w:p>
            <w:pPr>
              <w:spacing w:after="0"/>
              <w:rPr>
                <w:sz w:val="1"/>
                <w:szCs w:val="1"/>
                <w:color w:val="auto"/>
              </w:rPr>
            </w:pPr>
          </w:p>
        </w:tc>
      </w:tr>
      <w:tr>
        <w:trPr>
          <w:trHeight w:val="128"/>
        </w:trPr>
        <w:tc>
          <w:tcPr>
            <w:tcW w:w="4900" w:type="dxa"/>
            <w:vAlign w:val="bottom"/>
            <w:gridSpan w:val="4"/>
          </w:tcPr>
          <w:p>
            <w:pPr>
              <w:spacing w:after="0"/>
              <w:rPr>
                <w:sz w:val="20"/>
                <w:szCs w:val="20"/>
                <w:color w:val="auto"/>
              </w:rPr>
            </w:pPr>
            <w:r>
              <w:rPr>
                <w:rFonts w:ascii="Arial" w:cs="Arial" w:eastAsia="Arial" w:hAnsi="Arial"/>
                <w:sz w:val="10"/>
                <w:szCs w:val="10"/>
                <w:color w:val="auto"/>
              </w:rPr>
              <w:t xml:space="preserve">Securities registered pursuant to Section 12(g) of the Act: </w:t>
            </w:r>
            <w:r>
              <w:rPr>
                <w:rFonts w:ascii="Arial" w:cs="Arial" w:eastAsia="Arial" w:hAnsi="Arial"/>
                <w:sz w:val="10"/>
                <w:szCs w:val="10"/>
                <w:b w:val="1"/>
                <w:bCs w:val="1"/>
                <w:color w:val="auto"/>
              </w:rPr>
              <w:t>None</w:t>
            </w:r>
          </w:p>
        </w:tc>
        <w:tc>
          <w:tcPr>
            <w:tcW w:w="200" w:type="dxa"/>
            <w:vAlign w:val="bottom"/>
          </w:tcPr>
          <w:p>
            <w:pPr>
              <w:spacing w:after="0"/>
              <w:rPr>
                <w:sz w:val="11"/>
                <w:szCs w:val="11"/>
                <w:color w:val="auto"/>
              </w:rPr>
            </w:pPr>
          </w:p>
        </w:tc>
        <w:tc>
          <w:tcPr>
            <w:tcW w:w="180" w:type="dxa"/>
            <w:vAlign w:val="bottom"/>
            <w:vMerge w:val="restart"/>
          </w:tcPr>
          <w:p>
            <w:pPr>
              <w:ind w:left="60"/>
              <w:spacing w:after="0" w:line="101" w:lineRule="exact"/>
              <w:rPr>
                <w:sz w:val="20"/>
                <w:szCs w:val="20"/>
                <w:color w:val="auto"/>
              </w:rPr>
            </w:pPr>
            <w:r>
              <w:rPr>
                <w:rFonts w:ascii="MS PGothic" w:cs="MS PGothic" w:eastAsia="MS PGothic" w:hAnsi="MS PGothic"/>
                <w:sz w:val="10"/>
                <w:szCs w:val="10"/>
                <w:color w:val="auto"/>
                <w:w w:val="99"/>
              </w:rPr>
              <w:t>☒</w:t>
            </w:r>
          </w:p>
        </w:tc>
        <w:tc>
          <w:tcPr>
            <w:tcW w:w="4000" w:type="dxa"/>
            <w:vAlign w:val="bottom"/>
            <w:gridSpan w:val="4"/>
            <w:vMerge w:val="restart"/>
          </w:tcPr>
          <w:p>
            <w:pPr>
              <w:ind w:left="80"/>
              <w:spacing w:after="0" w:line="115" w:lineRule="exact"/>
              <w:rPr>
                <w:sz w:val="20"/>
                <w:szCs w:val="20"/>
                <w:color w:val="auto"/>
              </w:rPr>
            </w:pPr>
            <w:r>
              <w:rPr>
                <w:rFonts w:ascii="Arial" w:cs="Arial" w:eastAsia="Arial" w:hAnsi="Arial"/>
                <w:sz w:val="10"/>
                <w:szCs w:val="10"/>
                <w:color w:val="auto"/>
              </w:rPr>
              <w:t xml:space="preserve">NO </w:t>
            </w:r>
            <w:r>
              <w:rPr>
                <w:rFonts w:ascii="MS PGothic" w:cs="MS PGothic" w:eastAsia="MS PGothic" w:hAnsi="MS PGothic"/>
                <w:sz w:val="9"/>
                <w:szCs w:val="9"/>
                <w:color w:val="auto"/>
              </w:rPr>
              <w:t>☐</w:t>
            </w:r>
          </w:p>
        </w:tc>
        <w:tc>
          <w:tcPr>
            <w:tcW w:w="0" w:type="dxa"/>
            <w:vAlign w:val="bottom"/>
          </w:tcPr>
          <w:p>
            <w:pPr>
              <w:spacing w:after="0"/>
              <w:rPr>
                <w:sz w:val="1"/>
                <w:szCs w:val="1"/>
                <w:color w:val="auto"/>
              </w:rPr>
            </w:pPr>
          </w:p>
        </w:tc>
      </w:tr>
      <w:tr>
        <w:trPr>
          <w:trHeight w:val="132"/>
        </w:trPr>
        <w:tc>
          <w:tcPr>
            <w:tcW w:w="4900" w:type="dxa"/>
            <w:vAlign w:val="bottom"/>
            <w:gridSpan w:val="4"/>
          </w:tcPr>
          <w:p>
            <w:pPr>
              <w:spacing w:after="0"/>
              <w:rPr>
                <w:sz w:val="20"/>
                <w:szCs w:val="20"/>
                <w:color w:val="auto"/>
              </w:rPr>
            </w:pPr>
            <w:r>
              <w:rPr>
                <w:rFonts w:ascii="Arial" w:cs="Arial" w:eastAsia="Arial" w:hAnsi="Arial"/>
                <w:sz w:val="10"/>
                <w:szCs w:val="10"/>
                <w:color w:val="auto"/>
                <w:w w:val="93"/>
              </w:rPr>
              <w:t>Indicate by check mark if the Registrant is a well-known seasoned issuer, as defined in Rule 405 of the Securities Act.</w:t>
            </w:r>
          </w:p>
        </w:tc>
        <w:tc>
          <w:tcPr>
            <w:tcW w:w="200" w:type="dxa"/>
            <w:vAlign w:val="bottom"/>
          </w:tcPr>
          <w:p>
            <w:pPr>
              <w:ind w:left="20"/>
              <w:spacing w:after="0"/>
              <w:rPr>
                <w:sz w:val="20"/>
                <w:szCs w:val="20"/>
                <w:color w:val="auto"/>
              </w:rPr>
            </w:pPr>
            <w:r>
              <w:rPr>
                <w:rFonts w:ascii="Arial" w:cs="Arial" w:eastAsia="Arial" w:hAnsi="Arial"/>
                <w:sz w:val="10"/>
                <w:szCs w:val="10"/>
                <w:color w:val="auto"/>
                <w:w w:val="79"/>
              </w:rPr>
              <w:t>YES</w:t>
            </w:r>
          </w:p>
        </w:tc>
        <w:tc>
          <w:tcPr>
            <w:tcW w:w="180" w:type="dxa"/>
            <w:vAlign w:val="bottom"/>
            <w:vMerge w:val="continue"/>
          </w:tcPr>
          <w:p>
            <w:pPr>
              <w:spacing w:after="0"/>
              <w:rPr>
                <w:sz w:val="11"/>
                <w:szCs w:val="11"/>
                <w:color w:val="auto"/>
              </w:rPr>
            </w:pPr>
          </w:p>
        </w:tc>
        <w:tc>
          <w:tcPr>
            <w:tcW w:w="4000" w:type="dxa"/>
            <w:vAlign w:val="bottom"/>
            <w:gridSpan w:val="4"/>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4900" w:type="dxa"/>
            <w:vAlign w:val="bottom"/>
            <w:gridSpan w:val="4"/>
          </w:tcPr>
          <w:p>
            <w:pPr>
              <w:spacing w:after="0"/>
              <w:rPr>
                <w:sz w:val="20"/>
                <w:szCs w:val="20"/>
                <w:color w:val="auto"/>
              </w:rPr>
            </w:pPr>
            <w:r>
              <w:rPr>
                <w:rFonts w:ascii="Arial" w:cs="Arial" w:eastAsia="Arial" w:hAnsi="Arial"/>
                <w:sz w:val="10"/>
                <w:szCs w:val="10"/>
                <w:color w:val="auto"/>
                <w:w w:val="94"/>
              </w:rPr>
              <w:t>Indicate by check mark if the Registrant is not required to file reports pursuant to Section 13 or 15(d) of the Act.  YES</w:t>
            </w:r>
          </w:p>
        </w:tc>
        <w:tc>
          <w:tcPr>
            <w:tcW w:w="200" w:type="dxa"/>
            <w:vAlign w:val="bottom"/>
          </w:tcPr>
          <w:p>
            <w:pPr>
              <w:ind w:left="20"/>
              <w:spacing w:after="0" w:line="101" w:lineRule="exact"/>
              <w:rPr>
                <w:sz w:val="20"/>
                <w:szCs w:val="20"/>
                <w:color w:val="auto"/>
              </w:rPr>
            </w:pPr>
            <w:r>
              <w:rPr>
                <w:rFonts w:ascii="MS PGothic" w:cs="MS PGothic" w:eastAsia="MS PGothic" w:hAnsi="MS PGothic"/>
                <w:sz w:val="10"/>
                <w:szCs w:val="10"/>
                <w:color w:val="auto"/>
              </w:rPr>
              <w:t>☐</w:t>
            </w:r>
          </w:p>
        </w:tc>
        <w:tc>
          <w:tcPr>
            <w:tcW w:w="180" w:type="dxa"/>
            <w:vAlign w:val="bottom"/>
          </w:tcPr>
          <w:p>
            <w:pPr>
              <w:ind w:left="20"/>
              <w:spacing w:after="0"/>
              <w:rPr>
                <w:sz w:val="20"/>
                <w:szCs w:val="20"/>
                <w:color w:val="auto"/>
              </w:rPr>
            </w:pPr>
            <w:r>
              <w:rPr>
                <w:rFonts w:ascii="Arial" w:cs="Arial" w:eastAsia="Arial" w:hAnsi="Arial"/>
                <w:sz w:val="10"/>
                <w:szCs w:val="10"/>
                <w:color w:val="auto"/>
                <w:w w:val="93"/>
              </w:rPr>
              <w:t>NO</w:t>
            </w:r>
          </w:p>
        </w:tc>
        <w:tc>
          <w:tcPr>
            <w:tcW w:w="4000" w:type="dxa"/>
            <w:vAlign w:val="bottom"/>
            <w:gridSpan w:val="4"/>
          </w:tcPr>
          <w:p>
            <w:pPr>
              <w:ind w:left="20"/>
              <w:spacing w:after="0" w:line="101" w:lineRule="exact"/>
              <w:rPr>
                <w:sz w:val="20"/>
                <w:szCs w:val="20"/>
                <w:color w:val="auto"/>
              </w:rPr>
            </w:pPr>
            <w:r>
              <w:rPr>
                <w:rFonts w:ascii="MS PGothic" w:cs="MS PGothic" w:eastAsia="MS PGothic" w:hAnsi="MS PGothic"/>
                <w:sz w:val="10"/>
                <w:szCs w:val="10"/>
                <w:color w:val="auto"/>
              </w:rPr>
              <w:t>☒</w:t>
            </w:r>
          </w:p>
        </w:tc>
        <w:tc>
          <w:tcPr>
            <w:tcW w:w="0" w:type="dxa"/>
            <w:vAlign w:val="bottom"/>
          </w:tcPr>
          <w:p>
            <w:pPr>
              <w:spacing w:after="0"/>
              <w:rPr>
                <w:sz w:val="1"/>
                <w:szCs w:val="1"/>
                <w:color w:val="auto"/>
              </w:rPr>
            </w:pPr>
          </w:p>
        </w:tc>
      </w:tr>
    </w:tbl>
    <w:p>
      <w:pPr>
        <w:ind w:left="8" w:right="160"/>
        <w:spacing w:after="0" w:line="122" w:lineRule="exact"/>
        <w:rPr>
          <w:sz w:val="20"/>
          <w:szCs w:val="20"/>
          <w:color w:val="auto"/>
        </w:rPr>
      </w:pPr>
      <w:r>
        <w:rPr>
          <w:rFonts w:ascii="Arial" w:cs="Arial" w:eastAsia="Arial" w:hAnsi="Arial"/>
          <w:sz w:val="10"/>
          <w:szCs w:val="10"/>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9"/>
          <w:szCs w:val="9"/>
          <w:color w:val="auto"/>
        </w:rPr>
        <w:t>☒</w:t>
      </w:r>
      <w:r>
        <w:rPr>
          <w:rFonts w:ascii="Arial" w:cs="Arial" w:eastAsia="Arial" w:hAnsi="Arial"/>
          <w:sz w:val="10"/>
          <w:szCs w:val="10"/>
          <w:color w:val="auto"/>
        </w:rPr>
        <w:t xml:space="preserve"> NO </w:t>
      </w:r>
      <w:r>
        <w:rPr>
          <w:rFonts w:ascii="MS PGothic" w:cs="MS PGothic" w:eastAsia="MS PGothic" w:hAnsi="MS PGothic"/>
          <w:sz w:val="9"/>
          <w:szCs w:val="9"/>
          <w:color w:val="auto"/>
        </w:rPr>
        <w:t>☐</w:t>
      </w:r>
    </w:p>
    <w:p>
      <w:pPr>
        <w:spacing w:after="0" w:line="8" w:lineRule="exact"/>
        <w:rPr>
          <w:sz w:val="24"/>
          <w:szCs w:val="24"/>
          <w:color w:val="auto"/>
        </w:rPr>
      </w:pPr>
    </w:p>
    <w:p>
      <w:pPr>
        <w:ind w:left="8" w:right="140"/>
        <w:spacing w:after="0" w:line="123" w:lineRule="exact"/>
        <w:rPr>
          <w:sz w:val="20"/>
          <w:szCs w:val="20"/>
          <w:color w:val="auto"/>
        </w:rPr>
      </w:pPr>
      <w:r>
        <w:rPr>
          <w:rFonts w:ascii="Arial" w:cs="Arial" w:eastAsia="Arial" w:hAnsi="Arial"/>
          <w:sz w:val="10"/>
          <w:szCs w:val="10"/>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9"/>
          <w:szCs w:val="9"/>
          <w:color w:val="auto"/>
        </w:rPr>
        <w:t>☒</w:t>
      </w:r>
      <w:r>
        <w:rPr>
          <w:rFonts w:ascii="Arial" w:cs="Arial" w:eastAsia="Arial" w:hAnsi="Arial"/>
          <w:sz w:val="10"/>
          <w:szCs w:val="10"/>
          <w:color w:val="auto"/>
        </w:rPr>
        <w:t xml:space="preserve"> NO </w:t>
      </w:r>
      <w:r>
        <w:rPr>
          <w:rFonts w:ascii="MS PGothic" w:cs="MS PGothic" w:eastAsia="MS PGothic" w:hAnsi="MS PGothic"/>
          <w:sz w:val="9"/>
          <w:szCs w:val="9"/>
          <w:color w:val="auto"/>
        </w:rPr>
        <w:t>☐</w:t>
      </w:r>
    </w:p>
    <w:p>
      <w:pPr>
        <w:spacing w:after="0" w:line="8" w:lineRule="exact"/>
        <w:rPr>
          <w:sz w:val="24"/>
          <w:szCs w:val="24"/>
          <w:color w:val="auto"/>
        </w:rPr>
      </w:pPr>
    </w:p>
    <w:p>
      <w:pPr>
        <w:ind w:left="8" w:right="300"/>
        <w:spacing w:after="0" w:line="123" w:lineRule="exact"/>
        <w:rPr>
          <w:sz w:val="20"/>
          <w:szCs w:val="20"/>
          <w:color w:val="auto"/>
        </w:rPr>
      </w:pPr>
      <w:r>
        <w:rPr>
          <w:rFonts w:ascii="Arial" w:cs="Arial" w:eastAsia="Arial" w:hAnsi="Arial"/>
          <w:sz w:val="10"/>
          <w:szCs w:val="10"/>
          <w:color w:val="auto"/>
        </w:rPr>
        <w:t xml:space="preserve">Indicate by check mark if disclosure of delinquent filers pursuant to Item 405 of Regulation S-K (§ 229.405 of this chapter)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9"/>
          <w:szCs w:val="9"/>
          <w:color w:val="auto"/>
        </w:rPr>
        <w:t>☐</w:t>
      </w:r>
    </w:p>
    <w:p>
      <w:pPr>
        <w:spacing w:after="0" w:line="1" w:lineRule="exact"/>
        <w:rPr>
          <w:sz w:val="24"/>
          <w:szCs w:val="24"/>
          <w:color w:val="auto"/>
        </w:rPr>
      </w:pPr>
    </w:p>
    <w:p>
      <w:pPr>
        <w:ind w:left="8"/>
        <w:spacing w:after="0" w:line="245" w:lineRule="auto"/>
        <w:rPr>
          <w:sz w:val="20"/>
          <w:szCs w:val="20"/>
          <w:color w:val="auto"/>
        </w:rPr>
      </w:pPr>
      <w:r>
        <w:rPr>
          <w:rFonts w:ascii="Arial" w:cs="Arial" w:eastAsia="Arial" w:hAnsi="Arial"/>
          <w:sz w:val="10"/>
          <w:szCs w:val="10"/>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Layout w:type="fixed"/>
        <w:tblInd w:w="8" w:type="dxa"/>
        <w:tblCellMar>
          <w:top w:w="0" w:type="dxa"/>
          <w:left w:w="0" w:type="dxa"/>
          <w:bottom w:w="0" w:type="dxa"/>
          <w:right w:w="0" w:type="dxa"/>
        </w:tblCellMar>
      </w:tblPr>
      <w:tr>
        <w:trPr>
          <w:trHeight w:val="138"/>
        </w:trPr>
        <w:tc>
          <w:tcPr>
            <w:tcW w:w="1440" w:type="dxa"/>
            <w:vAlign w:val="bottom"/>
          </w:tcPr>
          <w:p>
            <w:pPr>
              <w:spacing w:after="0"/>
              <w:rPr>
                <w:sz w:val="20"/>
                <w:szCs w:val="20"/>
                <w:color w:val="auto"/>
              </w:rPr>
            </w:pPr>
            <w:r>
              <w:rPr>
                <w:rFonts w:ascii="Arial" w:cs="Arial" w:eastAsia="Arial" w:hAnsi="Arial"/>
                <w:sz w:val="10"/>
                <w:szCs w:val="10"/>
                <w:color w:val="auto"/>
              </w:rPr>
              <w:t>Large accelerated filer</w:t>
            </w:r>
          </w:p>
        </w:tc>
        <w:tc>
          <w:tcPr>
            <w:tcW w:w="3280" w:type="dxa"/>
            <w:vAlign w:val="bottom"/>
          </w:tcPr>
          <w:p>
            <w:pPr>
              <w:ind w:left="540"/>
              <w:spacing w:after="0" w:line="101" w:lineRule="exact"/>
              <w:rPr>
                <w:sz w:val="20"/>
                <w:szCs w:val="20"/>
                <w:color w:val="auto"/>
              </w:rPr>
            </w:pPr>
            <w:r>
              <w:rPr>
                <w:rFonts w:ascii="MS PGothic" w:cs="MS PGothic" w:eastAsia="MS PGothic" w:hAnsi="MS PGothic"/>
                <w:sz w:val="10"/>
                <w:szCs w:val="10"/>
                <w:color w:val="auto"/>
              </w:rPr>
              <w:t>☒</w:t>
            </w:r>
          </w:p>
        </w:tc>
        <w:tc>
          <w:tcPr>
            <w:tcW w:w="6100" w:type="dxa"/>
            <w:vAlign w:val="bottom"/>
          </w:tcPr>
          <w:p>
            <w:pPr>
              <w:ind w:left="4100"/>
              <w:spacing w:after="0"/>
              <w:rPr>
                <w:sz w:val="20"/>
                <w:szCs w:val="20"/>
                <w:color w:val="auto"/>
              </w:rPr>
            </w:pPr>
            <w:r>
              <w:rPr>
                <w:rFonts w:ascii="Arial" w:cs="Arial" w:eastAsia="Arial" w:hAnsi="Arial"/>
                <w:sz w:val="10"/>
                <w:szCs w:val="10"/>
                <w:color w:val="auto"/>
              </w:rPr>
              <w:t>Accelerated filer</w:t>
            </w:r>
          </w:p>
        </w:tc>
        <w:tc>
          <w:tcPr>
            <w:tcW w:w="500" w:type="dxa"/>
            <w:vAlign w:val="bottom"/>
          </w:tcPr>
          <w:p>
            <w:pPr>
              <w:ind w:left="420"/>
              <w:spacing w:after="0" w:line="81" w:lineRule="exact"/>
              <w:rPr>
                <w:sz w:val="20"/>
                <w:szCs w:val="20"/>
                <w:color w:val="auto"/>
              </w:rPr>
            </w:pPr>
            <w:r>
              <w:rPr>
                <w:rFonts w:ascii="MS PGothic" w:cs="MS PGothic" w:eastAsia="MS PGothic" w:hAnsi="MS PGothic"/>
                <w:sz w:val="8"/>
                <w:szCs w:val="8"/>
                <w:color w:val="auto"/>
                <w:w w:val="74"/>
              </w:rPr>
              <w:t>☐</w:t>
            </w:r>
          </w:p>
        </w:tc>
      </w:tr>
      <w:tr>
        <w:trPr>
          <w:trHeight w:val="117"/>
        </w:trPr>
        <w:tc>
          <w:tcPr>
            <w:tcW w:w="1440" w:type="dxa"/>
            <w:vAlign w:val="bottom"/>
          </w:tcPr>
          <w:p>
            <w:pPr>
              <w:spacing w:after="0"/>
              <w:rPr>
                <w:sz w:val="20"/>
                <w:szCs w:val="20"/>
                <w:color w:val="auto"/>
              </w:rPr>
            </w:pPr>
            <w:r>
              <w:rPr>
                <w:rFonts w:ascii="Arial" w:cs="Arial" w:eastAsia="Arial" w:hAnsi="Arial"/>
                <w:sz w:val="10"/>
                <w:szCs w:val="10"/>
                <w:color w:val="auto"/>
              </w:rPr>
              <w:t>Non-accelerated filer</w:t>
            </w:r>
          </w:p>
        </w:tc>
        <w:tc>
          <w:tcPr>
            <w:tcW w:w="3280" w:type="dxa"/>
            <w:vAlign w:val="bottom"/>
          </w:tcPr>
          <w:p>
            <w:pPr>
              <w:ind w:left="540"/>
              <w:spacing w:after="0" w:line="101" w:lineRule="exact"/>
              <w:rPr>
                <w:sz w:val="20"/>
                <w:szCs w:val="20"/>
                <w:color w:val="auto"/>
              </w:rPr>
            </w:pPr>
            <w:r>
              <w:rPr>
                <w:rFonts w:ascii="MS PGothic" w:cs="MS PGothic" w:eastAsia="MS PGothic" w:hAnsi="MS PGothic"/>
                <w:sz w:val="10"/>
                <w:szCs w:val="10"/>
                <w:color w:val="auto"/>
              </w:rPr>
              <w:t>☐</w:t>
            </w:r>
          </w:p>
        </w:tc>
        <w:tc>
          <w:tcPr>
            <w:tcW w:w="6100" w:type="dxa"/>
            <w:vAlign w:val="bottom"/>
          </w:tcPr>
          <w:p>
            <w:pPr>
              <w:ind w:left="4100"/>
              <w:spacing w:after="0"/>
              <w:rPr>
                <w:sz w:val="20"/>
                <w:szCs w:val="20"/>
                <w:color w:val="auto"/>
              </w:rPr>
            </w:pPr>
            <w:r>
              <w:rPr>
                <w:rFonts w:ascii="Arial" w:cs="Arial" w:eastAsia="Arial" w:hAnsi="Arial"/>
                <w:sz w:val="10"/>
                <w:szCs w:val="10"/>
                <w:color w:val="auto"/>
              </w:rPr>
              <w:t>Smaller reporting company</w:t>
            </w:r>
          </w:p>
        </w:tc>
        <w:tc>
          <w:tcPr>
            <w:tcW w:w="500" w:type="dxa"/>
            <w:vAlign w:val="bottom"/>
          </w:tcPr>
          <w:p>
            <w:pPr>
              <w:ind w:left="420"/>
              <w:spacing w:after="0" w:line="81" w:lineRule="exact"/>
              <w:rPr>
                <w:sz w:val="20"/>
                <w:szCs w:val="20"/>
                <w:color w:val="auto"/>
              </w:rPr>
            </w:pPr>
            <w:r>
              <w:rPr>
                <w:rFonts w:ascii="MS PGothic" w:cs="MS PGothic" w:eastAsia="MS PGothic" w:hAnsi="MS PGothic"/>
                <w:sz w:val="8"/>
                <w:szCs w:val="8"/>
                <w:color w:val="auto"/>
                <w:w w:val="74"/>
              </w:rPr>
              <w:t>☐</w:t>
            </w:r>
          </w:p>
        </w:tc>
      </w:tr>
      <w:tr>
        <w:trPr>
          <w:trHeight w:val="146"/>
        </w:trPr>
        <w:tc>
          <w:tcPr>
            <w:tcW w:w="144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6100" w:type="dxa"/>
            <w:vAlign w:val="bottom"/>
          </w:tcPr>
          <w:p>
            <w:pPr>
              <w:ind w:left="4100"/>
              <w:spacing w:after="0"/>
              <w:rPr>
                <w:sz w:val="20"/>
                <w:szCs w:val="20"/>
                <w:color w:val="auto"/>
              </w:rPr>
            </w:pPr>
            <w:r>
              <w:rPr>
                <w:rFonts w:ascii="Arial" w:cs="Arial" w:eastAsia="Arial" w:hAnsi="Arial"/>
                <w:sz w:val="10"/>
                <w:szCs w:val="10"/>
                <w:color w:val="auto"/>
              </w:rPr>
              <w:t>Emerging growth company</w:t>
            </w:r>
          </w:p>
        </w:tc>
        <w:tc>
          <w:tcPr>
            <w:tcW w:w="500" w:type="dxa"/>
            <w:vAlign w:val="bottom"/>
          </w:tcPr>
          <w:p>
            <w:pPr>
              <w:ind w:left="420"/>
              <w:spacing w:after="0" w:line="81" w:lineRule="exact"/>
              <w:rPr>
                <w:sz w:val="20"/>
                <w:szCs w:val="20"/>
                <w:color w:val="auto"/>
              </w:rPr>
            </w:pPr>
            <w:r>
              <w:rPr>
                <w:rFonts w:ascii="MS PGothic" w:cs="MS PGothic" w:eastAsia="MS PGothic" w:hAnsi="MS PGothic"/>
                <w:sz w:val="8"/>
                <w:szCs w:val="8"/>
                <w:color w:val="auto"/>
                <w:w w:val="74"/>
              </w:rPr>
              <w:t>☐</w:t>
            </w:r>
          </w:p>
        </w:tc>
      </w:tr>
      <w:tr>
        <w:trPr>
          <w:trHeight w:val="125"/>
        </w:trPr>
        <w:tc>
          <w:tcPr>
            <w:tcW w:w="10820" w:type="dxa"/>
            <w:vAlign w:val="bottom"/>
            <w:gridSpan w:val="3"/>
          </w:tcPr>
          <w:p>
            <w:pPr>
              <w:spacing w:after="0" w:line="115" w:lineRule="exact"/>
              <w:rPr>
                <w:sz w:val="20"/>
                <w:szCs w:val="20"/>
                <w:color w:val="auto"/>
              </w:rPr>
            </w:pPr>
            <w:r>
              <w:rPr>
                <w:rFonts w:ascii="Arial" w:cs="Arial" w:eastAsia="Arial" w:hAnsi="Arial"/>
                <w:sz w:val="10"/>
                <w:szCs w:val="10"/>
                <w:color w:val="auto"/>
                <w:w w:val="9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0"/>
                <w:szCs w:val="10"/>
                <w:color w:val="auto"/>
                <w:w w:val="96"/>
              </w:rPr>
              <w:t>☐</w:t>
            </w:r>
          </w:p>
        </w:tc>
        <w:tc>
          <w:tcPr>
            <w:tcW w:w="500" w:type="dxa"/>
            <w:vAlign w:val="bottom"/>
          </w:tcPr>
          <w:p>
            <w:pPr>
              <w:spacing w:after="0"/>
              <w:rPr>
                <w:sz w:val="10"/>
                <w:szCs w:val="10"/>
                <w:color w:val="auto"/>
              </w:rPr>
            </w:pPr>
          </w:p>
        </w:tc>
      </w:tr>
      <w:tr>
        <w:trPr>
          <w:trHeight w:val="149"/>
        </w:trPr>
        <w:tc>
          <w:tcPr>
            <w:tcW w:w="4720" w:type="dxa"/>
            <w:vAlign w:val="bottom"/>
            <w:gridSpan w:val="2"/>
          </w:tcPr>
          <w:p>
            <w:pPr>
              <w:spacing w:after="0" w:line="115" w:lineRule="exact"/>
              <w:rPr>
                <w:sz w:val="20"/>
                <w:szCs w:val="20"/>
                <w:color w:val="auto"/>
              </w:rPr>
            </w:pPr>
            <w:r>
              <w:rPr>
                <w:rFonts w:ascii="Arial" w:cs="Arial" w:eastAsia="Arial" w:hAnsi="Arial"/>
                <w:sz w:val="10"/>
                <w:szCs w:val="10"/>
                <w:color w:val="auto"/>
                <w:w w:val="95"/>
              </w:rPr>
              <w:t xml:space="preserve">Indicate by check mark whether the Registrant is a shell company (as defined in Rule 12b-2 of the Act).  YES </w:t>
            </w:r>
            <w:r>
              <w:rPr>
                <w:rFonts w:ascii="MS PGothic" w:cs="MS PGothic" w:eastAsia="MS PGothic" w:hAnsi="MS PGothic"/>
                <w:sz w:val="9"/>
                <w:szCs w:val="9"/>
                <w:color w:val="auto"/>
                <w:w w:val="95"/>
              </w:rPr>
              <w:t>☐</w:t>
            </w:r>
          </w:p>
        </w:tc>
        <w:tc>
          <w:tcPr>
            <w:tcW w:w="6100" w:type="dxa"/>
            <w:vAlign w:val="bottom"/>
          </w:tcPr>
          <w:p>
            <w:pPr>
              <w:ind w:left="40"/>
              <w:spacing w:after="0" w:line="115" w:lineRule="exact"/>
              <w:rPr>
                <w:sz w:val="20"/>
                <w:szCs w:val="20"/>
                <w:color w:val="auto"/>
              </w:rPr>
            </w:pPr>
            <w:r>
              <w:rPr>
                <w:rFonts w:ascii="Arial" w:cs="Arial" w:eastAsia="Arial" w:hAnsi="Arial"/>
                <w:sz w:val="10"/>
                <w:szCs w:val="10"/>
                <w:color w:val="auto"/>
              </w:rPr>
              <w:t xml:space="preserve">NO </w:t>
            </w:r>
            <w:r>
              <w:rPr>
                <w:rFonts w:ascii="MS PGothic" w:cs="MS PGothic" w:eastAsia="MS PGothic" w:hAnsi="MS PGothic"/>
                <w:sz w:val="9"/>
                <w:szCs w:val="9"/>
                <w:color w:val="auto"/>
              </w:rPr>
              <w:t>☒</w:t>
            </w:r>
          </w:p>
        </w:tc>
        <w:tc>
          <w:tcPr>
            <w:tcW w:w="500" w:type="dxa"/>
            <w:vAlign w:val="bottom"/>
          </w:tcPr>
          <w:p>
            <w:pPr>
              <w:spacing w:after="0"/>
              <w:rPr>
                <w:sz w:val="12"/>
                <w:szCs w:val="12"/>
                <w:color w:val="auto"/>
              </w:rPr>
            </w:pPr>
          </w:p>
        </w:tc>
      </w:tr>
    </w:tbl>
    <w:p>
      <w:pPr>
        <w:spacing w:after="0" w:line="7" w:lineRule="exact"/>
        <w:rPr>
          <w:sz w:val="24"/>
          <w:szCs w:val="24"/>
          <w:color w:val="auto"/>
        </w:rPr>
      </w:pPr>
    </w:p>
    <w:p>
      <w:pPr>
        <w:ind w:left="8" w:right="1260"/>
        <w:spacing w:after="0" w:line="275" w:lineRule="auto"/>
        <w:rPr>
          <w:sz w:val="20"/>
          <w:szCs w:val="20"/>
          <w:color w:val="auto"/>
        </w:rPr>
      </w:pPr>
      <w:r>
        <w:rPr>
          <w:rFonts w:ascii="Arial" w:cs="Arial" w:eastAsia="Arial" w:hAnsi="Arial"/>
          <w:sz w:val="10"/>
          <w:szCs w:val="10"/>
          <w:color w:val="auto"/>
        </w:rPr>
        <w:t>The aggregate market value of the voting and non-voting common equity held by non-affiliates of the Registrant, based on the closing price of the shares of common stock on The NASDAQ Global Select Market on June 30, 2018, was $2,842,783,509 The number of shares of the Registrant’s common stock outstanding as of March 6, 2019 was 183,103,947.</w:t>
      </w:r>
    </w:p>
    <w:p>
      <w:pPr>
        <w:spacing w:after="0" w:line="1" w:lineRule="exact"/>
        <w:rPr>
          <w:sz w:val="24"/>
          <w:szCs w:val="24"/>
          <w:color w:val="auto"/>
        </w:rPr>
      </w:pPr>
    </w:p>
    <w:p>
      <w:pPr>
        <w:ind w:left="4628"/>
        <w:spacing w:after="0"/>
        <w:rPr>
          <w:sz w:val="20"/>
          <w:szCs w:val="20"/>
          <w:color w:val="auto"/>
        </w:rPr>
      </w:pPr>
      <w:r>
        <w:rPr>
          <w:rFonts w:ascii="Arial" w:cs="Arial" w:eastAsia="Arial" w:hAnsi="Arial"/>
          <w:sz w:val="10"/>
          <w:szCs w:val="10"/>
          <w:color w:val="auto"/>
        </w:rPr>
        <w:t>DOCUMENTS INCORPORATED BY REFERENCE</w:t>
      </w:r>
    </w:p>
    <w:p>
      <w:pPr>
        <w:spacing w:after="0" w:line="17" w:lineRule="exact"/>
        <w:rPr>
          <w:sz w:val="24"/>
          <w:szCs w:val="24"/>
          <w:color w:val="auto"/>
        </w:rPr>
      </w:pPr>
    </w:p>
    <w:p>
      <w:pPr>
        <w:ind w:left="8"/>
        <w:spacing w:after="0"/>
        <w:rPr>
          <w:sz w:val="20"/>
          <w:szCs w:val="20"/>
          <w:color w:val="auto"/>
        </w:rPr>
      </w:pPr>
      <w:r>
        <w:rPr>
          <w:rFonts w:ascii="Arial" w:cs="Arial" w:eastAsia="Arial" w:hAnsi="Arial"/>
          <w:sz w:val="10"/>
          <w:szCs w:val="10"/>
          <w:color w:val="auto"/>
        </w:rPr>
        <w:t>Portions of the Registrant’s definitive proxy statement relating to the 2019 annual meeting of stockholders are incorporated by reference into Part III of this Annual Report on 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7292340" cy="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92340" cy="571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41275</wp:posOffset>
            </wp:positionV>
            <wp:extent cx="7292340" cy="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92340" cy="5715"/>
                    </a:xfrm>
                    <a:prstGeom prst="rect">
                      <a:avLst/>
                    </a:prstGeom>
                    <a:noFill/>
                  </pic:spPr>
                </pic:pic>
              </a:graphicData>
            </a:graphic>
          </wp:anchor>
        </w:drawing>
        <w:drawing>
          <wp:anchor simplePos="0" relativeHeight="251657728" behindDoc="1" locked="0" layoutInCell="0" allowOverlap="1">
            <wp:simplePos x="0" y="0"/>
            <wp:positionH relativeFrom="column">
              <wp:posOffset>-12065</wp:posOffset>
            </wp:positionH>
            <wp:positionV relativeFrom="paragraph">
              <wp:posOffset>114300</wp:posOffset>
            </wp:positionV>
            <wp:extent cx="7329170" cy="368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203" w:right="199" w:bottom="1440" w:gutter="0" w:footer="0" w:header="0"/>
        </w:sectPr>
      </w:pPr>
    </w:p>
    <w:bookmarkStart w:id="1" w:name="page2"/>
    <w:bookmarkEnd w:id="1"/>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bl>
      <w:tblPr>
        <w:tblLayout w:type="fixed"/>
        <w:tblInd w:w="0" w:type="dxa"/>
        <w:tblCellMar>
          <w:top w:w="0" w:type="dxa"/>
          <w:left w:w="0" w:type="dxa"/>
          <w:bottom w:w="0" w:type="dxa"/>
          <w:right w:w="0" w:type="dxa"/>
        </w:tblCellMar>
      </w:tblPr>
      <w:tr>
        <w:trPr>
          <w:trHeight w:val="177"/>
        </w:trPr>
        <w:tc>
          <w:tcPr>
            <w:tcW w:w="840" w:type="dxa"/>
            <w:vAlign w:val="bottom"/>
            <w:tcBorders>
              <w:top w:val="single" w:sz="8" w:color="0000EE"/>
            </w:tcBorders>
          </w:tcPr>
          <w:p>
            <w:pPr>
              <w:spacing w:after="0"/>
              <w:rPr>
                <w:sz w:val="15"/>
                <w:szCs w:val="15"/>
                <w:color w:val="auto"/>
              </w:rPr>
            </w:pPr>
          </w:p>
        </w:tc>
        <w:tc>
          <w:tcPr>
            <w:tcW w:w="2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60" w:type="dxa"/>
            <w:vAlign w:val="bottom"/>
            <w:gridSpan w:val="5"/>
          </w:tcPr>
          <w:p>
            <w:pPr>
              <w:ind w:left="520"/>
              <w:spacing w:after="0"/>
              <w:rPr>
                <w:sz w:val="20"/>
                <w:szCs w:val="20"/>
                <w:color w:val="auto"/>
              </w:rPr>
            </w:pPr>
            <w:r>
              <w:rPr>
                <w:rFonts w:ascii="Arial" w:cs="Arial" w:eastAsia="Arial" w:hAnsi="Arial"/>
                <w:sz w:val="12"/>
                <w:szCs w:val="12"/>
                <w:b w:val="1"/>
                <w:bCs w:val="1"/>
                <w:color w:val="auto"/>
              </w:rPr>
              <w:t>Table of Contents</w:t>
            </w: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840" w:type="dxa"/>
            <w:vAlign w:val="bottom"/>
            <w:vMerge w:val="restart"/>
          </w:tcPr>
          <w:p>
            <w:pPr>
              <w:spacing w:after="0"/>
              <w:rPr>
                <w:sz w:val="20"/>
                <w:szCs w:val="20"/>
                <w:color w:val="auto"/>
              </w:rPr>
            </w:pPr>
            <w:r>
              <w:rPr>
                <w:rFonts w:ascii="Arial" w:cs="Arial" w:eastAsia="Arial" w:hAnsi="Arial"/>
                <w:sz w:val="12"/>
                <w:szCs w:val="12"/>
                <w:b w:val="1"/>
                <w:bCs w:val="1"/>
                <w:color w:val="auto"/>
              </w:rPr>
              <w:t>PART I</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300" w:type="dxa"/>
            <w:vAlign w:val="bottom"/>
          </w:tcPr>
          <w:p>
            <w:pPr>
              <w:spacing w:after="0"/>
              <w:rPr>
                <w:sz w:val="19"/>
                <w:szCs w:val="19"/>
                <w:color w:val="auto"/>
              </w:rPr>
            </w:pPr>
          </w:p>
        </w:tc>
        <w:tc>
          <w:tcPr>
            <w:tcW w:w="660" w:type="dxa"/>
            <w:vAlign w:val="bottom"/>
            <w:tcBorders>
              <w:bottom w:val="single" w:sz="8" w:color="auto"/>
            </w:tcBorders>
          </w:tcPr>
          <w:p>
            <w:pPr>
              <w:jc w:val="right"/>
              <w:ind w:right="181"/>
              <w:spacing w:after="0"/>
              <w:rPr>
                <w:sz w:val="20"/>
                <w:szCs w:val="20"/>
                <w:color w:val="auto"/>
              </w:rPr>
            </w:pPr>
            <w:r>
              <w:rPr>
                <w:rFonts w:ascii="Arial" w:cs="Arial" w:eastAsia="Arial" w:hAnsi="Arial"/>
                <w:sz w:val="10"/>
                <w:szCs w:val="10"/>
                <w:b w:val="1"/>
                <w:bCs w:val="1"/>
                <w:color w:val="auto"/>
              </w:rPr>
              <w:t>Page</w:t>
            </w:r>
          </w:p>
        </w:tc>
        <w:tc>
          <w:tcPr>
            <w:tcW w:w="0" w:type="dxa"/>
            <w:vAlign w:val="bottom"/>
          </w:tcPr>
          <w:p>
            <w:pPr>
              <w:spacing w:after="0"/>
              <w:rPr>
                <w:sz w:val="1"/>
                <w:szCs w:val="1"/>
                <w:color w:val="auto"/>
              </w:rPr>
            </w:pPr>
          </w:p>
        </w:tc>
      </w:tr>
      <w:tr>
        <w:trPr>
          <w:trHeight w:val="142"/>
        </w:trPr>
        <w:tc>
          <w:tcPr>
            <w:tcW w:w="84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840" w:type="dxa"/>
            <w:vAlign w:val="bottom"/>
          </w:tcPr>
          <w:p>
            <w:pPr>
              <w:ind w:left="80"/>
              <w:spacing w:after="0" w:line="126" w:lineRule="exact"/>
              <w:rPr>
                <w:sz w:val="20"/>
                <w:szCs w:val="20"/>
                <w:color w:val="auto"/>
              </w:rPr>
            </w:pPr>
            <w:r>
              <w:rPr>
                <w:rFonts w:ascii="Arial" w:cs="Arial" w:eastAsia="Arial" w:hAnsi="Arial"/>
                <w:sz w:val="12"/>
                <w:szCs w:val="12"/>
                <w:color w:val="auto"/>
              </w:rPr>
              <w:t>Item 1.</w:t>
            </w:r>
          </w:p>
        </w:tc>
        <w:tc>
          <w:tcPr>
            <w:tcW w:w="280" w:type="dxa"/>
            <w:vAlign w:val="bottom"/>
          </w:tcPr>
          <w:p>
            <w:pPr>
              <w:spacing w:after="0"/>
              <w:rPr>
                <w:sz w:val="10"/>
                <w:szCs w:val="10"/>
                <w:color w:val="auto"/>
              </w:rPr>
            </w:pPr>
          </w:p>
        </w:tc>
        <w:tc>
          <w:tcPr>
            <w:tcW w:w="440" w:type="dxa"/>
            <w:vAlign w:val="bottom"/>
            <w:tcBorders>
              <w:bottom w:val="single" w:sz="8" w:color="0000EE"/>
            </w:tcBorders>
          </w:tcPr>
          <w:p>
            <w:pPr>
              <w:spacing w:after="0" w:line="126" w:lineRule="exact"/>
              <w:rPr>
                <w:rFonts w:ascii="Arial" w:cs="Arial" w:eastAsia="Arial" w:hAnsi="Arial"/>
                <w:sz w:val="12"/>
                <w:szCs w:val="12"/>
                <w:color w:val="0000EE"/>
                <w:w w:val="86"/>
              </w:rPr>
            </w:pPr>
            <w:hyperlink w:anchor="page5">
              <w:r>
                <w:rPr>
                  <w:rFonts w:ascii="Arial" w:cs="Arial" w:eastAsia="Arial" w:hAnsi="Arial"/>
                  <w:sz w:val="12"/>
                  <w:szCs w:val="12"/>
                  <w:color w:val="0000EE"/>
                  <w:w w:val="86"/>
                </w:rPr>
                <w:t>Business</w:t>
              </w:r>
            </w:hyperlink>
          </w:p>
        </w:tc>
        <w:tc>
          <w:tcPr>
            <w:tcW w:w="9260" w:type="dxa"/>
            <w:vAlign w:val="bottom"/>
            <w:gridSpan w:val="20"/>
          </w:tcPr>
          <w:p>
            <w:pPr>
              <w:spacing w:after="0"/>
              <w:rPr>
                <w:sz w:val="10"/>
                <w:szCs w:val="10"/>
                <w:color w:val="auto"/>
              </w:rPr>
            </w:pPr>
          </w:p>
        </w:tc>
        <w:tc>
          <w:tcPr>
            <w:tcW w:w="660" w:type="dxa"/>
            <w:vAlign w:val="bottom"/>
          </w:tcPr>
          <w:p>
            <w:pPr>
              <w:jc w:val="right"/>
              <w:spacing w:after="0" w:line="126" w:lineRule="exact"/>
              <w:rPr>
                <w:sz w:val="20"/>
                <w:szCs w:val="20"/>
                <w:color w:val="auto"/>
              </w:rPr>
            </w:pPr>
            <w:r>
              <w:rPr>
                <w:rFonts w:ascii="Arial" w:cs="Arial" w:eastAsia="Arial" w:hAnsi="Arial"/>
                <w:sz w:val="12"/>
                <w:szCs w:val="12"/>
                <w:color w:val="auto"/>
              </w:rPr>
              <w:t>5</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1A.</w:t>
            </w:r>
          </w:p>
        </w:tc>
        <w:tc>
          <w:tcPr>
            <w:tcW w:w="280" w:type="dxa"/>
            <w:vAlign w:val="bottom"/>
          </w:tcPr>
          <w:p>
            <w:pPr>
              <w:spacing w:after="0"/>
              <w:rPr>
                <w:sz w:val="11"/>
                <w:szCs w:val="11"/>
                <w:color w:val="auto"/>
              </w:rPr>
            </w:pPr>
          </w:p>
        </w:tc>
        <w:tc>
          <w:tcPr>
            <w:tcW w:w="620" w:type="dxa"/>
            <w:vAlign w:val="bottom"/>
            <w:tcBorders>
              <w:bottom w:val="single" w:sz="8" w:color="0000EE"/>
            </w:tcBorders>
            <w:gridSpan w:val="3"/>
          </w:tcPr>
          <w:p>
            <w:pPr>
              <w:spacing w:after="0" w:line="133" w:lineRule="exact"/>
              <w:rPr>
                <w:rFonts w:ascii="Arial" w:cs="Arial" w:eastAsia="Arial" w:hAnsi="Arial"/>
                <w:sz w:val="12"/>
                <w:szCs w:val="12"/>
                <w:color w:val="0000EE"/>
                <w:w w:val="89"/>
              </w:rPr>
            </w:pPr>
            <w:hyperlink w:anchor="page13">
              <w:r>
                <w:rPr>
                  <w:rFonts w:ascii="Arial" w:cs="Arial" w:eastAsia="Arial" w:hAnsi="Arial"/>
                  <w:sz w:val="12"/>
                  <w:szCs w:val="12"/>
                  <w:color w:val="0000EE"/>
                  <w:w w:val="89"/>
                </w:rPr>
                <w:t>Risk Factors</w:t>
              </w:r>
            </w:hyperlink>
          </w:p>
        </w:tc>
        <w:tc>
          <w:tcPr>
            <w:tcW w:w="9080" w:type="dxa"/>
            <w:vAlign w:val="bottom"/>
            <w:gridSpan w:val="18"/>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13</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1B.</w:t>
            </w:r>
          </w:p>
        </w:tc>
        <w:tc>
          <w:tcPr>
            <w:tcW w:w="280" w:type="dxa"/>
            <w:vAlign w:val="bottom"/>
          </w:tcPr>
          <w:p>
            <w:pPr>
              <w:spacing w:after="0"/>
              <w:rPr>
                <w:sz w:val="11"/>
                <w:szCs w:val="11"/>
                <w:color w:val="auto"/>
              </w:rPr>
            </w:pPr>
          </w:p>
        </w:tc>
        <w:tc>
          <w:tcPr>
            <w:tcW w:w="1380" w:type="dxa"/>
            <w:vAlign w:val="bottom"/>
            <w:tcBorders>
              <w:bottom w:val="single" w:sz="8" w:color="0000EE"/>
            </w:tcBorders>
            <w:gridSpan w:val="10"/>
          </w:tcPr>
          <w:p>
            <w:pPr>
              <w:spacing w:after="0" w:line="133" w:lineRule="exact"/>
              <w:rPr>
                <w:rFonts w:ascii="Arial" w:cs="Arial" w:eastAsia="Arial" w:hAnsi="Arial"/>
                <w:sz w:val="12"/>
                <w:szCs w:val="12"/>
                <w:color w:val="0000EE"/>
                <w:w w:val="90"/>
              </w:rPr>
            </w:pPr>
            <w:hyperlink w:anchor="page22">
              <w:r>
                <w:rPr>
                  <w:rFonts w:ascii="Arial" w:cs="Arial" w:eastAsia="Arial" w:hAnsi="Arial"/>
                  <w:sz w:val="12"/>
                  <w:szCs w:val="12"/>
                  <w:color w:val="0000EE"/>
                  <w:w w:val="90"/>
                </w:rPr>
                <w:t>Unresolved Staff Comments</w:t>
              </w:r>
            </w:hyperlink>
          </w:p>
        </w:tc>
        <w:tc>
          <w:tcPr>
            <w:tcW w:w="8320" w:type="dxa"/>
            <w:vAlign w:val="bottom"/>
            <w:gridSpan w:val="11"/>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22</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2.</w:t>
            </w:r>
          </w:p>
        </w:tc>
        <w:tc>
          <w:tcPr>
            <w:tcW w:w="280" w:type="dxa"/>
            <w:vAlign w:val="bottom"/>
          </w:tcPr>
          <w:p>
            <w:pPr>
              <w:spacing w:after="0"/>
              <w:rPr>
                <w:sz w:val="11"/>
                <w:szCs w:val="11"/>
                <w:color w:val="auto"/>
              </w:rPr>
            </w:pPr>
          </w:p>
        </w:tc>
        <w:tc>
          <w:tcPr>
            <w:tcW w:w="500" w:type="dxa"/>
            <w:vAlign w:val="bottom"/>
            <w:tcBorders>
              <w:bottom w:val="single" w:sz="8" w:color="0000EE"/>
            </w:tcBorders>
            <w:gridSpan w:val="2"/>
          </w:tcPr>
          <w:p>
            <w:pPr>
              <w:spacing w:after="0" w:line="133" w:lineRule="exact"/>
              <w:rPr>
                <w:rFonts w:ascii="Arial" w:cs="Arial" w:eastAsia="Arial" w:hAnsi="Arial"/>
                <w:sz w:val="12"/>
                <w:szCs w:val="12"/>
                <w:color w:val="0000EE"/>
                <w:w w:val="87"/>
              </w:rPr>
            </w:pPr>
            <w:hyperlink w:anchor="page22">
              <w:r>
                <w:rPr>
                  <w:rFonts w:ascii="Arial" w:cs="Arial" w:eastAsia="Arial" w:hAnsi="Arial"/>
                  <w:sz w:val="12"/>
                  <w:szCs w:val="12"/>
                  <w:color w:val="0000EE"/>
                  <w:w w:val="87"/>
                </w:rPr>
                <w:t>Properties</w:t>
              </w:r>
            </w:hyperlink>
          </w:p>
        </w:tc>
        <w:tc>
          <w:tcPr>
            <w:tcW w:w="9200" w:type="dxa"/>
            <w:vAlign w:val="bottom"/>
            <w:gridSpan w:val="19"/>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22</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3.</w:t>
            </w:r>
          </w:p>
        </w:tc>
        <w:tc>
          <w:tcPr>
            <w:tcW w:w="280" w:type="dxa"/>
            <w:vAlign w:val="bottom"/>
          </w:tcPr>
          <w:p>
            <w:pPr>
              <w:spacing w:after="0"/>
              <w:rPr>
                <w:sz w:val="11"/>
                <w:szCs w:val="11"/>
                <w:color w:val="auto"/>
              </w:rPr>
            </w:pPr>
          </w:p>
        </w:tc>
        <w:tc>
          <w:tcPr>
            <w:tcW w:w="900" w:type="dxa"/>
            <w:vAlign w:val="bottom"/>
            <w:tcBorders>
              <w:bottom w:val="single" w:sz="8" w:color="0000EE"/>
            </w:tcBorders>
            <w:gridSpan w:val="5"/>
          </w:tcPr>
          <w:p>
            <w:pPr>
              <w:spacing w:after="0" w:line="133" w:lineRule="exact"/>
              <w:rPr>
                <w:rFonts w:ascii="Arial" w:cs="Arial" w:eastAsia="Arial" w:hAnsi="Arial"/>
                <w:sz w:val="12"/>
                <w:szCs w:val="12"/>
                <w:color w:val="0000EE"/>
                <w:w w:val="88"/>
              </w:rPr>
            </w:pPr>
            <w:hyperlink w:anchor="page25">
              <w:r>
                <w:rPr>
                  <w:rFonts w:ascii="Arial" w:cs="Arial" w:eastAsia="Arial" w:hAnsi="Arial"/>
                  <w:sz w:val="12"/>
                  <w:szCs w:val="12"/>
                  <w:color w:val="0000EE"/>
                  <w:w w:val="88"/>
                </w:rPr>
                <w:t>Legal Proceedings</w:t>
              </w:r>
            </w:hyperlink>
          </w:p>
        </w:tc>
        <w:tc>
          <w:tcPr>
            <w:tcW w:w="8800" w:type="dxa"/>
            <w:vAlign w:val="bottom"/>
            <w:gridSpan w:val="16"/>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25</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4.</w:t>
            </w:r>
          </w:p>
        </w:tc>
        <w:tc>
          <w:tcPr>
            <w:tcW w:w="280" w:type="dxa"/>
            <w:vAlign w:val="bottom"/>
          </w:tcPr>
          <w:p>
            <w:pPr>
              <w:spacing w:after="0"/>
              <w:rPr>
                <w:sz w:val="11"/>
                <w:szCs w:val="11"/>
                <w:color w:val="auto"/>
              </w:rPr>
            </w:pPr>
          </w:p>
        </w:tc>
        <w:tc>
          <w:tcPr>
            <w:tcW w:w="9700" w:type="dxa"/>
            <w:vAlign w:val="bottom"/>
            <w:gridSpan w:val="21"/>
          </w:tcPr>
          <w:p>
            <w:pPr>
              <w:spacing w:after="0" w:line="133" w:lineRule="exact"/>
              <w:rPr>
                <w:rFonts w:ascii="Arial" w:cs="Arial" w:eastAsia="Arial" w:hAnsi="Arial"/>
                <w:sz w:val="12"/>
                <w:szCs w:val="12"/>
                <w:color w:val="0000EE"/>
              </w:rPr>
            </w:pPr>
            <w:hyperlink w:anchor="page26">
              <w:r>
                <w:rPr>
                  <w:rFonts w:ascii="Arial" w:cs="Arial" w:eastAsia="Arial" w:hAnsi="Arial"/>
                  <w:sz w:val="12"/>
                  <w:szCs w:val="12"/>
                  <w:color w:val="0000EE"/>
                </w:rPr>
                <w:t>Mine Safety Disclosures</w:t>
              </w:r>
            </w:hyperlink>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26</w:t>
            </w:r>
          </w:p>
        </w:tc>
        <w:tc>
          <w:tcPr>
            <w:tcW w:w="0" w:type="dxa"/>
            <w:vAlign w:val="bottom"/>
          </w:tcPr>
          <w:p>
            <w:pPr>
              <w:spacing w:after="0"/>
              <w:rPr>
                <w:sz w:val="1"/>
                <w:szCs w:val="1"/>
                <w:color w:val="auto"/>
              </w:rPr>
            </w:pPr>
          </w:p>
        </w:tc>
      </w:tr>
      <w:tr>
        <w:trPr>
          <w:trHeight w:val="250"/>
        </w:trPr>
        <w:tc>
          <w:tcPr>
            <w:tcW w:w="840" w:type="dxa"/>
            <w:vAlign w:val="bottom"/>
          </w:tcPr>
          <w:p>
            <w:pPr>
              <w:spacing w:after="0"/>
              <w:rPr>
                <w:sz w:val="20"/>
                <w:szCs w:val="20"/>
                <w:color w:val="auto"/>
              </w:rPr>
            </w:pPr>
            <w:r>
              <w:rPr>
                <w:rFonts w:ascii="Arial" w:cs="Arial" w:eastAsia="Arial" w:hAnsi="Arial"/>
                <w:sz w:val="12"/>
                <w:szCs w:val="12"/>
                <w:b w:val="1"/>
                <w:bCs w:val="1"/>
                <w:color w:val="auto"/>
              </w:rPr>
              <w:t>PART II</w:t>
            </w:r>
          </w:p>
        </w:tc>
        <w:tc>
          <w:tcPr>
            <w:tcW w:w="280" w:type="dxa"/>
            <w:vAlign w:val="bottom"/>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60" w:type="dxa"/>
            <w:vAlign w:val="bottom"/>
            <w:tcBorders>
              <w:top w:val="single" w:sz="8" w:color="0000EE"/>
            </w:tcBorders>
          </w:tcPr>
          <w:p>
            <w:pPr>
              <w:spacing w:after="0"/>
              <w:rPr>
                <w:sz w:val="21"/>
                <w:szCs w:val="21"/>
                <w:color w:val="auto"/>
              </w:rPr>
            </w:pPr>
          </w:p>
        </w:tc>
        <w:tc>
          <w:tcPr>
            <w:tcW w:w="120" w:type="dxa"/>
            <w:vAlign w:val="bottom"/>
            <w:tcBorders>
              <w:top w:val="single" w:sz="8" w:color="0000EE"/>
            </w:tcBorders>
          </w:tcPr>
          <w:p>
            <w:pPr>
              <w:spacing w:after="0"/>
              <w:rPr>
                <w:sz w:val="21"/>
                <w:szCs w:val="21"/>
                <w:color w:val="auto"/>
              </w:rPr>
            </w:pPr>
          </w:p>
        </w:tc>
        <w:tc>
          <w:tcPr>
            <w:tcW w:w="26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1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3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840" w:type="dxa"/>
            <w:vAlign w:val="bottom"/>
          </w:tcPr>
          <w:p>
            <w:pPr>
              <w:ind w:left="80"/>
              <w:spacing w:after="0" w:line="126" w:lineRule="exact"/>
              <w:rPr>
                <w:sz w:val="20"/>
                <w:szCs w:val="20"/>
                <w:color w:val="auto"/>
              </w:rPr>
            </w:pPr>
            <w:r>
              <w:rPr>
                <w:rFonts w:ascii="Arial" w:cs="Arial" w:eastAsia="Arial" w:hAnsi="Arial"/>
                <w:sz w:val="12"/>
                <w:szCs w:val="12"/>
                <w:color w:val="auto"/>
              </w:rPr>
              <w:t>Item 5.</w:t>
            </w:r>
          </w:p>
        </w:tc>
        <w:tc>
          <w:tcPr>
            <w:tcW w:w="280" w:type="dxa"/>
            <w:vAlign w:val="bottom"/>
          </w:tcPr>
          <w:p>
            <w:pPr>
              <w:spacing w:after="0"/>
              <w:rPr>
                <w:sz w:val="10"/>
                <w:szCs w:val="10"/>
                <w:color w:val="auto"/>
              </w:rPr>
            </w:pPr>
          </w:p>
        </w:tc>
        <w:tc>
          <w:tcPr>
            <w:tcW w:w="5400" w:type="dxa"/>
            <w:vAlign w:val="bottom"/>
            <w:tcBorders>
              <w:bottom w:val="single" w:sz="8" w:color="0000EE"/>
            </w:tcBorders>
            <w:gridSpan w:val="20"/>
          </w:tcPr>
          <w:p>
            <w:pPr>
              <w:spacing w:after="0" w:line="126" w:lineRule="exact"/>
              <w:rPr>
                <w:rFonts w:ascii="Arial" w:cs="Arial" w:eastAsia="Arial" w:hAnsi="Arial"/>
                <w:sz w:val="12"/>
                <w:szCs w:val="12"/>
                <w:color w:val="0000EE"/>
                <w:w w:val="90"/>
              </w:rPr>
            </w:pPr>
            <w:hyperlink w:anchor="page27">
              <w:r>
                <w:rPr>
                  <w:rFonts w:ascii="Arial" w:cs="Arial" w:eastAsia="Arial" w:hAnsi="Arial"/>
                  <w:sz w:val="12"/>
                  <w:szCs w:val="12"/>
                  <w:color w:val="0000EE"/>
                  <w:w w:val="90"/>
                </w:rPr>
                <w:t>Market for Registrant’s Common Equity, Related Stockholder Matters and Issuer Purchases of Equity Securities</w:t>
              </w:r>
            </w:hyperlink>
          </w:p>
        </w:tc>
        <w:tc>
          <w:tcPr>
            <w:tcW w:w="4300" w:type="dxa"/>
            <w:vAlign w:val="bottom"/>
          </w:tcPr>
          <w:p>
            <w:pPr>
              <w:spacing w:after="0"/>
              <w:rPr>
                <w:sz w:val="10"/>
                <w:szCs w:val="10"/>
                <w:color w:val="auto"/>
              </w:rPr>
            </w:pPr>
          </w:p>
        </w:tc>
        <w:tc>
          <w:tcPr>
            <w:tcW w:w="660" w:type="dxa"/>
            <w:vAlign w:val="bottom"/>
          </w:tcPr>
          <w:p>
            <w:pPr>
              <w:jc w:val="right"/>
              <w:spacing w:after="0" w:line="126" w:lineRule="exact"/>
              <w:rPr>
                <w:sz w:val="20"/>
                <w:szCs w:val="20"/>
                <w:color w:val="auto"/>
              </w:rPr>
            </w:pPr>
            <w:r>
              <w:rPr>
                <w:rFonts w:ascii="Arial" w:cs="Arial" w:eastAsia="Arial" w:hAnsi="Arial"/>
                <w:sz w:val="12"/>
                <w:szCs w:val="12"/>
                <w:color w:val="auto"/>
              </w:rPr>
              <w:t>27</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6.</w:t>
            </w:r>
          </w:p>
        </w:tc>
        <w:tc>
          <w:tcPr>
            <w:tcW w:w="280" w:type="dxa"/>
            <w:vAlign w:val="bottom"/>
          </w:tcPr>
          <w:p>
            <w:pPr>
              <w:spacing w:after="0"/>
              <w:rPr>
                <w:sz w:val="11"/>
                <w:szCs w:val="11"/>
                <w:color w:val="auto"/>
              </w:rPr>
            </w:pPr>
          </w:p>
        </w:tc>
        <w:tc>
          <w:tcPr>
            <w:tcW w:w="9700" w:type="dxa"/>
            <w:vAlign w:val="bottom"/>
            <w:gridSpan w:val="21"/>
          </w:tcPr>
          <w:p>
            <w:pPr>
              <w:spacing w:after="0" w:line="133" w:lineRule="exact"/>
              <w:rPr>
                <w:rFonts w:ascii="Arial" w:cs="Arial" w:eastAsia="Arial" w:hAnsi="Arial"/>
                <w:sz w:val="12"/>
                <w:szCs w:val="12"/>
                <w:color w:val="0000EE"/>
              </w:rPr>
            </w:pPr>
            <w:hyperlink w:anchor="page29">
              <w:r>
                <w:rPr>
                  <w:rFonts w:ascii="Arial" w:cs="Arial" w:eastAsia="Arial" w:hAnsi="Arial"/>
                  <w:sz w:val="12"/>
                  <w:szCs w:val="12"/>
                  <w:color w:val="0000EE"/>
                </w:rPr>
                <w:t>Selected Financial Data</w:t>
              </w:r>
            </w:hyperlink>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29</w:t>
            </w: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gridSpan w:val="4"/>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2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7.</w:t>
            </w:r>
          </w:p>
        </w:tc>
        <w:tc>
          <w:tcPr>
            <w:tcW w:w="280" w:type="dxa"/>
            <w:vAlign w:val="bottom"/>
          </w:tcPr>
          <w:p>
            <w:pPr>
              <w:spacing w:after="0"/>
              <w:rPr>
                <w:sz w:val="11"/>
                <w:szCs w:val="11"/>
                <w:color w:val="auto"/>
              </w:rPr>
            </w:pPr>
          </w:p>
        </w:tc>
        <w:tc>
          <w:tcPr>
            <w:tcW w:w="4320" w:type="dxa"/>
            <w:vAlign w:val="bottom"/>
            <w:tcBorders>
              <w:bottom w:val="single" w:sz="8" w:color="0000EE"/>
            </w:tcBorders>
            <w:gridSpan w:val="17"/>
          </w:tcPr>
          <w:p>
            <w:pPr>
              <w:spacing w:after="0" w:line="133" w:lineRule="exact"/>
              <w:rPr>
                <w:rFonts w:ascii="Arial" w:cs="Arial" w:eastAsia="Arial" w:hAnsi="Arial"/>
                <w:sz w:val="12"/>
                <w:szCs w:val="12"/>
                <w:color w:val="0000EE"/>
                <w:w w:val="91"/>
              </w:rPr>
            </w:pPr>
            <w:hyperlink w:anchor="page30">
              <w:r>
                <w:rPr>
                  <w:rFonts w:ascii="Arial" w:cs="Arial" w:eastAsia="Arial" w:hAnsi="Arial"/>
                  <w:sz w:val="12"/>
                  <w:szCs w:val="12"/>
                  <w:color w:val="0000EE"/>
                  <w:w w:val="91"/>
                </w:rPr>
                <w:t>Management’s Discussion and Analysis of Financial Condition and Results of Operations</w:t>
              </w:r>
            </w:hyperlink>
          </w:p>
        </w:tc>
        <w:tc>
          <w:tcPr>
            <w:tcW w:w="5380" w:type="dxa"/>
            <w:vAlign w:val="bottom"/>
            <w:gridSpan w:val="4"/>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30</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7A.</w:t>
            </w:r>
          </w:p>
        </w:tc>
        <w:tc>
          <w:tcPr>
            <w:tcW w:w="280" w:type="dxa"/>
            <w:vAlign w:val="bottom"/>
          </w:tcPr>
          <w:p>
            <w:pPr>
              <w:spacing w:after="0"/>
              <w:rPr>
                <w:sz w:val="11"/>
                <w:szCs w:val="11"/>
                <w:color w:val="auto"/>
              </w:rPr>
            </w:pPr>
          </w:p>
        </w:tc>
        <w:tc>
          <w:tcPr>
            <w:tcW w:w="2920" w:type="dxa"/>
            <w:vAlign w:val="bottom"/>
            <w:tcBorders>
              <w:bottom w:val="single" w:sz="8" w:color="0000EE"/>
            </w:tcBorders>
            <w:gridSpan w:val="15"/>
          </w:tcPr>
          <w:p>
            <w:pPr>
              <w:spacing w:after="0" w:line="133" w:lineRule="exact"/>
              <w:rPr>
                <w:rFonts w:ascii="Arial" w:cs="Arial" w:eastAsia="Arial" w:hAnsi="Arial"/>
                <w:sz w:val="12"/>
                <w:szCs w:val="12"/>
                <w:color w:val="0000EE"/>
                <w:w w:val="92"/>
              </w:rPr>
            </w:pPr>
            <w:hyperlink w:anchor="page53">
              <w:r>
                <w:rPr>
                  <w:rFonts w:ascii="Arial" w:cs="Arial" w:eastAsia="Arial" w:hAnsi="Arial"/>
                  <w:sz w:val="12"/>
                  <w:szCs w:val="12"/>
                  <w:color w:val="0000EE"/>
                  <w:w w:val="92"/>
                </w:rPr>
                <w:t>Quantitative and Qualitative Disclosures About Market Risk</w:t>
              </w:r>
            </w:hyperlink>
          </w:p>
        </w:tc>
        <w:tc>
          <w:tcPr>
            <w:tcW w:w="6780" w:type="dxa"/>
            <w:vAlign w:val="bottom"/>
            <w:gridSpan w:val="6"/>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53</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8.</w:t>
            </w:r>
          </w:p>
        </w:tc>
        <w:tc>
          <w:tcPr>
            <w:tcW w:w="280" w:type="dxa"/>
            <w:vAlign w:val="bottom"/>
          </w:tcPr>
          <w:p>
            <w:pPr>
              <w:spacing w:after="0"/>
              <w:rPr>
                <w:sz w:val="11"/>
                <w:szCs w:val="11"/>
                <w:color w:val="auto"/>
              </w:rPr>
            </w:pPr>
          </w:p>
        </w:tc>
        <w:tc>
          <w:tcPr>
            <w:tcW w:w="9700" w:type="dxa"/>
            <w:vAlign w:val="bottom"/>
            <w:gridSpan w:val="21"/>
          </w:tcPr>
          <w:p>
            <w:pPr>
              <w:spacing w:after="0" w:line="133" w:lineRule="exact"/>
              <w:rPr>
                <w:rFonts w:ascii="Arial" w:cs="Arial" w:eastAsia="Arial" w:hAnsi="Arial"/>
                <w:sz w:val="12"/>
                <w:szCs w:val="12"/>
                <w:color w:val="0000EE"/>
              </w:rPr>
            </w:pPr>
            <w:hyperlink w:anchor="page55">
              <w:r>
                <w:rPr>
                  <w:rFonts w:ascii="Arial" w:cs="Arial" w:eastAsia="Arial" w:hAnsi="Arial"/>
                  <w:sz w:val="12"/>
                  <w:szCs w:val="12"/>
                  <w:color w:val="0000EE"/>
                </w:rPr>
                <w:t>Financial Statements and Supplementary Data</w:t>
              </w:r>
            </w:hyperlink>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55</w:t>
            </w: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gridSpan w:val="4"/>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2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9.</w:t>
            </w:r>
          </w:p>
        </w:tc>
        <w:tc>
          <w:tcPr>
            <w:tcW w:w="280" w:type="dxa"/>
            <w:vAlign w:val="bottom"/>
          </w:tcPr>
          <w:p>
            <w:pPr>
              <w:spacing w:after="0"/>
              <w:rPr>
                <w:sz w:val="11"/>
                <w:szCs w:val="11"/>
                <w:color w:val="auto"/>
              </w:rPr>
            </w:pPr>
          </w:p>
        </w:tc>
        <w:tc>
          <w:tcPr>
            <w:tcW w:w="9700" w:type="dxa"/>
            <w:vAlign w:val="bottom"/>
            <w:gridSpan w:val="21"/>
          </w:tcPr>
          <w:p>
            <w:pPr>
              <w:spacing w:after="0" w:line="133" w:lineRule="exact"/>
              <w:rPr>
                <w:rFonts w:ascii="Arial" w:cs="Arial" w:eastAsia="Arial" w:hAnsi="Arial"/>
                <w:sz w:val="12"/>
                <w:szCs w:val="12"/>
                <w:color w:val="0000EE"/>
              </w:rPr>
            </w:pPr>
            <w:hyperlink w:anchor="page106">
              <w:r>
                <w:rPr>
                  <w:rFonts w:ascii="Arial" w:cs="Arial" w:eastAsia="Arial" w:hAnsi="Arial"/>
                  <w:sz w:val="12"/>
                  <w:szCs w:val="12"/>
                  <w:color w:val="0000EE"/>
                </w:rPr>
                <w:t>Changes in and Disagreements With Accountants on Accounting and Financial Disclosure</w:t>
              </w:r>
            </w:hyperlink>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106</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9A.</w:t>
            </w:r>
          </w:p>
        </w:tc>
        <w:tc>
          <w:tcPr>
            <w:tcW w:w="280" w:type="dxa"/>
            <w:vAlign w:val="bottom"/>
          </w:tcPr>
          <w:p>
            <w:pPr>
              <w:spacing w:after="0"/>
              <w:rPr>
                <w:sz w:val="11"/>
                <w:szCs w:val="11"/>
                <w:color w:val="auto"/>
              </w:rPr>
            </w:pPr>
          </w:p>
        </w:tc>
        <w:tc>
          <w:tcPr>
            <w:tcW w:w="4340" w:type="dxa"/>
            <w:vAlign w:val="bottom"/>
            <w:tcBorders>
              <w:top w:val="single" w:sz="8" w:color="0000EE"/>
            </w:tcBorders>
            <w:gridSpan w:val="18"/>
          </w:tcPr>
          <w:p>
            <w:pPr>
              <w:spacing w:after="0" w:line="133" w:lineRule="exact"/>
              <w:rPr>
                <w:rFonts w:ascii="Arial" w:cs="Arial" w:eastAsia="Arial" w:hAnsi="Arial"/>
                <w:sz w:val="12"/>
                <w:szCs w:val="12"/>
                <w:color w:val="0000EE"/>
              </w:rPr>
            </w:pPr>
            <w:hyperlink w:anchor="page106">
              <w:r>
                <w:rPr>
                  <w:rFonts w:ascii="Arial" w:cs="Arial" w:eastAsia="Arial" w:hAnsi="Arial"/>
                  <w:sz w:val="12"/>
                  <w:szCs w:val="12"/>
                  <w:color w:val="0000EE"/>
                </w:rPr>
                <w:t>Controls and Procedures</w:t>
              </w:r>
            </w:hyperlink>
          </w:p>
        </w:tc>
        <w:tc>
          <w:tcPr>
            <w:tcW w:w="5360" w:type="dxa"/>
            <w:vAlign w:val="bottom"/>
            <w:gridSpan w:val="3"/>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106</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9B.</w:t>
            </w:r>
          </w:p>
        </w:tc>
        <w:tc>
          <w:tcPr>
            <w:tcW w:w="280" w:type="dxa"/>
            <w:vAlign w:val="bottom"/>
          </w:tcPr>
          <w:p>
            <w:pPr>
              <w:spacing w:after="0"/>
              <w:rPr>
                <w:sz w:val="11"/>
                <w:szCs w:val="11"/>
                <w:color w:val="auto"/>
              </w:rPr>
            </w:pPr>
          </w:p>
        </w:tc>
        <w:tc>
          <w:tcPr>
            <w:tcW w:w="1180" w:type="dxa"/>
            <w:vAlign w:val="bottom"/>
            <w:tcBorders>
              <w:top w:val="single" w:sz="8" w:color="0000EE"/>
            </w:tcBorders>
            <w:gridSpan w:val="8"/>
          </w:tcPr>
          <w:p>
            <w:pPr>
              <w:spacing w:after="0" w:line="133" w:lineRule="exact"/>
              <w:rPr>
                <w:rFonts w:ascii="Arial" w:cs="Arial" w:eastAsia="Arial" w:hAnsi="Arial"/>
                <w:sz w:val="12"/>
                <w:szCs w:val="12"/>
                <w:color w:val="0000EE"/>
              </w:rPr>
            </w:pPr>
            <w:hyperlink w:anchor="page107">
              <w:r>
                <w:rPr>
                  <w:rFonts w:ascii="Arial" w:cs="Arial" w:eastAsia="Arial" w:hAnsi="Arial"/>
                  <w:sz w:val="12"/>
                  <w:szCs w:val="12"/>
                  <w:color w:val="0000EE"/>
                </w:rPr>
                <w:t>Other Information</w:t>
              </w:r>
            </w:hyperlink>
          </w:p>
        </w:tc>
        <w:tc>
          <w:tcPr>
            <w:tcW w:w="8520" w:type="dxa"/>
            <w:vAlign w:val="bottom"/>
            <w:gridSpan w:val="13"/>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107</w:t>
            </w:r>
          </w:p>
        </w:tc>
        <w:tc>
          <w:tcPr>
            <w:tcW w:w="0" w:type="dxa"/>
            <w:vAlign w:val="bottom"/>
          </w:tcPr>
          <w:p>
            <w:pPr>
              <w:spacing w:after="0"/>
              <w:rPr>
                <w:sz w:val="1"/>
                <w:szCs w:val="1"/>
                <w:color w:val="auto"/>
              </w:rPr>
            </w:pPr>
          </w:p>
        </w:tc>
      </w:tr>
      <w:tr>
        <w:trPr>
          <w:trHeight w:val="250"/>
        </w:trPr>
        <w:tc>
          <w:tcPr>
            <w:tcW w:w="840" w:type="dxa"/>
            <w:vAlign w:val="bottom"/>
          </w:tcPr>
          <w:p>
            <w:pPr>
              <w:spacing w:after="0"/>
              <w:rPr>
                <w:sz w:val="20"/>
                <w:szCs w:val="20"/>
                <w:color w:val="auto"/>
              </w:rPr>
            </w:pPr>
            <w:r>
              <w:rPr>
                <w:rFonts w:ascii="Arial" w:cs="Arial" w:eastAsia="Arial" w:hAnsi="Arial"/>
                <w:sz w:val="12"/>
                <w:szCs w:val="12"/>
                <w:b w:val="1"/>
                <w:bCs w:val="1"/>
                <w:color w:val="auto"/>
              </w:rPr>
              <w:t>PART III</w:t>
            </w:r>
          </w:p>
        </w:tc>
        <w:tc>
          <w:tcPr>
            <w:tcW w:w="280" w:type="dxa"/>
            <w:vAlign w:val="bottom"/>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60" w:type="dxa"/>
            <w:vAlign w:val="bottom"/>
            <w:tcBorders>
              <w:top w:val="single" w:sz="8" w:color="0000EE"/>
            </w:tcBorders>
          </w:tcPr>
          <w:p>
            <w:pPr>
              <w:spacing w:after="0"/>
              <w:rPr>
                <w:sz w:val="21"/>
                <w:szCs w:val="21"/>
                <w:color w:val="auto"/>
              </w:rPr>
            </w:pPr>
          </w:p>
        </w:tc>
        <w:tc>
          <w:tcPr>
            <w:tcW w:w="120" w:type="dxa"/>
            <w:vAlign w:val="bottom"/>
            <w:tcBorders>
              <w:top w:val="single" w:sz="8" w:color="0000EE"/>
            </w:tcBorders>
          </w:tcPr>
          <w:p>
            <w:pPr>
              <w:spacing w:after="0"/>
              <w:rPr>
                <w:sz w:val="21"/>
                <w:szCs w:val="21"/>
                <w:color w:val="auto"/>
              </w:rPr>
            </w:pPr>
          </w:p>
        </w:tc>
        <w:tc>
          <w:tcPr>
            <w:tcW w:w="26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3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840" w:type="dxa"/>
            <w:vAlign w:val="bottom"/>
          </w:tcPr>
          <w:p>
            <w:pPr>
              <w:ind w:left="80"/>
              <w:spacing w:after="0" w:line="126" w:lineRule="exact"/>
              <w:rPr>
                <w:sz w:val="20"/>
                <w:szCs w:val="20"/>
                <w:color w:val="auto"/>
              </w:rPr>
            </w:pPr>
            <w:r>
              <w:rPr>
                <w:rFonts w:ascii="Arial" w:cs="Arial" w:eastAsia="Arial" w:hAnsi="Arial"/>
                <w:sz w:val="12"/>
                <w:szCs w:val="12"/>
                <w:color w:val="auto"/>
              </w:rPr>
              <w:t>Item 10.</w:t>
            </w:r>
          </w:p>
        </w:tc>
        <w:tc>
          <w:tcPr>
            <w:tcW w:w="280" w:type="dxa"/>
            <w:vAlign w:val="bottom"/>
          </w:tcPr>
          <w:p>
            <w:pPr>
              <w:spacing w:after="0"/>
              <w:rPr>
                <w:sz w:val="10"/>
                <w:szCs w:val="10"/>
                <w:color w:val="auto"/>
              </w:rPr>
            </w:pPr>
          </w:p>
        </w:tc>
        <w:tc>
          <w:tcPr>
            <w:tcW w:w="2740" w:type="dxa"/>
            <w:vAlign w:val="bottom"/>
            <w:tcBorders>
              <w:bottom w:val="single" w:sz="8" w:color="0000EE"/>
            </w:tcBorders>
            <w:gridSpan w:val="14"/>
          </w:tcPr>
          <w:p>
            <w:pPr>
              <w:spacing w:after="0" w:line="126" w:lineRule="exact"/>
              <w:rPr>
                <w:rFonts w:ascii="Arial" w:cs="Arial" w:eastAsia="Arial" w:hAnsi="Arial"/>
                <w:sz w:val="12"/>
                <w:szCs w:val="12"/>
                <w:color w:val="0000EE"/>
                <w:w w:val="90"/>
              </w:rPr>
            </w:pPr>
            <w:hyperlink w:anchor="page108">
              <w:r>
                <w:rPr>
                  <w:rFonts w:ascii="Arial" w:cs="Arial" w:eastAsia="Arial" w:hAnsi="Arial"/>
                  <w:sz w:val="12"/>
                  <w:szCs w:val="12"/>
                  <w:color w:val="0000EE"/>
                  <w:w w:val="90"/>
                </w:rPr>
                <w:t>Directors, Executive Officers and Corporate Governance</w:t>
              </w:r>
            </w:hyperlink>
          </w:p>
        </w:tc>
        <w:tc>
          <w:tcPr>
            <w:tcW w:w="6960" w:type="dxa"/>
            <w:vAlign w:val="bottom"/>
            <w:gridSpan w:val="7"/>
          </w:tcPr>
          <w:p>
            <w:pPr>
              <w:spacing w:after="0"/>
              <w:rPr>
                <w:sz w:val="10"/>
                <w:szCs w:val="10"/>
                <w:color w:val="auto"/>
              </w:rPr>
            </w:pPr>
          </w:p>
        </w:tc>
        <w:tc>
          <w:tcPr>
            <w:tcW w:w="660" w:type="dxa"/>
            <w:vAlign w:val="bottom"/>
          </w:tcPr>
          <w:p>
            <w:pPr>
              <w:jc w:val="right"/>
              <w:spacing w:after="0" w:line="126" w:lineRule="exact"/>
              <w:rPr>
                <w:sz w:val="20"/>
                <w:szCs w:val="20"/>
                <w:color w:val="auto"/>
              </w:rPr>
            </w:pPr>
            <w:r>
              <w:rPr>
                <w:rFonts w:ascii="Arial" w:cs="Arial" w:eastAsia="Arial" w:hAnsi="Arial"/>
                <w:sz w:val="12"/>
                <w:szCs w:val="12"/>
                <w:color w:val="auto"/>
              </w:rPr>
              <w:t>108</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11.</w:t>
            </w:r>
          </w:p>
        </w:tc>
        <w:tc>
          <w:tcPr>
            <w:tcW w:w="280" w:type="dxa"/>
            <w:vAlign w:val="bottom"/>
          </w:tcPr>
          <w:p>
            <w:pPr>
              <w:spacing w:after="0"/>
              <w:rPr>
                <w:sz w:val="11"/>
                <w:szCs w:val="11"/>
                <w:color w:val="auto"/>
              </w:rPr>
            </w:pPr>
          </w:p>
        </w:tc>
        <w:tc>
          <w:tcPr>
            <w:tcW w:w="1220" w:type="dxa"/>
            <w:vAlign w:val="bottom"/>
            <w:tcBorders>
              <w:bottom w:val="single" w:sz="8" w:color="0000EE"/>
            </w:tcBorders>
            <w:gridSpan w:val="9"/>
          </w:tcPr>
          <w:p>
            <w:pPr>
              <w:spacing w:after="0" w:line="133" w:lineRule="exact"/>
              <w:rPr>
                <w:rFonts w:ascii="Arial" w:cs="Arial" w:eastAsia="Arial" w:hAnsi="Arial"/>
                <w:sz w:val="12"/>
                <w:szCs w:val="12"/>
                <w:color w:val="0000EE"/>
                <w:w w:val="90"/>
              </w:rPr>
            </w:pPr>
            <w:hyperlink w:anchor="page108">
              <w:r>
                <w:rPr>
                  <w:rFonts w:ascii="Arial" w:cs="Arial" w:eastAsia="Arial" w:hAnsi="Arial"/>
                  <w:sz w:val="12"/>
                  <w:szCs w:val="12"/>
                  <w:color w:val="0000EE"/>
                  <w:w w:val="90"/>
                </w:rPr>
                <w:t>Executive Compensation</w:t>
              </w:r>
            </w:hyperlink>
          </w:p>
        </w:tc>
        <w:tc>
          <w:tcPr>
            <w:tcW w:w="8480" w:type="dxa"/>
            <w:vAlign w:val="bottom"/>
            <w:gridSpan w:val="12"/>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108</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12.</w:t>
            </w:r>
          </w:p>
        </w:tc>
        <w:tc>
          <w:tcPr>
            <w:tcW w:w="280" w:type="dxa"/>
            <w:vAlign w:val="bottom"/>
          </w:tcPr>
          <w:p>
            <w:pPr>
              <w:spacing w:after="0"/>
              <w:rPr>
                <w:sz w:val="11"/>
                <w:szCs w:val="11"/>
                <w:color w:val="auto"/>
              </w:rPr>
            </w:pPr>
          </w:p>
        </w:tc>
        <w:tc>
          <w:tcPr>
            <w:tcW w:w="4880" w:type="dxa"/>
            <w:vAlign w:val="bottom"/>
            <w:tcBorders>
              <w:bottom w:val="single" w:sz="8" w:color="0000EE"/>
            </w:tcBorders>
            <w:gridSpan w:val="19"/>
          </w:tcPr>
          <w:p>
            <w:pPr>
              <w:spacing w:after="0" w:line="133" w:lineRule="exact"/>
              <w:rPr>
                <w:rFonts w:ascii="Arial" w:cs="Arial" w:eastAsia="Arial" w:hAnsi="Arial"/>
                <w:sz w:val="12"/>
                <w:szCs w:val="12"/>
                <w:color w:val="0000EE"/>
                <w:w w:val="90"/>
              </w:rPr>
            </w:pPr>
            <w:hyperlink w:anchor="page108">
              <w:r>
                <w:rPr>
                  <w:rFonts w:ascii="Arial" w:cs="Arial" w:eastAsia="Arial" w:hAnsi="Arial"/>
                  <w:sz w:val="12"/>
                  <w:szCs w:val="12"/>
                  <w:color w:val="0000EE"/>
                  <w:w w:val="90"/>
                </w:rPr>
                <w:t>Security Ownership of Certain Beneficial Owners and Management and Related Stockholder Matters</w:t>
              </w:r>
            </w:hyperlink>
          </w:p>
        </w:tc>
        <w:tc>
          <w:tcPr>
            <w:tcW w:w="4820" w:type="dxa"/>
            <w:vAlign w:val="bottom"/>
            <w:gridSpan w:val="2"/>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108</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13.</w:t>
            </w:r>
          </w:p>
        </w:tc>
        <w:tc>
          <w:tcPr>
            <w:tcW w:w="280" w:type="dxa"/>
            <w:vAlign w:val="bottom"/>
          </w:tcPr>
          <w:p>
            <w:pPr>
              <w:spacing w:after="0"/>
              <w:rPr>
                <w:sz w:val="11"/>
                <w:szCs w:val="11"/>
                <w:color w:val="auto"/>
              </w:rPr>
            </w:pPr>
          </w:p>
        </w:tc>
        <w:tc>
          <w:tcPr>
            <w:tcW w:w="9700" w:type="dxa"/>
            <w:vAlign w:val="bottom"/>
            <w:gridSpan w:val="21"/>
          </w:tcPr>
          <w:p>
            <w:pPr>
              <w:spacing w:after="0" w:line="133" w:lineRule="exact"/>
              <w:rPr>
                <w:rFonts w:ascii="Arial" w:cs="Arial" w:eastAsia="Arial" w:hAnsi="Arial"/>
                <w:sz w:val="12"/>
                <w:szCs w:val="12"/>
                <w:color w:val="0000EE"/>
              </w:rPr>
            </w:pPr>
            <w:hyperlink w:anchor="page109">
              <w:r>
                <w:rPr>
                  <w:rFonts w:ascii="Arial" w:cs="Arial" w:eastAsia="Arial" w:hAnsi="Arial"/>
                  <w:sz w:val="12"/>
                  <w:szCs w:val="12"/>
                  <w:color w:val="0000EE"/>
                </w:rPr>
                <w:t>Certain Relationships and Related Transactions, and Director Independence</w:t>
              </w:r>
            </w:hyperlink>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109</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14.</w:t>
            </w:r>
          </w:p>
        </w:tc>
        <w:tc>
          <w:tcPr>
            <w:tcW w:w="280" w:type="dxa"/>
            <w:vAlign w:val="bottom"/>
          </w:tcPr>
          <w:p>
            <w:pPr>
              <w:spacing w:after="0"/>
              <w:rPr>
                <w:sz w:val="11"/>
                <w:szCs w:val="11"/>
                <w:color w:val="auto"/>
              </w:rPr>
            </w:pPr>
          </w:p>
        </w:tc>
        <w:tc>
          <w:tcPr>
            <w:tcW w:w="3640" w:type="dxa"/>
            <w:vAlign w:val="bottom"/>
            <w:tcBorders>
              <w:top w:val="single" w:sz="8" w:color="0000EE"/>
            </w:tcBorders>
            <w:gridSpan w:val="16"/>
          </w:tcPr>
          <w:p>
            <w:pPr>
              <w:spacing w:after="0" w:line="133" w:lineRule="exact"/>
              <w:rPr>
                <w:rFonts w:ascii="Arial" w:cs="Arial" w:eastAsia="Arial" w:hAnsi="Arial"/>
                <w:sz w:val="12"/>
                <w:szCs w:val="12"/>
                <w:color w:val="0000EE"/>
              </w:rPr>
            </w:pPr>
            <w:hyperlink w:anchor="page109">
              <w:r>
                <w:rPr>
                  <w:rFonts w:ascii="Arial" w:cs="Arial" w:eastAsia="Arial" w:hAnsi="Arial"/>
                  <w:sz w:val="12"/>
                  <w:szCs w:val="12"/>
                  <w:color w:val="0000EE"/>
                </w:rPr>
                <w:t>Principal Accounting Fees and Services</w:t>
              </w:r>
            </w:hyperlink>
          </w:p>
        </w:tc>
        <w:tc>
          <w:tcPr>
            <w:tcW w:w="6060" w:type="dxa"/>
            <w:vAlign w:val="bottom"/>
            <w:gridSpan w:val="5"/>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109</w:t>
            </w:r>
          </w:p>
        </w:tc>
        <w:tc>
          <w:tcPr>
            <w:tcW w:w="0" w:type="dxa"/>
            <w:vAlign w:val="bottom"/>
          </w:tcPr>
          <w:p>
            <w:pPr>
              <w:spacing w:after="0"/>
              <w:rPr>
                <w:sz w:val="1"/>
                <w:szCs w:val="1"/>
                <w:color w:val="auto"/>
              </w:rPr>
            </w:pPr>
          </w:p>
        </w:tc>
      </w:tr>
      <w:tr>
        <w:trPr>
          <w:trHeight w:val="250"/>
        </w:trPr>
        <w:tc>
          <w:tcPr>
            <w:tcW w:w="840" w:type="dxa"/>
            <w:vAlign w:val="bottom"/>
          </w:tcPr>
          <w:p>
            <w:pPr>
              <w:spacing w:after="0"/>
              <w:rPr>
                <w:sz w:val="20"/>
                <w:szCs w:val="20"/>
                <w:color w:val="auto"/>
              </w:rPr>
            </w:pPr>
            <w:r>
              <w:rPr>
                <w:rFonts w:ascii="Arial" w:cs="Arial" w:eastAsia="Arial" w:hAnsi="Arial"/>
                <w:sz w:val="12"/>
                <w:szCs w:val="12"/>
                <w:b w:val="1"/>
                <w:bCs w:val="1"/>
                <w:color w:val="auto"/>
              </w:rPr>
              <w:t>PART IV</w:t>
            </w:r>
          </w:p>
        </w:tc>
        <w:tc>
          <w:tcPr>
            <w:tcW w:w="280" w:type="dxa"/>
            <w:vAlign w:val="bottom"/>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60" w:type="dxa"/>
            <w:vAlign w:val="bottom"/>
            <w:tcBorders>
              <w:top w:val="single" w:sz="8" w:color="0000EE"/>
            </w:tcBorders>
          </w:tcPr>
          <w:p>
            <w:pPr>
              <w:spacing w:after="0"/>
              <w:rPr>
                <w:sz w:val="21"/>
                <w:szCs w:val="21"/>
                <w:color w:val="auto"/>
              </w:rPr>
            </w:pPr>
          </w:p>
        </w:tc>
        <w:tc>
          <w:tcPr>
            <w:tcW w:w="120" w:type="dxa"/>
            <w:vAlign w:val="bottom"/>
            <w:tcBorders>
              <w:top w:val="single" w:sz="8" w:color="0000EE"/>
            </w:tcBorders>
          </w:tcPr>
          <w:p>
            <w:pPr>
              <w:spacing w:after="0"/>
              <w:rPr>
                <w:sz w:val="21"/>
                <w:szCs w:val="21"/>
                <w:color w:val="auto"/>
              </w:rPr>
            </w:pPr>
          </w:p>
        </w:tc>
        <w:tc>
          <w:tcPr>
            <w:tcW w:w="26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1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54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3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840" w:type="dxa"/>
            <w:vAlign w:val="bottom"/>
          </w:tcPr>
          <w:p>
            <w:pPr>
              <w:ind w:left="80"/>
              <w:spacing w:after="0" w:line="126" w:lineRule="exact"/>
              <w:rPr>
                <w:sz w:val="20"/>
                <w:szCs w:val="20"/>
                <w:color w:val="auto"/>
              </w:rPr>
            </w:pPr>
            <w:r>
              <w:rPr>
                <w:rFonts w:ascii="Arial" w:cs="Arial" w:eastAsia="Arial" w:hAnsi="Arial"/>
                <w:sz w:val="12"/>
                <w:szCs w:val="12"/>
                <w:color w:val="auto"/>
              </w:rPr>
              <w:t>Item 15.</w:t>
            </w:r>
          </w:p>
        </w:tc>
        <w:tc>
          <w:tcPr>
            <w:tcW w:w="280" w:type="dxa"/>
            <w:vAlign w:val="bottom"/>
          </w:tcPr>
          <w:p>
            <w:pPr>
              <w:spacing w:after="0"/>
              <w:rPr>
                <w:sz w:val="10"/>
                <w:szCs w:val="10"/>
                <w:color w:val="auto"/>
              </w:rPr>
            </w:pPr>
          </w:p>
        </w:tc>
        <w:tc>
          <w:tcPr>
            <w:tcW w:w="9700" w:type="dxa"/>
            <w:vAlign w:val="bottom"/>
            <w:gridSpan w:val="21"/>
          </w:tcPr>
          <w:p>
            <w:pPr>
              <w:spacing w:after="0" w:line="126" w:lineRule="exact"/>
              <w:rPr>
                <w:rFonts w:ascii="Arial" w:cs="Arial" w:eastAsia="Arial" w:hAnsi="Arial"/>
                <w:sz w:val="12"/>
                <w:szCs w:val="12"/>
                <w:color w:val="0000EE"/>
              </w:rPr>
            </w:pPr>
            <w:hyperlink w:anchor="page110">
              <w:r>
                <w:rPr>
                  <w:rFonts w:ascii="Arial" w:cs="Arial" w:eastAsia="Arial" w:hAnsi="Arial"/>
                  <w:sz w:val="12"/>
                  <w:szCs w:val="12"/>
                  <w:color w:val="0000EE"/>
                </w:rPr>
                <w:t>Exhibits, Financial Statement Schedules</w:t>
              </w:r>
            </w:hyperlink>
          </w:p>
        </w:tc>
        <w:tc>
          <w:tcPr>
            <w:tcW w:w="660" w:type="dxa"/>
            <w:vAlign w:val="bottom"/>
          </w:tcPr>
          <w:p>
            <w:pPr>
              <w:jc w:val="right"/>
              <w:spacing w:after="0" w:line="126" w:lineRule="exact"/>
              <w:rPr>
                <w:sz w:val="20"/>
                <w:szCs w:val="20"/>
                <w:color w:val="auto"/>
              </w:rPr>
            </w:pPr>
            <w:r>
              <w:rPr>
                <w:rFonts w:ascii="Arial" w:cs="Arial" w:eastAsia="Arial" w:hAnsi="Arial"/>
                <w:sz w:val="12"/>
                <w:szCs w:val="12"/>
                <w:color w:val="auto"/>
              </w:rPr>
              <w:t>110</w:t>
            </w:r>
          </w:p>
        </w:tc>
        <w:tc>
          <w:tcPr>
            <w:tcW w:w="0" w:type="dxa"/>
            <w:vAlign w:val="bottom"/>
          </w:tcPr>
          <w:p>
            <w:pPr>
              <w:spacing w:after="0"/>
              <w:rPr>
                <w:sz w:val="1"/>
                <w:szCs w:val="1"/>
                <w:color w:val="auto"/>
              </w:rPr>
            </w:pPr>
          </w:p>
        </w:tc>
      </w:tr>
      <w:tr>
        <w:trPr>
          <w:trHeight w:val="133"/>
        </w:trPr>
        <w:tc>
          <w:tcPr>
            <w:tcW w:w="840" w:type="dxa"/>
            <w:vAlign w:val="bottom"/>
          </w:tcPr>
          <w:p>
            <w:pPr>
              <w:ind w:left="80"/>
              <w:spacing w:after="0" w:line="133" w:lineRule="exact"/>
              <w:rPr>
                <w:sz w:val="20"/>
                <w:szCs w:val="20"/>
                <w:color w:val="auto"/>
              </w:rPr>
            </w:pPr>
            <w:r>
              <w:rPr>
                <w:rFonts w:ascii="Arial" w:cs="Arial" w:eastAsia="Arial" w:hAnsi="Arial"/>
                <w:sz w:val="12"/>
                <w:szCs w:val="12"/>
                <w:color w:val="auto"/>
              </w:rPr>
              <w:t>Item 16.</w:t>
            </w:r>
          </w:p>
        </w:tc>
        <w:tc>
          <w:tcPr>
            <w:tcW w:w="280" w:type="dxa"/>
            <w:vAlign w:val="bottom"/>
          </w:tcPr>
          <w:p>
            <w:pPr>
              <w:spacing w:after="0"/>
              <w:rPr>
                <w:sz w:val="11"/>
                <w:szCs w:val="11"/>
                <w:color w:val="auto"/>
              </w:rPr>
            </w:pPr>
          </w:p>
        </w:tc>
        <w:tc>
          <w:tcPr>
            <w:tcW w:w="1940" w:type="dxa"/>
            <w:vAlign w:val="bottom"/>
            <w:tcBorders>
              <w:top w:val="single" w:sz="8" w:color="0000EE"/>
            </w:tcBorders>
            <w:gridSpan w:val="12"/>
          </w:tcPr>
          <w:p>
            <w:pPr>
              <w:spacing w:after="0" w:line="133" w:lineRule="exact"/>
              <w:rPr>
                <w:rFonts w:ascii="Arial" w:cs="Arial" w:eastAsia="Arial" w:hAnsi="Arial"/>
                <w:sz w:val="12"/>
                <w:szCs w:val="12"/>
                <w:color w:val="0000EE"/>
              </w:rPr>
            </w:pPr>
            <w:hyperlink w:anchor="page116">
              <w:r>
                <w:rPr>
                  <w:rFonts w:ascii="Arial" w:cs="Arial" w:eastAsia="Arial" w:hAnsi="Arial"/>
                  <w:sz w:val="12"/>
                  <w:szCs w:val="12"/>
                  <w:color w:val="0000EE"/>
                </w:rPr>
                <w:t>Form 10-K Summary</w:t>
              </w:r>
            </w:hyperlink>
          </w:p>
        </w:tc>
        <w:tc>
          <w:tcPr>
            <w:tcW w:w="7760" w:type="dxa"/>
            <w:vAlign w:val="bottom"/>
            <w:gridSpan w:val="9"/>
          </w:tcPr>
          <w:p>
            <w:pPr>
              <w:spacing w:after="0"/>
              <w:rPr>
                <w:sz w:val="11"/>
                <w:szCs w:val="11"/>
                <w:color w:val="auto"/>
              </w:rPr>
            </w:pPr>
          </w:p>
        </w:tc>
        <w:tc>
          <w:tcPr>
            <w:tcW w:w="660" w:type="dxa"/>
            <w:vAlign w:val="bottom"/>
          </w:tcPr>
          <w:p>
            <w:pPr>
              <w:jc w:val="right"/>
              <w:spacing w:after="0" w:line="133" w:lineRule="exact"/>
              <w:rPr>
                <w:sz w:val="20"/>
                <w:szCs w:val="20"/>
                <w:color w:val="auto"/>
              </w:rPr>
            </w:pPr>
            <w:r>
              <w:rPr>
                <w:rFonts w:ascii="Arial" w:cs="Arial" w:eastAsia="Arial" w:hAnsi="Arial"/>
                <w:sz w:val="12"/>
                <w:szCs w:val="12"/>
                <w:color w:val="auto"/>
              </w:rPr>
              <w:t>116</w:t>
            </w: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19" w:right="199" w:bottom="1440" w:gutter="0" w:footer="0" w:header="0"/>
        </w:sectPr>
      </w:pPr>
    </w:p>
    <w:bookmarkStart w:id="2" w:name="page3"/>
    <w:bookmarkEnd w:id="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CAUTIONARY STATEMENT REGARDING FORWARD-LOOKING STATEMENTS</w:t>
      </w:r>
    </w:p>
    <w:p>
      <w:pPr>
        <w:spacing w:after="0" w:line="141" w:lineRule="exact"/>
        <w:rPr>
          <w:sz w:val="20"/>
          <w:szCs w:val="20"/>
          <w:color w:val="auto"/>
        </w:rPr>
      </w:pPr>
    </w:p>
    <w:p>
      <w:pPr>
        <w:spacing w:after="0" w:line="278" w:lineRule="auto"/>
        <w:rPr>
          <w:sz w:val="20"/>
          <w:szCs w:val="20"/>
          <w:color w:val="auto"/>
        </w:rPr>
      </w:pPr>
      <w:r>
        <w:rPr>
          <w:rFonts w:ascii="Arial" w:cs="Arial" w:eastAsia="Arial" w:hAnsi="Arial"/>
          <w:sz w:val="11"/>
          <w:szCs w:val="11"/>
          <w:color w:val="auto"/>
        </w:rPr>
        <w:t>This Annual Report on Form 10-K includes forward-looking statements as defined under U.S. federal securities law. Forward-looking statements include all statements that are not historical statements of fact and those regarding our intent, belief or expectations, including, but not limited to, statements regarding: our expectations regarding the effect of Windstream Holdings, Inc.’s (“Windstream Holdings” and together with its subsidiaries, “Windstream”) bankruptcy and Windstream’s performance under its long-term exclusive triple-net lease with us (the “Master Lease”); our expectations with respect to the treatment of the Master Lease in Windstream’s petition for relief under Chapter 11 of the Bankruptcy Code; our expectations regarding the effect of substantial doubt about our ability to continue as a going concern; our expectations regarding the future growth and demand of the telecommunication industry, future financing plans, business strategies, growth prospects, operating and financial performance, and our future liquidity needs and access to capital; expectations regarding the impact and integration of Information Transport Solutions, Inc. (“ITS”), CableSouth Media, LLC (“CableSouth”) and M</w:t>
      </w:r>
      <w:r>
        <w:rPr>
          <w:rFonts w:ascii="Arial" w:cs="Arial" w:eastAsia="Arial" w:hAnsi="Arial"/>
          <w:sz w:val="9"/>
          <w:szCs w:val="9"/>
          <w:color w:val="auto"/>
        </w:rPr>
        <w:t>2</w:t>
      </w:r>
      <w:r>
        <w:rPr>
          <w:rFonts w:ascii="Arial" w:cs="Arial" w:eastAsia="Arial" w:hAnsi="Arial"/>
          <w:sz w:val="11"/>
          <w:szCs w:val="11"/>
          <w:color w:val="auto"/>
        </w:rPr>
        <w:t xml:space="preserve"> Connections, including expectations regarding operational synergies with Uniti Towers and Uniti Fiber; expectations regarding settling conversion of our 3% convertible preferred stock in cash upon conversion; expectations regarding the probability of our obligation to pay contingent consideration upon Tower Cloud, Inc.'s ("Tower Cloud") or Hunt's achievement of certain defined operational and financial milestones; expectations regarding future deployment of fiber strand miles and recognition of revenue related thereto; expectations regarding levels of capital expenditures; expectations regarding the deductibility of goodwill for tax purposes; expectations regarding reclassification of accumulated other comprehensive income (loss) related to derivatives to interest expense; expectations regarding the amortization of intangible assets; expectations regarding the closing of the OpCo-PropCo partnership with Macquarie Infrastructure Partners (“MIP”) and related acquisition of Bluebird Network, LLC (“Bluebird”); expectations regarding the closing of the sale of Uniti Towers’ business in Latin America (the “Towers Disposition”); and expectations regarding the payment of dividends.</w:t>
      </w:r>
    </w:p>
    <w:p>
      <w:pPr>
        <w:spacing w:after="0" w:line="118" w:lineRule="exact"/>
        <w:rPr>
          <w:sz w:val="20"/>
          <w:szCs w:val="20"/>
          <w:color w:val="auto"/>
        </w:rPr>
      </w:pPr>
    </w:p>
    <w:p>
      <w:pPr>
        <w:ind w:right="260"/>
        <w:spacing w:after="0" w:line="259" w:lineRule="auto"/>
        <w:rPr>
          <w:sz w:val="20"/>
          <w:szCs w:val="20"/>
          <w:color w:val="auto"/>
        </w:rPr>
      </w:pPr>
      <w:r>
        <w:rPr>
          <w:rFonts w:ascii="Arial" w:cs="Arial" w:eastAsia="Arial" w:hAnsi="Arial"/>
          <w:sz w:val="12"/>
          <w:szCs w:val="12"/>
          <w:color w:val="auto"/>
        </w:rPr>
        <w:t>Words such as "anticipate(s)," "expect(s)," "intend(s),"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have a material adverse effect on our operations and future prospects or which could cause actual results to differ materially from our expectations include, but are not limited to:</w:t>
      </w:r>
    </w:p>
    <w:p>
      <w:pPr>
        <w:spacing w:after="0" w:line="197" w:lineRule="exact"/>
        <w:rPr>
          <w:sz w:val="20"/>
          <w:szCs w:val="20"/>
          <w:color w:val="auto"/>
        </w:rPr>
      </w:pPr>
    </w:p>
    <w:p>
      <w:pPr>
        <w:ind w:left="1180" w:right="60" w:hanging="593"/>
        <w:spacing w:after="0" w:line="276" w:lineRule="auto"/>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the future prospects of our largest customer, Windstream Holdings, which, following a finding that it is in default of certain of its debt, on February 25, 2019, filed a voluntary petition for relief under Chapter 11 of the Bankruptcy Code;</w:t>
      </w:r>
    </w:p>
    <w:p>
      <w:pPr>
        <w:spacing w:after="0" w:line="42" w:lineRule="exact"/>
        <w:rPr>
          <w:rFonts w:ascii="Arial" w:cs="Arial" w:eastAsia="Arial" w:hAnsi="Arial"/>
          <w:sz w:val="12"/>
          <w:szCs w:val="12"/>
          <w:color w:val="auto"/>
        </w:rPr>
      </w:pPr>
    </w:p>
    <w:p>
      <w:pPr>
        <w:ind w:left="1180" w:hanging="593"/>
        <w:spacing w:after="0"/>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our ability to continue as a going concern if Windstream Holdings were to reject the Master Lease or be unable or unwilling to perform its obligations under the Master Lease;</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the ability and willingness of our customers to meet and/or perform their obligations under any contractual arrangements entered into with us, including master lease arrangements;</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the ability of our customers to comply with laws, rules and regulations in the operation of the assets we lease to them;</w:t>
      </w:r>
    </w:p>
    <w:p>
      <w:pPr>
        <w:spacing w:after="0" w:line="78" w:lineRule="exact"/>
        <w:rPr>
          <w:rFonts w:ascii="Arial" w:cs="Arial" w:eastAsia="Arial" w:hAnsi="Arial"/>
          <w:sz w:val="12"/>
          <w:szCs w:val="12"/>
          <w:color w:val="auto"/>
        </w:rPr>
      </w:pPr>
    </w:p>
    <w:p>
      <w:pPr>
        <w:ind w:left="1180" w:right="140" w:hanging="593"/>
        <w:spacing w:after="0" w:line="276" w:lineRule="auto"/>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the ability and willingness of our customers to renew their leases with us upon their expiration, and the ability to reposition our properties on the same or better terms in the event of nonrenewal or in the event we replace an existing tenant;</w:t>
      </w:r>
    </w:p>
    <w:p>
      <w:pPr>
        <w:spacing w:after="0" w:line="42" w:lineRule="exact"/>
        <w:rPr>
          <w:rFonts w:ascii="Arial" w:cs="Arial" w:eastAsia="Arial" w:hAnsi="Arial"/>
          <w:sz w:val="12"/>
          <w:szCs w:val="12"/>
          <w:color w:val="auto"/>
        </w:rPr>
      </w:pPr>
    </w:p>
    <w:p>
      <w:pPr>
        <w:ind w:left="1180" w:hanging="593"/>
        <w:spacing w:after="0"/>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our ability to renew, extend or retain our contracts or to obtain new contracts with significant customers (including customers of the businesses that we acquire);</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3"/>
        </w:numPr>
        <w:rPr>
          <w:rFonts w:ascii="Arial" w:cs="Arial" w:eastAsia="Arial" w:hAnsi="Arial"/>
          <w:sz w:val="11"/>
          <w:szCs w:val="11"/>
          <w:color w:val="auto"/>
        </w:rPr>
      </w:pPr>
      <w:r>
        <w:rPr>
          <w:rFonts w:ascii="Arial" w:cs="Arial" w:eastAsia="Arial" w:hAnsi="Arial"/>
          <w:sz w:val="11"/>
          <w:szCs w:val="11"/>
          <w:color w:val="auto"/>
        </w:rPr>
        <w:t>the availability of and our ability to identify suitable acquisition opportunities and our ability to acquire and lease the respective properties on favorable terms or operate and integrate the acquired businesses;</w:t>
      </w:r>
    </w:p>
    <w:p>
      <w:pPr>
        <w:spacing w:after="0" w:line="89" w:lineRule="exact"/>
        <w:rPr>
          <w:rFonts w:ascii="Arial" w:cs="Arial" w:eastAsia="Arial" w:hAnsi="Arial"/>
          <w:sz w:val="11"/>
          <w:szCs w:val="11"/>
          <w:color w:val="auto"/>
        </w:rPr>
      </w:pPr>
    </w:p>
    <w:p>
      <w:pPr>
        <w:ind w:left="1180" w:hanging="593"/>
        <w:spacing w:after="0"/>
        <w:tabs>
          <w:tab w:leader="none" w:pos="1180" w:val="left"/>
        </w:tabs>
        <w:numPr>
          <w:ilvl w:val="0"/>
          <w:numId w:val="3"/>
        </w:numPr>
        <w:rPr>
          <w:rFonts w:ascii="Arial" w:cs="Arial" w:eastAsia="Arial" w:hAnsi="Arial"/>
          <w:sz w:val="12"/>
          <w:szCs w:val="12"/>
          <w:color w:val="auto"/>
        </w:rPr>
      </w:pPr>
      <w:r>
        <w:rPr>
          <w:rFonts w:ascii="Arial" w:cs="Arial" w:eastAsia="Arial" w:hAnsi="Arial"/>
          <w:sz w:val="12"/>
          <w:szCs w:val="12"/>
          <w:color w:val="auto"/>
        </w:rPr>
        <w:t>our ability to generate sufficient cash flows to service our outstanding indebtedness;</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3" w:name="page4"/>
    <w:bookmarkEnd w:id="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8" w:lineRule="exact"/>
        <w:rPr>
          <w:sz w:val="20"/>
          <w:szCs w:val="20"/>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our ability to access debt and equity capital markets;</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the impact on our business or the business of our customers as a result of credit rating downgrades, and fluctuating interest rates;</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adverse impacts of litigation or disputes involving us or our customers;</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our ability to retain our key management personnel;</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our ability to maintain our status as a real estate investment trust (“REIT”), including as a result of the effects of the recent events with respect to our largest customer, Windstream Holdings;</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changes in the U.S. tax law and other federal, state or local laws, whether or not specific to REITs, including the impact of the recently enacted U.S. tax reform legislation;</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covenants in our debt agreements that may limit our operational flexibility;</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the possibility that we may experience equipment failures, natural disasters, cyber attacks or terrorist attacks for which our insurance may not provide adequate coverage;</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the risk that we fail to fully realize the potential benefits of or have difficulty in integrating the companies we acquire;</w:t>
      </w:r>
    </w:p>
    <w:p>
      <w:pPr>
        <w:spacing w:after="0" w:line="78" w:lineRule="exact"/>
        <w:rPr>
          <w:rFonts w:ascii="Arial" w:cs="Arial" w:eastAsia="Arial" w:hAnsi="Arial"/>
          <w:sz w:val="12"/>
          <w:szCs w:val="12"/>
          <w:color w:val="auto"/>
        </w:rPr>
      </w:pPr>
    </w:p>
    <w:p>
      <w:pPr>
        <w:ind w:left="1180" w:right="440" w:hanging="593"/>
        <w:spacing w:after="0" w:line="276" w:lineRule="auto"/>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other risks inherent in the communications industry and in the ownership of communications distribution systems, including potential liability relating to environmental matters and illiquidity of real estate investments;</w:t>
      </w:r>
    </w:p>
    <w:p>
      <w:pPr>
        <w:spacing w:after="0" w:line="42"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the risk that the agreements regarding the Bluebird acquisition may be modified or terminated prior to expiration or that the conditions to the Bluebird acquisition may not be satisfied;</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the risk that the agreements regarding the Towers Disposition may be modified or terminated or that the conditions to the Towers Disposition may not be satisfied; and</w:t>
      </w:r>
    </w:p>
    <w:p>
      <w:pPr>
        <w:spacing w:after="0" w:line="78" w:lineRule="exact"/>
        <w:rPr>
          <w:rFonts w:ascii="Arial" w:cs="Arial" w:eastAsia="Arial" w:hAnsi="Arial"/>
          <w:sz w:val="12"/>
          <w:szCs w:val="12"/>
          <w:color w:val="auto"/>
        </w:rPr>
      </w:pPr>
    </w:p>
    <w:p>
      <w:pPr>
        <w:ind w:left="1180" w:hanging="593"/>
        <w:spacing w:after="0" w:line="276" w:lineRule="auto"/>
        <w:tabs>
          <w:tab w:leader="none" w:pos="1180" w:val="left"/>
        </w:tabs>
        <w:numPr>
          <w:ilvl w:val="0"/>
          <w:numId w:val="4"/>
        </w:numPr>
        <w:rPr>
          <w:rFonts w:ascii="Arial" w:cs="Arial" w:eastAsia="Arial" w:hAnsi="Arial"/>
          <w:sz w:val="12"/>
          <w:szCs w:val="12"/>
          <w:color w:val="auto"/>
        </w:rPr>
      </w:pPr>
      <w:r>
        <w:rPr>
          <w:rFonts w:ascii="Arial" w:cs="Arial" w:eastAsia="Arial" w:hAnsi="Arial"/>
          <w:sz w:val="12"/>
          <w:szCs w:val="12"/>
          <w:color w:val="auto"/>
        </w:rPr>
        <w:t>additional factors discussed in Part I, Item 1A “Risk Factors” and Part II, Item 7 “Management’s Discussion and Analysis of Financial Condition and Results of Operations” of this Annual Report on Form 10-K, as well as those described from time to time in our future reports filed with the U.S. Securities and Exchange Commission (the “SEC”).</w:t>
      </w:r>
    </w:p>
    <w:p>
      <w:pPr>
        <w:spacing w:after="0" w:line="115" w:lineRule="exact"/>
        <w:rPr>
          <w:sz w:val="20"/>
          <w:szCs w:val="20"/>
          <w:color w:val="auto"/>
        </w:rPr>
      </w:pPr>
    </w:p>
    <w:p>
      <w:pPr>
        <w:ind w:right="220"/>
        <w:spacing w:after="0" w:line="276" w:lineRule="auto"/>
        <w:rPr>
          <w:sz w:val="20"/>
          <w:szCs w:val="20"/>
          <w:color w:val="auto"/>
        </w:rPr>
      </w:pPr>
      <w:r>
        <w:rPr>
          <w:rFonts w:ascii="Arial" w:cs="Arial" w:eastAsia="Arial" w:hAnsi="Arial"/>
          <w:sz w:val="12"/>
          <w:szCs w:val="12"/>
          <w:color w:val="auto"/>
        </w:rPr>
        <w:t>Forward-looking statements speak only as of the date of this Annual Report. Except in the normal course of our public disclosure obligations, we expressly disclaim any obligation to release publicly any updates or revisions to any forward-looking statements to reflect any change in our expectations or any change in events, conditions or circumstances on which any such statement is based.</w:t>
      </w: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20"/>
          </w:cols>
          <w:pgMar w:left="220" w:top="131" w:right="259" w:bottom="1440" w:gutter="0" w:footer="0" w:header="0"/>
        </w:sectPr>
      </w:pPr>
    </w:p>
    <w:bookmarkStart w:id="4" w:name="page5"/>
    <w:bookmarkEnd w:id="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2"/>
          <w:szCs w:val="12"/>
          <w:b w:val="1"/>
          <w:bCs w:val="1"/>
          <w:color w:val="auto"/>
        </w:rPr>
        <w:t>PART I</w:t>
      </w:r>
    </w:p>
    <w:p>
      <w:pPr>
        <w:spacing w:after="0" w:line="6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 Business.</w:t>
      </w:r>
    </w:p>
    <w:p>
      <w:pPr>
        <w:spacing w:after="0" w:line="222"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The Company</w:t>
      </w:r>
    </w:p>
    <w:p>
      <w:pPr>
        <w:spacing w:after="0" w:line="226" w:lineRule="exact"/>
        <w:rPr>
          <w:sz w:val="20"/>
          <w:szCs w:val="20"/>
          <w:color w:val="auto"/>
        </w:rPr>
      </w:pPr>
    </w:p>
    <w:p>
      <w:pPr>
        <w:jc w:val="both"/>
        <w:ind w:right="40"/>
        <w:spacing w:after="0" w:line="263" w:lineRule="auto"/>
        <w:rPr>
          <w:sz w:val="20"/>
          <w:szCs w:val="20"/>
          <w:color w:val="auto"/>
        </w:rPr>
      </w:pPr>
      <w:r>
        <w:rPr>
          <w:rFonts w:ascii="Arial" w:cs="Arial" w:eastAsia="Arial" w:hAnsi="Arial"/>
          <w:sz w:val="12"/>
          <w:szCs w:val="12"/>
          <w:color w:val="auto"/>
        </w:rPr>
        <w:t>Uniti Group Inc. (the “Company”, “Uniti”, “we”, “us” or “our”) was incorporated in the state of Maryland on September 4, 2014. Uniti is an independent, internally managed real estate investment trust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w:t>
      </w:r>
    </w:p>
    <w:p>
      <w:pPr>
        <w:spacing w:after="0" w:line="51" w:lineRule="exact"/>
        <w:rPr>
          <w:sz w:val="20"/>
          <w:szCs w:val="20"/>
          <w:color w:val="auto"/>
        </w:rPr>
      </w:pPr>
    </w:p>
    <w:p>
      <w:pPr>
        <w:ind w:right="40"/>
        <w:spacing w:after="0" w:line="290" w:lineRule="auto"/>
        <w:rPr>
          <w:sz w:val="20"/>
          <w:szCs w:val="20"/>
          <w:color w:val="auto"/>
        </w:rPr>
      </w:pPr>
      <w:r>
        <w:rPr>
          <w:rFonts w:ascii="Arial" w:cs="Arial" w:eastAsia="Arial" w:hAnsi="Arial"/>
          <w:sz w:val="11"/>
          <w:szCs w:val="11"/>
          <w:color w:val="auto"/>
        </w:rPr>
        <w:t>On April 24, 2015, we were separated and spun-off (the “Spin-Off”) from Windstream Holdings, Inc. (“Windstream Holdings” and together with its subsidiaries, “Windstream”) pursuant to which Windstream contributed certain telecommunications network assets, including fiber and copper networks and other real estate (the “Distribution Systems”) and a small consumer competitive local exchange carrier (“CLEC”) business (the “Consumer CLEC Business”) to Uniti and Uniti issued common stock and indebtedness and paid cash obtained from borrowings under Uniti’s senior credit facilities to Windstream. In connection with the Spin-Off, we entered into a long-term exclusive triple-net lease (the “Master Lease”) with Windstream, pursuant to which a substantial portion of our real property is leased to Windstream and from which a substantial portion of our leasing revenues are currently derived.</w:t>
      </w:r>
    </w:p>
    <w:p>
      <w:pPr>
        <w:spacing w:after="0" w:line="109" w:lineRule="exact"/>
        <w:rPr>
          <w:sz w:val="20"/>
          <w:szCs w:val="20"/>
          <w:color w:val="auto"/>
        </w:rPr>
      </w:pPr>
    </w:p>
    <w:p>
      <w:pPr>
        <w:jc w:val="both"/>
        <w:ind w:right="180"/>
        <w:spacing w:after="0" w:line="298" w:lineRule="auto"/>
        <w:rPr>
          <w:sz w:val="20"/>
          <w:szCs w:val="20"/>
          <w:color w:val="auto"/>
        </w:rPr>
      </w:pPr>
      <w:r>
        <w:rPr>
          <w:rFonts w:ascii="Arial" w:cs="Arial" w:eastAsia="Arial" w:hAnsi="Arial"/>
          <w:sz w:val="11"/>
          <w:szCs w:val="11"/>
          <w:color w:val="auto"/>
        </w:rPr>
        <w:t>Uniti operates as a REIT for U.S. federal income tax purposes. As a REIT, the Company is generally not subject to U.S. federal income taxes on income generated by its REIT operations, which includes income derived from the Master Lease. We have elected to treat the subsidiaries through which we operate our fiber business, Uniti Fiber, and Talk America Services, LLC, which operates the Consumer CLEC Business (“Talk America”), as taxable REIT subsidiaries (“TRSs”). TRSs enable us to engage in activities that result in income that does not constitute qualifying income for a REIT. Our TRSs are subject to U.S. federal, state and local corporate income taxes.</w:t>
      </w:r>
    </w:p>
    <w:p>
      <w:pPr>
        <w:spacing w:after="0" w:line="105" w:lineRule="exact"/>
        <w:rPr>
          <w:sz w:val="20"/>
          <w:szCs w:val="20"/>
          <w:color w:val="auto"/>
        </w:rPr>
      </w:pPr>
    </w:p>
    <w:p>
      <w:pPr>
        <w:jc w:val="both"/>
        <w:ind w:right="40"/>
        <w:spacing w:after="0" w:line="263" w:lineRule="auto"/>
        <w:rPr>
          <w:sz w:val="20"/>
          <w:szCs w:val="20"/>
          <w:color w:val="auto"/>
        </w:rPr>
      </w:pPr>
      <w:r>
        <w:rPr>
          <w:rFonts w:ascii="Arial" w:cs="Arial" w:eastAsia="Arial" w:hAnsi="Arial"/>
          <w:sz w:val="12"/>
          <w:szCs w:val="12"/>
          <w:color w:val="auto"/>
        </w:rPr>
        <w:t>The Company operates through a customary up-REIT structure, pursuant to which we hold substantially all of our assets through a partnership, Uniti Group LP, a Delaware limited partnership (the “Operating Partnership”), that we control as general partner. This structure is intended to facilitate future acquisition opportunities by providing the Company with the ability to use common units of the Operating Partnership as a tax-efficient acquisition currency. As of December 31, 2018, we are the sole general partner of the Operating Partnership and own approximately 97.7% of the partnership interests in the Operating Partnership.</w:t>
      </w:r>
    </w:p>
    <w:p>
      <w:pPr>
        <w:spacing w:after="0" w:line="123" w:lineRule="exact"/>
        <w:rPr>
          <w:sz w:val="20"/>
          <w:szCs w:val="20"/>
          <w:color w:val="auto"/>
        </w:rPr>
      </w:pPr>
    </w:p>
    <w:p>
      <w:pPr>
        <w:ind w:right="60"/>
        <w:spacing w:after="0" w:line="259" w:lineRule="auto"/>
        <w:rPr>
          <w:rFonts w:ascii="Arial" w:cs="Arial" w:eastAsia="Arial" w:hAnsi="Arial"/>
          <w:sz w:val="12"/>
          <w:szCs w:val="12"/>
          <w:color w:val="auto"/>
        </w:rPr>
      </w:pPr>
      <w:r>
        <w:rPr>
          <w:rFonts w:ascii="Arial" w:cs="Arial" w:eastAsia="Arial" w:hAnsi="Arial"/>
          <w:sz w:val="12"/>
          <w:szCs w:val="12"/>
          <w:color w:val="auto"/>
        </w:rPr>
        <w:t xml:space="preserve">For the year ended December 31, 2018, we had revenues of $1,017.6 million, net income attributable to common shareholders of $8.0 million, Funds From Operations (“FFO”) of $373.7 million and Adjusted Funds From Operations (“AFFO”) of $443.8 million. Both FFO and AFFO are non-GAAP financial measures, which we use to analyze our results. Refer to Part II, Item 7 </w:t>
      </w:r>
      <w:r>
        <w:rPr>
          <w:rFonts w:ascii="Arial" w:cs="Arial" w:eastAsia="Arial" w:hAnsi="Arial"/>
          <w:sz w:val="12"/>
          <w:szCs w:val="12"/>
          <w:i w:val="1"/>
          <w:iCs w:val="1"/>
          <w:color w:val="auto"/>
        </w:rPr>
        <w:t>Management’s Discussion and Analysis of Financial Condition and Results of Operations,</w:t>
      </w:r>
      <w:r>
        <w:rPr>
          <w:rFonts w:ascii="Arial" w:cs="Arial" w:eastAsia="Arial" w:hAnsi="Arial"/>
          <w:sz w:val="12"/>
          <w:szCs w:val="12"/>
          <w:color w:val="auto"/>
        </w:rPr>
        <w:t xml:space="preserve"> of this Annual Report for additional information regarding these non-GAAP measures. As of December 31, 2018, we managed our operations in four reportable business segments, which are described in more detail in </w:t>
      </w:r>
      <w:hyperlink w:anchor="page94">
        <w:r>
          <w:rPr>
            <w:rFonts w:ascii="Arial" w:cs="Arial" w:eastAsia="Arial" w:hAnsi="Arial"/>
            <w:sz w:val="12"/>
            <w:szCs w:val="12"/>
            <w:u w:val="single" w:color="auto"/>
            <w:color w:val="0000EE"/>
          </w:rPr>
          <w:t>Note 14 to</w:t>
        </w:r>
        <w:r>
          <w:rPr>
            <w:rFonts w:ascii="Arial" w:cs="Arial" w:eastAsia="Arial" w:hAnsi="Arial"/>
            <w:sz w:val="12"/>
            <w:szCs w:val="12"/>
            <w:u w:val="single" w:color="auto"/>
            <w:color w:val="auto"/>
          </w:rPr>
          <w:t xml:space="preserve"> </w:t>
        </w:r>
      </w:hyperlink>
      <w:r>
        <w:rPr>
          <w:rFonts w:ascii="Arial" w:cs="Arial" w:eastAsia="Arial" w:hAnsi="Arial"/>
          <w:sz w:val="12"/>
          <w:szCs w:val="12"/>
          <w:color w:val="auto"/>
        </w:rPr>
        <w:t xml:space="preserve">our consolidated financial statements contained in Part II, Item 8 </w:t>
      </w:r>
      <w:r>
        <w:rPr>
          <w:rFonts w:ascii="Arial" w:cs="Arial" w:eastAsia="Arial" w:hAnsi="Arial"/>
          <w:sz w:val="12"/>
          <w:szCs w:val="12"/>
          <w:i w:val="1"/>
          <w:iCs w:val="1"/>
          <w:color w:val="auto"/>
        </w:rPr>
        <w:t>Financial Statements and Supplementary Data</w:t>
      </w:r>
      <w:r>
        <w:rPr>
          <w:rFonts w:ascii="Arial" w:cs="Arial" w:eastAsia="Arial" w:hAnsi="Arial"/>
          <w:sz w:val="12"/>
          <w:szCs w:val="12"/>
          <w:color w:val="auto"/>
        </w:rPr>
        <w:t>.</w:t>
      </w:r>
    </w:p>
    <w:p>
      <w:pPr>
        <w:spacing w:after="0" w:line="121"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Business</w:t>
      </w:r>
    </w:p>
    <w:p>
      <w:pPr>
        <w:spacing w:after="0" w:line="154"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 xml:space="preserve">We are an independent, internally-managed REIT engaged in the acquisition and construction of mission critical infrastructure in the communications industry. We manage our operations in four separate lines of business: </w:t>
      </w:r>
      <w:r>
        <w:rPr>
          <w:rFonts w:ascii="Arial" w:cs="Arial" w:eastAsia="Arial" w:hAnsi="Arial"/>
          <w:sz w:val="12"/>
          <w:szCs w:val="12"/>
          <w:i w:val="1"/>
          <w:iCs w:val="1"/>
          <w:color w:val="auto"/>
        </w:rPr>
        <w:t>Uniti Fiber</w:t>
      </w:r>
      <w:r>
        <w:rPr>
          <w:rFonts w:ascii="Arial" w:cs="Arial" w:eastAsia="Arial" w:hAnsi="Arial"/>
          <w:sz w:val="12"/>
          <w:szCs w:val="12"/>
          <w:color w:val="auto"/>
        </w:rPr>
        <w:t xml:space="preserve">, </w:t>
      </w:r>
      <w:r>
        <w:rPr>
          <w:rFonts w:ascii="Arial" w:cs="Arial" w:eastAsia="Arial" w:hAnsi="Arial"/>
          <w:sz w:val="12"/>
          <w:szCs w:val="12"/>
          <w:i w:val="1"/>
          <w:iCs w:val="1"/>
          <w:color w:val="auto"/>
        </w:rPr>
        <w:t>Uniti</w:t>
      </w:r>
      <w:r>
        <w:rPr>
          <w:rFonts w:ascii="Arial" w:cs="Arial" w:eastAsia="Arial" w:hAnsi="Arial"/>
          <w:sz w:val="12"/>
          <w:szCs w:val="12"/>
          <w:color w:val="auto"/>
        </w:rPr>
        <w:t xml:space="preserve"> </w:t>
      </w:r>
      <w:r>
        <w:rPr>
          <w:rFonts w:ascii="Arial" w:cs="Arial" w:eastAsia="Arial" w:hAnsi="Arial"/>
          <w:sz w:val="12"/>
          <w:szCs w:val="12"/>
          <w:i w:val="1"/>
          <w:iCs w:val="1"/>
          <w:color w:val="auto"/>
        </w:rPr>
        <w:t>Towers</w:t>
      </w:r>
      <w:r>
        <w:rPr>
          <w:rFonts w:ascii="Arial" w:cs="Arial" w:eastAsia="Arial" w:hAnsi="Arial"/>
          <w:sz w:val="12"/>
          <w:szCs w:val="12"/>
          <w:color w:val="auto"/>
        </w:rPr>
        <w:t>,</w:t>
      </w:r>
      <w:r>
        <w:rPr>
          <w:rFonts w:ascii="Arial" w:cs="Arial" w:eastAsia="Arial" w:hAnsi="Arial"/>
          <w:sz w:val="12"/>
          <w:szCs w:val="12"/>
          <w:i w:val="1"/>
          <w:iCs w:val="1"/>
          <w:color w:val="auto"/>
        </w:rPr>
        <w:t xml:space="preserve"> Uniti Leasing </w:t>
      </w:r>
      <w:r>
        <w:rPr>
          <w:rFonts w:ascii="Arial" w:cs="Arial" w:eastAsia="Arial" w:hAnsi="Arial"/>
          <w:sz w:val="12"/>
          <w:szCs w:val="12"/>
          <w:color w:val="auto"/>
        </w:rPr>
        <w:t>and</w:t>
      </w:r>
      <w:r>
        <w:rPr>
          <w:rFonts w:ascii="Arial" w:cs="Arial" w:eastAsia="Arial" w:hAnsi="Arial"/>
          <w:sz w:val="12"/>
          <w:szCs w:val="12"/>
          <w:i w:val="1"/>
          <w:iCs w:val="1"/>
          <w:color w:val="auto"/>
        </w:rPr>
        <w:t xml:space="preserve"> Talk America</w:t>
      </w:r>
      <w:r>
        <w:rPr>
          <w:rFonts w:ascii="Arial" w:cs="Arial" w:eastAsia="Arial" w:hAnsi="Arial"/>
          <w:sz w:val="12"/>
          <w:szCs w:val="12"/>
          <w:color w:val="auto"/>
        </w:rPr>
        <w:t>.</w:t>
      </w:r>
    </w:p>
    <w:p>
      <w:pPr>
        <w:spacing w:after="0" w:line="115" w:lineRule="exact"/>
        <w:rPr>
          <w:sz w:val="20"/>
          <w:szCs w:val="20"/>
          <w:color w:val="auto"/>
        </w:rPr>
      </w:pPr>
    </w:p>
    <w:p>
      <w:pPr>
        <w:ind w:right="280"/>
        <w:spacing w:after="0" w:line="276" w:lineRule="auto"/>
        <w:rPr>
          <w:sz w:val="20"/>
          <w:szCs w:val="20"/>
          <w:color w:val="auto"/>
        </w:rPr>
      </w:pPr>
      <w:r>
        <w:rPr>
          <w:rFonts w:ascii="Arial" w:cs="Arial" w:eastAsia="Arial" w:hAnsi="Arial"/>
          <w:sz w:val="12"/>
          <w:szCs w:val="12"/>
          <w:color w:val="auto"/>
        </w:rPr>
        <w:t xml:space="preserve">Refer to Part II, Item 7 </w:t>
      </w:r>
      <w:r>
        <w:rPr>
          <w:rFonts w:ascii="Arial" w:cs="Arial" w:eastAsia="Arial" w:hAnsi="Arial"/>
          <w:sz w:val="12"/>
          <w:szCs w:val="12"/>
          <w:i w:val="1"/>
          <w:iCs w:val="1"/>
          <w:color w:val="auto"/>
        </w:rPr>
        <w:t>Management’s Discussion and Analysis of Financial Condition and Results of Operations—Overview—Significant Business Developments,</w:t>
      </w:r>
      <w:r>
        <w:rPr>
          <w:rFonts w:ascii="Arial" w:cs="Arial" w:eastAsia="Arial" w:hAnsi="Arial"/>
          <w:sz w:val="12"/>
          <w:szCs w:val="12"/>
          <w:color w:val="auto"/>
        </w:rPr>
        <w:t xml:space="preserve"> of this Annual Report for additional information regarding significant developments in our business in 2018.</w:t>
      </w: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5" w:name="page6"/>
    <w:bookmarkEnd w:id="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Uniti Fiber</w:t>
      </w:r>
    </w:p>
    <w:p>
      <w:pPr>
        <w:spacing w:after="0" w:line="141" w:lineRule="exact"/>
        <w:rPr>
          <w:sz w:val="20"/>
          <w:szCs w:val="20"/>
          <w:color w:val="auto"/>
        </w:rPr>
      </w:pPr>
    </w:p>
    <w:p>
      <w:pPr>
        <w:ind w:right="20"/>
        <w:spacing w:after="0" w:line="259" w:lineRule="auto"/>
        <w:rPr>
          <w:sz w:val="20"/>
          <w:szCs w:val="20"/>
          <w:color w:val="auto"/>
        </w:rPr>
      </w:pPr>
      <w:r>
        <w:rPr>
          <w:rFonts w:ascii="Arial" w:cs="Arial" w:eastAsia="Arial" w:hAnsi="Arial"/>
          <w:sz w:val="12"/>
          <w:szCs w:val="12"/>
          <w:color w:val="auto"/>
        </w:rPr>
        <w:t>Uniti Fiber is a leading provider of infrastructure solutions, including cell site backhaul and small cell for wireless operators and ethernet, wavelengths and dark fiber for telecommunications carriers and enterprises. With Uniti Fiber, our goal is to capitalize on the rising demand by carriers and enterprises for dark fiber, establish ourselves as a proven small-cell systems provider and leverage wholesale enterprise opportunities as well as opportunities through the School and Libraries Program (commonly referred to as E-Rate) administered by the Universal Service Administrative Company. We believe fiber is the mission-critical focal point in the modern communications infrastructure industry and that Uniti Fiber will accelerate our growth and diversification strategy and expand our relationships with high quality national and international wireless carriers.</w:t>
      </w:r>
    </w:p>
    <w:p>
      <w:pPr>
        <w:spacing w:after="0" w:line="125"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At December 31, 2018, Uniti Fiber’s revenues under contract were over $1.3 billion, with a network consisting of 1.7 million strand miles of fiber and approximately 18,200 customer connections. Results for Uniti Fiber are reported in our consolidated financial statements in our Fiber Infrastructure business segment.</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Uniti Towers</w:t>
      </w:r>
    </w:p>
    <w:p>
      <w:pPr>
        <w:spacing w:after="0" w:line="150" w:lineRule="exact"/>
        <w:rPr>
          <w:sz w:val="20"/>
          <w:szCs w:val="20"/>
          <w:color w:val="auto"/>
        </w:rPr>
      </w:pPr>
    </w:p>
    <w:p>
      <w:pPr>
        <w:ind w:right="100"/>
        <w:spacing w:after="0" w:line="298" w:lineRule="auto"/>
        <w:rPr>
          <w:sz w:val="20"/>
          <w:szCs w:val="20"/>
          <w:color w:val="auto"/>
        </w:rPr>
      </w:pPr>
      <w:r>
        <w:rPr>
          <w:rFonts w:ascii="Arial" w:cs="Arial" w:eastAsia="Arial" w:hAnsi="Arial"/>
          <w:sz w:val="11"/>
          <w:szCs w:val="11"/>
          <w:color w:val="auto"/>
        </w:rPr>
        <w:t>Uniti Towers’ primary business is constructing and leasing space on communications towers to wireless service providers and other tenants in a number of other industries. Uniti Towers’ leadership has substantial experience in the telecommunications industry and has been overseeing construction and operation of thousands of wireless towers both domestically and abroad for decades. Uniti Towers provides build-to-suit opportunities using customized master lease agreements designed for long-term carrier partnerships. We believe that our strategy of focusing on fiber and towers through Uniti Fiber and Uniti Towers is highly synergistic and will drive incremental growth opportunities.</w:t>
      </w:r>
    </w:p>
    <w:p>
      <w:pPr>
        <w:spacing w:after="0" w:line="105" w:lineRule="exact"/>
        <w:rPr>
          <w:sz w:val="20"/>
          <w:szCs w:val="20"/>
          <w:color w:val="auto"/>
        </w:rPr>
      </w:pPr>
    </w:p>
    <w:p>
      <w:pPr>
        <w:ind w:right="600"/>
        <w:spacing w:after="0" w:line="276" w:lineRule="auto"/>
        <w:rPr>
          <w:sz w:val="20"/>
          <w:szCs w:val="20"/>
          <w:color w:val="auto"/>
        </w:rPr>
      </w:pPr>
      <w:r>
        <w:rPr>
          <w:rFonts w:ascii="Arial" w:cs="Arial" w:eastAsia="Arial" w:hAnsi="Arial"/>
          <w:sz w:val="12"/>
          <w:szCs w:val="12"/>
          <w:color w:val="auto"/>
        </w:rPr>
        <w:t>At December 31, 2018, Uniti Towers’ portfolio consisted of 430 wireless communications towers located in 26 states across the eastern and central regions in the United States, and 498 wireless communications towers in Latin America. Results for Uniti Towers are reported in our consolidated financial statements in our Towers business segment.</w:t>
      </w:r>
    </w:p>
    <w:p>
      <w:pPr>
        <w:spacing w:after="0" w:line="115" w:lineRule="exact"/>
        <w:rPr>
          <w:sz w:val="20"/>
          <w:szCs w:val="20"/>
          <w:color w:val="auto"/>
        </w:rPr>
      </w:pPr>
    </w:p>
    <w:p>
      <w:pPr>
        <w:ind w:right="200"/>
        <w:spacing w:after="0" w:line="323" w:lineRule="auto"/>
        <w:rPr>
          <w:sz w:val="20"/>
          <w:szCs w:val="20"/>
          <w:color w:val="auto"/>
        </w:rPr>
      </w:pPr>
      <w:r>
        <w:rPr>
          <w:rFonts w:ascii="Arial" w:cs="Arial" w:eastAsia="Arial" w:hAnsi="Arial"/>
          <w:sz w:val="11"/>
          <w:szCs w:val="11"/>
          <w:color w:val="auto"/>
        </w:rPr>
        <w:t>On February 19, 2019, the Company announced it had agreed to sell Uniti Towers’ Latin America business to an entity controlled by Phoenix Towers International (“PTI”) for cash consideration of approximately $100 million. PTI will acquire approximately 500 towers located across Mexico, Colombia and Nicaragua. The transaction is subject to customary closing conditions and is expected to close by the end of the first quarter of 2019.</w:t>
      </w:r>
    </w:p>
    <w:p>
      <w:pPr>
        <w:spacing w:after="0" w:line="92"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Uniti Leasing</w:t>
      </w:r>
    </w:p>
    <w:p>
      <w:pPr>
        <w:spacing w:after="0" w:line="150"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Uniti Leasing is engaged in acquiring mission-critical communications assets, such as fiber, data centers, next-generation consumer broadband, coaxial and upgradeable copper, and leasing them back to anchor customers on either an exclusive or shared-tenant basis. Presently, a substantial portion of Uniti Leasing’s revenue is rental revenues from leasing the Distribution Systems to Windstream pursuant to the Master Lease. We believe our attractive cost of capital and advantaged REIT structure will enable Uniti Leasing to provide creative and tax-efficient solutions to additional customers, including (i) sale leaseback transactions, whereby Uniti Leasing acquires existing infrastructure assets from communications service providers and leases them back on a long-term basis; (ii) capital investment financing, whereby Uniti Leasing offers communications service providers a cost-efficient method of raising funds for discrete capital investments to upgrade or expand their network; and (iii) mergers and acquisitions financing, whereby Uniti Leasing facilitates mergers and acquisition transactions as a capital partner. Results for Uniti Leasing are reported in our consolidated financial statements in our Leasing business segment.</w:t>
      </w:r>
    </w:p>
    <w:p>
      <w:pPr>
        <w:spacing w:after="0" w:line="129"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Talk America</w:t>
      </w:r>
    </w:p>
    <w:p>
      <w:pPr>
        <w:spacing w:after="0" w:line="150" w:lineRule="exact"/>
        <w:rPr>
          <w:sz w:val="20"/>
          <w:szCs w:val="20"/>
          <w:color w:val="auto"/>
        </w:rPr>
      </w:pPr>
    </w:p>
    <w:p>
      <w:pPr>
        <w:ind w:right="220"/>
        <w:spacing w:after="0" w:line="323" w:lineRule="auto"/>
        <w:rPr>
          <w:sz w:val="20"/>
          <w:szCs w:val="20"/>
          <w:color w:val="auto"/>
        </w:rPr>
      </w:pPr>
      <w:r>
        <w:rPr>
          <w:rFonts w:ascii="Arial" w:cs="Arial" w:eastAsia="Arial" w:hAnsi="Arial"/>
          <w:sz w:val="11"/>
          <w:szCs w:val="11"/>
          <w:color w:val="auto"/>
        </w:rPr>
        <w:t>We conduct the Consumer CLEC Business through Talk America Services, LLC. Talk America provides local telephone, high-speed Internet and long-distance service to approximately 22,500 customers principally located in 17 states across the eastern and central United States. Substantially all of the network assets used to provide these services to customers are contracted through interconnection agreements with other telecommunications carriers.</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6" w:name="page7"/>
    <w:bookmarkEnd w:id="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color w:val="auto"/>
        </w:rPr>
        <w:t>Results for Talk America are reported in our consolidated financial statements in our Consumer CLEC business segment.</w:t>
      </w:r>
    </w:p>
    <w:p>
      <w:pPr>
        <w:spacing w:after="0" w:line="137"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Industry</w:t>
      </w:r>
    </w:p>
    <w:p>
      <w:pPr>
        <w:spacing w:after="0" w:line="172" w:lineRule="exact"/>
        <w:rPr>
          <w:sz w:val="20"/>
          <w:szCs w:val="20"/>
          <w:color w:val="auto"/>
        </w:rPr>
      </w:pPr>
    </w:p>
    <w:p>
      <w:pPr>
        <w:ind w:right="80"/>
        <w:spacing w:after="0" w:line="257" w:lineRule="auto"/>
        <w:rPr>
          <w:sz w:val="20"/>
          <w:szCs w:val="20"/>
          <w:color w:val="auto"/>
        </w:rPr>
      </w:pPr>
      <w:r>
        <w:rPr>
          <w:rFonts w:ascii="Arial" w:cs="Arial" w:eastAsia="Arial" w:hAnsi="Arial"/>
          <w:sz w:val="12"/>
          <w:szCs w:val="12"/>
          <w:color w:val="auto"/>
        </w:rPr>
        <w:t>The current communications infrastructure industry is marked by the growing demand for and use of bandwidth-intensive devices and applications, such as smart devices, real-time and online streaming video, cloud-based applications, social media and mobile broadband. This growth in consumption requires the support of robust communications infrastructure, of which fiber networks and communications towers are critical components. Substantial investments have been made in recent years in fiber networks, lit services and colocation facilities to keep pace with the increased bandwidth use of both enterprise- and consumer-end users. As companies attempt to keep pace with this rapidly evolving business sector, communications infrastructure continues to increase in priority and economic importance. We believe this considerable demand creates tremendous opportunities for us as an acquirer and operator and as a funding source for operators seeking to capitalize on these trends through build outs and acquisitions of infrastructure assets.</w:t>
      </w:r>
    </w:p>
    <w:p>
      <w:pPr>
        <w:spacing w:after="0" w:line="126" w:lineRule="exact"/>
        <w:rPr>
          <w:sz w:val="20"/>
          <w:szCs w:val="20"/>
          <w:color w:val="auto"/>
        </w:rPr>
      </w:pPr>
    </w:p>
    <w:p>
      <w:pPr>
        <w:ind w:right="40"/>
        <w:spacing w:after="0" w:line="259" w:lineRule="auto"/>
        <w:rPr>
          <w:sz w:val="20"/>
          <w:szCs w:val="20"/>
          <w:color w:val="auto"/>
        </w:rPr>
      </w:pPr>
      <w:r>
        <w:rPr>
          <w:rFonts w:ascii="Arial" w:cs="Arial" w:eastAsia="Arial" w:hAnsi="Arial"/>
          <w:sz w:val="12"/>
          <w:szCs w:val="12"/>
          <w:color w:val="auto"/>
        </w:rPr>
        <w:t>The wireless communications industry is a prime example of the growing importance of the bandwidth infrastructure industry. As wireless traffic and mobile data consumption continue to grow worldwide, participants in the wireless communications industry are increasing their network capacity through the development of new wireless cell sites and the addition of bandwidth capacity. Consumers are demanding network quality and coverage, and as a result wireless carriers are making significant capital investments to improve quality, expand their coverage and remain relevant in a highly competitive industry. We expect this continued growth in capital expenditures to generate high demands for wireless towers (including strong growth in long-term tower leasing), tower space and bandwidth infrastructure services.</w:t>
      </w:r>
    </w:p>
    <w:p>
      <w:pPr>
        <w:spacing w:after="0" w:line="121"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Strategy</w:t>
      </w:r>
    </w:p>
    <w:p>
      <w:pPr>
        <w:spacing w:after="0" w:line="154" w:lineRule="exact"/>
        <w:rPr>
          <w:sz w:val="20"/>
          <w:szCs w:val="20"/>
          <w:color w:val="auto"/>
        </w:rPr>
      </w:pPr>
    </w:p>
    <w:p>
      <w:pPr>
        <w:ind w:right="160"/>
        <w:spacing w:after="0" w:line="323" w:lineRule="auto"/>
        <w:rPr>
          <w:sz w:val="20"/>
          <w:szCs w:val="20"/>
          <w:color w:val="auto"/>
        </w:rPr>
      </w:pPr>
      <w:r>
        <w:rPr>
          <w:rFonts w:ascii="Arial" w:cs="Arial" w:eastAsia="Arial" w:hAnsi="Arial"/>
          <w:sz w:val="11"/>
          <w:szCs w:val="11"/>
          <w:color w:val="auto"/>
        </w:rPr>
        <w:t>Our primary goal is to create long-term stockholder value by (i) generating reliable and growing cash flows, (ii) diversifying our tenant and asset base, (iii) paying a dividend, and (iv) maintaining our financial strength and liquidity. To achieve this goal, we employ a business strategy that leverages our first mover advantages in the sector and our strong access to the capital markets. The key components of our business strategy are:</w:t>
      </w:r>
    </w:p>
    <w:p>
      <w:pPr>
        <w:spacing w:after="0" w:line="92"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Acquire Additional Infrastructure Assets Through Sale Leaseback Transactions</w:t>
      </w:r>
    </w:p>
    <w:p>
      <w:pPr>
        <w:spacing w:after="0" w:line="150" w:lineRule="exact"/>
        <w:rPr>
          <w:sz w:val="20"/>
          <w:szCs w:val="20"/>
          <w:color w:val="auto"/>
        </w:rPr>
      </w:pPr>
    </w:p>
    <w:p>
      <w:pPr>
        <w:spacing w:after="0" w:line="298" w:lineRule="auto"/>
        <w:rPr>
          <w:sz w:val="20"/>
          <w:szCs w:val="20"/>
          <w:color w:val="auto"/>
        </w:rPr>
      </w:pPr>
      <w:r>
        <w:rPr>
          <w:rFonts w:ascii="Arial" w:cs="Arial" w:eastAsia="Arial" w:hAnsi="Arial"/>
          <w:sz w:val="11"/>
          <w:szCs w:val="11"/>
          <w:color w:val="auto"/>
        </w:rPr>
        <w:t>We actively seek to acquire communications infrastructure assets from communication service providers and lease these assets back to the communication service providers on a long-term basis. We believe this type of transaction benefits the communication service providers with incremental liquidity which can be used to reduce indebtedness or for other investments, while they continue to focus on their existing business. We will employ a disciplined, opportunistic acquisition strategy and seek to price transactions appropriately based on, among other things, growth opportunities, the mix of assets acquired, length and terms of the lease, and credit worthiness of the tenant.</w:t>
      </w:r>
    </w:p>
    <w:p>
      <w:pPr>
        <w:spacing w:after="0" w:line="105"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This strategy will also expand our mix of tenants and other real property and will reduce our revenue concentration with Windstream. We expect that this objective will be achieved over time as part of our overall strategy to acquire new distribution systems and other real property within the communications infrastructure industry to further diversify our overall portfolio.</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Capitalize on the Market Demand for Increased Bandwidth Infrastructure and Performance</w:t>
      </w:r>
    </w:p>
    <w:p>
      <w:pPr>
        <w:spacing w:after="0" w:line="150"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Bandwidth intensive devices and applications are rapidly fueling worldwide consumption of bandwidth, which in turn fuels a continuously growing demand for stable and secure bandwidth options. Communications service providers and other enterprises whose services and businesses require substantial amounts of bandwidth are increasingly looking to infrastructure providers to support their bandwidth needs and to expand the reach, performance and security of their networks. We believe Uniti Fiber is well positioned to capitalize on this ongoing demand for bandwidth infrastructure solutions.</w:t>
      </w:r>
    </w:p>
    <w:p>
      <w:pPr>
        <w:spacing w:after="0" w:line="267"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00"/>
          </w:cols>
          <w:pgMar w:left="220" w:top="131" w:right="279" w:bottom="1440" w:gutter="0" w:footer="0" w:header="0"/>
        </w:sectPr>
      </w:pPr>
    </w:p>
    <w:bookmarkStart w:id="7" w:name="page8"/>
    <w:bookmarkEnd w:id="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Fund Capital Extensions to Existing and New Tenants for Improvements of Infrastructure Assets</w:t>
      </w:r>
    </w:p>
    <w:p>
      <w:pPr>
        <w:spacing w:after="0" w:line="141" w:lineRule="exact"/>
        <w:rPr>
          <w:sz w:val="20"/>
          <w:szCs w:val="20"/>
          <w:color w:val="auto"/>
        </w:rPr>
      </w:pPr>
    </w:p>
    <w:p>
      <w:pPr>
        <w:ind w:right="140"/>
        <w:spacing w:after="0" w:line="380" w:lineRule="auto"/>
        <w:rPr>
          <w:sz w:val="20"/>
          <w:szCs w:val="20"/>
          <w:color w:val="auto"/>
        </w:rPr>
      </w:pPr>
      <w:r>
        <w:rPr>
          <w:rFonts w:ascii="Arial" w:cs="Arial" w:eastAsia="Arial" w:hAnsi="Arial"/>
          <w:sz w:val="10"/>
          <w:szCs w:val="10"/>
          <w:color w:val="auto"/>
        </w:rPr>
        <w:t>We believe the communications infrastructure industry in the United States is currently going through an upgrade cycle driven by consumers’ general desire for greater bandwidth and wireless services. These upgrades require significant capital expenditures, and we believe Uniti provides an attractive, non-competitive funding source for communication service providers to help accelerate the improvement and expansion of their networks at an attractive cost of capital.</w:t>
      </w:r>
    </w:p>
    <w:p>
      <w:pPr>
        <w:spacing w:after="0" w:line="68" w:lineRule="exact"/>
        <w:rPr>
          <w:sz w:val="20"/>
          <w:szCs w:val="20"/>
          <w:color w:val="auto"/>
        </w:rPr>
      </w:pPr>
    </w:p>
    <w:p>
      <w:pPr>
        <w:ind w:right="20"/>
        <w:spacing w:after="0" w:line="276" w:lineRule="auto"/>
        <w:rPr>
          <w:sz w:val="20"/>
          <w:szCs w:val="20"/>
          <w:color w:val="auto"/>
        </w:rPr>
      </w:pPr>
      <w:r>
        <w:rPr>
          <w:rFonts w:ascii="Arial" w:cs="Arial" w:eastAsia="Arial" w:hAnsi="Arial"/>
          <w:sz w:val="12"/>
          <w:szCs w:val="12"/>
          <w:color w:val="auto"/>
        </w:rPr>
        <w:t>We intend to support our tenant operators and other communication service providers by providing capital to them for a variety of purposes, including capacity augmentation projects, tower construction and network expansions. We expect to structure these investments as lease arrangements that produce additional rents.</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Facilitate M&amp;A Transactions in the Communication Service Sector as a Capital Partner</w:t>
      </w:r>
    </w:p>
    <w:p>
      <w:pPr>
        <w:spacing w:after="0" w:line="150" w:lineRule="exact"/>
        <w:rPr>
          <w:sz w:val="20"/>
          <w:szCs w:val="20"/>
          <w:color w:val="auto"/>
        </w:rPr>
      </w:pPr>
    </w:p>
    <w:p>
      <w:pPr>
        <w:ind w:right="160"/>
        <w:spacing w:after="0" w:line="263" w:lineRule="auto"/>
        <w:rPr>
          <w:sz w:val="20"/>
          <w:szCs w:val="20"/>
          <w:color w:val="auto"/>
        </w:rPr>
      </w:pPr>
      <w:r>
        <w:rPr>
          <w:rFonts w:ascii="Arial" w:cs="Arial" w:eastAsia="Arial" w:hAnsi="Arial"/>
          <w:sz w:val="12"/>
          <w:szCs w:val="12"/>
          <w:color w:val="auto"/>
        </w:rPr>
        <w:t>We believe Uniti can provide cost efficient funds to potential acquirers in the communication service sector, and thereby facilitate M&amp;A transactions as a capital partner, including by partnering with operators through use of “OpCo-PropCo” structures, pursuant to we acquire the underlying network and other assets and the operator acquires the operations. The highly fragmented nature of the communication service sector is expected to result in more consolidation, which we believe will provide us ample opportunity to pursue these types of transactions.</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Maintain Balance Sheet Strength and Liquidity</w:t>
      </w:r>
    </w:p>
    <w:p>
      <w:pPr>
        <w:spacing w:after="0" w:line="150" w:lineRule="exact"/>
        <w:rPr>
          <w:sz w:val="20"/>
          <w:szCs w:val="20"/>
          <w:color w:val="auto"/>
        </w:rPr>
      </w:pPr>
    </w:p>
    <w:p>
      <w:pPr>
        <w:ind w:right="100"/>
        <w:spacing w:after="0" w:line="257" w:lineRule="auto"/>
        <w:rPr>
          <w:sz w:val="20"/>
          <w:szCs w:val="20"/>
          <w:color w:val="auto"/>
        </w:rPr>
      </w:pPr>
      <w:r>
        <w:rPr>
          <w:rFonts w:ascii="Arial" w:cs="Arial" w:eastAsia="Arial" w:hAnsi="Arial"/>
          <w:sz w:val="12"/>
          <w:szCs w:val="12"/>
          <w:color w:val="auto"/>
        </w:rPr>
        <w:t>We seek to maintain a capital structure that provides the resources and financial flexibility to position us to capitalize on strategic growth opportunities. Our access to, and cost of, external capital is dependent on various factors, including general market conditions, credit ratings on our securities, interest rates and expectations of our future business performance. We intend to maintain a strong balance sheet through disciplined use of leverage, aiming to lower our relative cost of capital over time, and continuing to have access to multiple sources of capital and liquidity. As of December 31, 2018, we had $38.0 million of unrestricted cash and cash equivalents, and $110 million of undrawn borrowing capacity under our revolving credit facility, although we have since drawn substantially all of our revolver capacity. As of December 31, 2018, with the exception of our revolving credit facility, all of our debt is either fixed-rate debt, or floating-rate debt that we have fixed through the use of interest rate swaps.</w:t>
      </w:r>
    </w:p>
    <w:p>
      <w:pPr>
        <w:spacing w:after="0" w:line="140"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Competition</w:t>
      </w:r>
    </w:p>
    <w:p>
      <w:pPr>
        <w:spacing w:after="0" w:line="172"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We compete for investments in the communications industry with telecommunications companies, investment companies, private equity funds, hedge fund investors, sovereign funds and other REITs who focus primarily on specific segments of the communications infrastructure industry. The communications infrastructure industry is characterized by a high degree of competition among a large number of participants, including many local, regional and global corporations. Some of our competitors are significantly larger and have greater financial resources and lower costs of capital than we have. In addition, revenues from our network properties are dependent, to an extent, on the ability of our operating partners, like Windstream, to compete with other communication service providers.</w:t>
      </w:r>
    </w:p>
    <w:p>
      <w:pPr>
        <w:spacing w:after="0" w:line="143"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color w:val="auto"/>
        </w:rPr>
        <w:t>However, we believe we are positioned to identify and successfully capitalize on acquisition opportunities that meet our investment objectives and that we have significant competitive advantages that support our leadership position in owning, funding the construction of and leasing communications infrastructure, including:</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First-Mover Advantage; Uniquely Positioned to Capitalize on Expansion Opportunities</w:t>
      </w:r>
    </w:p>
    <w:p>
      <w:pPr>
        <w:spacing w:after="0" w:line="150" w:lineRule="exact"/>
        <w:rPr>
          <w:sz w:val="20"/>
          <w:szCs w:val="20"/>
          <w:color w:val="auto"/>
        </w:rPr>
      </w:pPr>
    </w:p>
    <w:p>
      <w:pPr>
        <w:ind w:right="240"/>
        <w:spacing w:after="0" w:line="323" w:lineRule="auto"/>
        <w:rPr>
          <w:sz w:val="20"/>
          <w:szCs w:val="20"/>
          <w:color w:val="auto"/>
        </w:rPr>
      </w:pPr>
      <w:r>
        <w:rPr>
          <w:rFonts w:ascii="Arial" w:cs="Arial" w:eastAsia="Arial" w:hAnsi="Arial"/>
          <w:sz w:val="11"/>
          <w:szCs w:val="11"/>
          <w:color w:val="auto"/>
        </w:rPr>
        <w:t>We are the first and only REIT primarily focused on the acquisition and construction of mission critical infrastructure in the communications industry. We believe this provides us with a significant first-mover competitive advantage to capitalize on the large and fragmented communications infrastructure industry. Additionally, we believe our position, scale and national reach will help us achieve operational efficiencies and support future growth opportunities.</w:t>
      </w: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8" w:name="page9"/>
    <w:bookmarkEnd w:id="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Large Scale Anchor Tenant</w:t>
      </w:r>
    </w:p>
    <w:p>
      <w:pPr>
        <w:spacing w:after="0" w:line="141" w:lineRule="exact"/>
        <w:rPr>
          <w:sz w:val="20"/>
          <w:szCs w:val="20"/>
          <w:color w:val="auto"/>
        </w:rPr>
      </w:pPr>
    </w:p>
    <w:p>
      <w:pPr>
        <w:ind w:right="140"/>
        <w:spacing w:after="0" w:line="323" w:lineRule="auto"/>
        <w:rPr>
          <w:sz w:val="20"/>
          <w:szCs w:val="20"/>
          <w:color w:val="auto"/>
        </w:rPr>
      </w:pPr>
      <w:r>
        <w:rPr>
          <w:rFonts w:ascii="Arial" w:cs="Arial" w:eastAsia="Arial" w:hAnsi="Arial"/>
          <w:sz w:val="11"/>
          <w:szCs w:val="11"/>
          <w:color w:val="auto"/>
        </w:rPr>
        <w:t>We believe the assets we lease to Windstream under the Master Lease are critical for Windstream to successfully run its business and operations, and that Windstream will need the assets subject to the Master Lease while it undergoes its restructuring as set forth under “Risk Factors”. Windstream, as our anchor tenant, provides us with a base of rent revenues as an initial platform for us to grow and diversify our portfolio and tenant base.</w:t>
      </w:r>
    </w:p>
    <w:p>
      <w:pPr>
        <w:spacing w:after="0" w:line="92"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Windstream is a publicly-traded company that provides advanced network communications and technology solutions for businesses across the United States. Windstream also offers broadband, entertainment and security solutions to consumers and small businesses primarily in rural areas. Windstream continues to operate the Distribution Systems, hold the associated regulatory licenses and own and operate other assets, including distribution systems in select states not included in the Spin-Off.</w:t>
      </w:r>
    </w:p>
    <w:p>
      <w:pPr>
        <w:spacing w:after="0" w:line="123" w:lineRule="exact"/>
        <w:rPr>
          <w:sz w:val="20"/>
          <w:szCs w:val="20"/>
          <w:color w:val="auto"/>
        </w:rPr>
      </w:pPr>
    </w:p>
    <w:p>
      <w:pPr>
        <w:jc w:val="both"/>
        <w:ind w:right="220"/>
        <w:spacing w:after="0" w:line="380" w:lineRule="auto"/>
        <w:rPr>
          <w:sz w:val="20"/>
          <w:szCs w:val="20"/>
          <w:color w:val="auto"/>
        </w:rPr>
      </w:pPr>
      <w:r>
        <w:rPr>
          <w:rFonts w:ascii="Arial" w:cs="Arial" w:eastAsia="Arial" w:hAnsi="Arial"/>
          <w:sz w:val="10"/>
          <w:szCs w:val="10"/>
          <w:color w:val="auto"/>
        </w:rPr>
        <w:t>Windstream has a diverse customer base, encompassing enterprise and small business customers, carriers and consumers. The Distribution Systems we lease to Windstream are located in 29 different states across the continental United States. The fiber assets in any one state do not account for more than 20% of the total route miles in our network. We believe this geographic diversification will limit the effect of changes in any one market on our overall performance.</w:t>
      </w:r>
    </w:p>
    <w:p>
      <w:pPr>
        <w:spacing w:after="0" w:line="68" w:lineRule="exact"/>
        <w:rPr>
          <w:sz w:val="20"/>
          <w:szCs w:val="20"/>
          <w:color w:val="auto"/>
        </w:rPr>
      </w:pPr>
    </w:p>
    <w:p>
      <w:pPr>
        <w:ind w:right="20"/>
        <w:spacing w:after="0" w:line="276" w:lineRule="auto"/>
        <w:rPr>
          <w:sz w:val="20"/>
          <w:szCs w:val="20"/>
          <w:color w:val="auto"/>
        </w:rPr>
      </w:pPr>
      <w:r>
        <w:rPr>
          <w:rFonts w:ascii="Arial" w:cs="Arial" w:eastAsia="Arial" w:hAnsi="Arial"/>
          <w:sz w:val="12"/>
          <w:szCs w:val="12"/>
          <w:color w:val="auto"/>
        </w:rPr>
        <w:t>Windstream is subject to the reporting requirements of the SEC, which include the requirements to file annual reports containing audited financial information and quarterly reports containing unaudited financial information. Windstream’s filings with the SEC can be found at www.sec.gov. Windstream’s filings are not incorporated by reference into this Annual Report.</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Strong Relationships with Communication Service Providers</w:t>
      </w:r>
    </w:p>
    <w:p>
      <w:pPr>
        <w:spacing w:after="0" w:line="150" w:lineRule="exact"/>
        <w:rPr>
          <w:sz w:val="20"/>
          <w:szCs w:val="20"/>
          <w:color w:val="auto"/>
        </w:rPr>
      </w:pPr>
    </w:p>
    <w:p>
      <w:pPr>
        <w:ind w:right="60"/>
        <w:spacing w:after="0" w:line="257" w:lineRule="auto"/>
        <w:rPr>
          <w:sz w:val="20"/>
          <w:szCs w:val="20"/>
          <w:color w:val="auto"/>
        </w:rPr>
      </w:pPr>
      <w:r>
        <w:rPr>
          <w:rFonts w:ascii="Arial" w:cs="Arial" w:eastAsia="Arial" w:hAnsi="Arial"/>
          <w:sz w:val="12"/>
          <w:szCs w:val="12"/>
          <w:color w:val="auto"/>
        </w:rPr>
        <w:t>Members of our management team have developed an extensive network of relationships with qualified local, regional and national communication service providers across the United States. This extensive network has been built by our management team through decades of operating experience, involvement in industry trade organizations and the development of banking relationships and investor relations within the communications infrastructure industry. We believe these strong relationships will allow us to effectively source investment opportunities from communication service providers other than Windstream. We intend to work collaboratively with our operating partners in providing expansion capital at attractive rates to help them achieve their growth and business objectives. We will seek to partner with communication service providers who possess local market knowledge, demonstrate hands-on management and have proven track records.</w:t>
      </w:r>
    </w:p>
    <w:p>
      <w:pPr>
        <w:spacing w:after="0" w:line="126"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Experienced and Committed Management Team</w:t>
      </w:r>
    </w:p>
    <w:p>
      <w:pPr>
        <w:spacing w:after="0" w:line="150" w:lineRule="exact"/>
        <w:rPr>
          <w:sz w:val="20"/>
          <w:szCs w:val="20"/>
          <w:color w:val="auto"/>
        </w:rPr>
      </w:pPr>
    </w:p>
    <w:p>
      <w:pPr>
        <w:ind w:right="380"/>
        <w:spacing w:after="0" w:line="276" w:lineRule="auto"/>
        <w:rPr>
          <w:sz w:val="20"/>
          <w:szCs w:val="20"/>
          <w:color w:val="auto"/>
        </w:rPr>
      </w:pPr>
      <w:r>
        <w:rPr>
          <w:rFonts w:ascii="Arial" w:cs="Arial" w:eastAsia="Arial" w:hAnsi="Arial"/>
          <w:sz w:val="12"/>
          <w:szCs w:val="12"/>
          <w:color w:val="auto"/>
        </w:rPr>
        <w:t>Our senior management team is comprised of veteran leaders with strong backgrounds in their respective disciplines. Our senior management team has extensive experience managing telecommunications operations, consummating mergers and acquisitions and accessing both debt and equity capital markets to fund growth and maintain a flexible capital structure.</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Insurance</w:t>
      </w:r>
    </w:p>
    <w:p>
      <w:pPr>
        <w:spacing w:after="0" w:line="154" w:lineRule="exact"/>
        <w:rPr>
          <w:sz w:val="20"/>
          <w:szCs w:val="20"/>
          <w:color w:val="auto"/>
        </w:rPr>
      </w:pPr>
    </w:p>
    <w:p>
      <w:pPr>
        <w:ind w:right="20"/>
        <w:spacing w:after="0" w:line="257" w:lineRule="auto"/>
        <w:rPr>
          <w:sz w:val="20"/>
          <w:szCs w:val="20"/>
          <w:color w:val="auto"/>
        </w:rPr>
      </w:pPr>
      <w:r>
        <w:rPr>
          <w:rFonts w:ascii="Arial" w:cs="Arial" w:eastAsia="Arial" w:hAnsi="Arial"/>
          <w:sz w:val="12"/>
          <w:szCs w:val="12"/>
          <w:color w:val="auto"/>
        </w:rPr>
        <w:t>We maintain, or will require in our leases (including the Master Lease), that our tenants maintain, all applicable lines of insurance on our properties and their operations. Under the Master Lease, Windstream has the right to self-insure or use a captive provider with respect to its insurance obligations. We believe that the amount and scope of insurance coverage provided by our policies and the policies maintained by our tenants are customary for similarly situated companies in the telecommunications industry. However, our tenants may elect not to, or be able to, maintain the required insurance coverages, and the failure by any of them to do so could have a material adverse effect on us. We may not continue to require the same levels of insurance coverage under our leases, including the Master Lease, and such insurance may not be available at a reasonable cost in the future or fully cover all losses on our properties upon the occurrence of a catastrophic event. Moreover, we cannot guarantee the future financial viability of the insurers.</w:t>
      </w: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9" w:name="page10"/>
    <w:bookmarkEnd w:id="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Employees</w:t>
      </w:r>
    </w:p>
    <w:p>
      <w:pPr>
        <w:spacing w:after="0" w:line="141" w:lineRule="exact"/>
        <w:rPr>
          <w:sz w:val="20"/>
          <w:szCs w:val="20"/>
          <w:color w:val="auto"/>
        </w:rPr>
      </w:pPr>
    </w:p>
    <w:p>
      <w:pPr>
        <w:spacing w:after="0"/>
        <w:rPr>
          <w:sz w:val="20"/>
          <w:szCs w:val="20"/>
          <w:color w:val="auto"/>
        </w:rPr>
      </w:pPr>
      <w:r>
        <w:rPr>
          <w:rFonts w:ascii="Arial" w:cs="Arial" w:eastAsia="Arial" w:hAnsi="Arial"/>
          <w:sz w:val="12"/>
          <w:szCs w:val="12"/>
          <w:color w:val="auto"/>
        </w:rPr>
        <w:t>At December 31, 2018, we had 798 full-time employees. Except for 18 employees in Mexico, none of our employees are subject to a collective bargaining agreement.</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Significant Customers</w:t>
      </w:r>
    </w:p>
    <w:p>
      <w:pPr>
        <w:spacing w:after="0" w:line="172" w:lineRule="exact"/>
        <w:rPr>
          <w:sz w:val="20"/>
          <w:szCs w:val="20"/>
          <w:color w:val="auto"/>
        </w:rPr>
      </w:pPr>
    </w:p>
    <w:p>
      <w:pPr>
        <w:spacing w:after="0"/>
        <w:rPr>
          <w:sz w:val="20"/>
          <w:szCs w:val="20"/>
          <w:color w:val="auto"/>
        </w:rPr>
      </w:pPr>
      <w:r>
        <w:rPr>
          <w:rFonts w:ascii="Arial" w:cs="Arial" w:eastAsia="Arial" w:hAnsi="Arial"/>
          <w:sz w:val="11"/>
          <w:szCs w:val="11"/>
          <w:color w:val="auto"/>
        </w:rPr>
        <w:t>For the years ended December 31, 2018, 2017 and 2016, 68.2%, 74.8% and 87.9% of our revenues, respectively, were derived from leasing our Distribution Systems to Windstream Holdings pursuant to the Master Lease.</w:t>
      </w:r>
    </w:p>
    <w:p>
      <w:pPr>
        <w:spacing w:after="0" w:line="162" w:lineRule="exact"/>
        <w:rPr>
          <w:sz w:val="20"/>
          <w:szCs w:val="20"/>
          <w:color w:val="auto"/>
        </w:rPr>
      </w:pPr>
    </w:p>
    <w:p>
      <w:pPr>
        <w:ind w:right="320"/>
        <w:spacing w:after="0" w:line="276" w:lineRule="auto"/>
        <w:rPr>
          <w:sz w:val="20"/>
          <w:szCs w:val="20"/>
          <w:color w:val="auto"/>
        </w:rPr>
      </w:pPr>
      <w:r>
        <w:rPr>
          <w:rFonts w:ascii="Arial" w:cs="Arial" w:eastAsia="Arial" w:hAnsi="Arial"/>
          <w:sz w:val="12"/>
          <w:szCs w:val="12"/>
          <w:color w:val="auto"/>
        </w:rPr>
        <w:t>On February 25, 2019, Windstream filed a voluntary petition for relief under Chapter 11 of the Bankruptcy Code in the U.S. Bankruptcy Court for the Southern District of New York. For a discussion of the impact that Windstream’s bankruptcy may have on the Master Lease, see Part I, Item 1A “Risk Factors” in this Annual Report on Form 10-K.</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Government Regulation, Licensing and Enforcement</w:t>
      </w:r>
    </w:p>
    <w:p>
      <w:pPr>
        <w:spacing w:after="0" w:line="172"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U.S. Telecommunications Regulatory Overview</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Market Overview</w:t>
      </w:r>
    </w:p>
    <w:p>
      <w:pPr>
        <w:spacing w:after="0" w:line="150" w:lineRule="exact"/>
        <w:rPr>
          <w:sz w:val="20"/>
          <w:szCs w:val="20"/>
          <w:color w:val="auto"/>
        </w:rPr>
      </w:pPr>
    </w:p>
    <w:p>
      <w:pPr>
        <w:ind w:right="100"/>
        <w:spacing w:after="0" w:line="286" w:lineRule="auto"/>
        <w:rPr>
          <w:sz w:val="20"/>
          <w:szCs w:val="20"/>
          <w:color w:val="auto"/>
        </w:rPr>
      </w:pPr>
      <w:r>
        <w:rPr>
          <w:rFonts w:ascii="Arial" w:cs="Arial" w:eastAsia="Arial" w:hAnsi="Arial"/>
          <w:sz w:val="11"/>
          <w:szCs w:val="11"/>
          <w:color w:val="auto"/>
        </w:rPr>
        <w:t>Our subsidiaries and our tenants operate in a regulated market. As operators of telecommunications facilities and services, both we and the current and future tenants of our telecommunications assets are typically subject to extensive and complex federal, state and local telecommunications laws and regulations. The Federal Communications Commission (“FCC”) regulates the provision of interstate and international telecommunications services, and state public utility commissions (“PUCs”) regulate intrastate telecommunications services. Federal and state telecommunications laws and regulations are wide-ranging, and violations of them can subject us and our tenants to civil, criminal and administrative sanctions. We expect that the telecommunications industry, in general, will continue to face increased regulation. Changes in laws and regulations and violations of federal or state laws or regulations by us or our tenants could have a significant direct or indirect effect on our operations and financial condition, as detailed below and set forth under “Risk Factors—Risks Related to Our Business.”</w:t>
      </w:r>
    </w:p>
    <w:p>
      <w:pPr>
        <w:spacing w:after="0" w:line="111" w:lineRule="exact"/>
        <w:rPr>
          <w:sz w:val="20"/>
          <w:szCs w:val="20"/>
          <w:color w:val="auto"/>
        </w:rPr>
      </w:pPr>
    </w:p>
    <w:p>
      <w:pPr>
        <w:spacing w:after="0" w:line="283" w:lineRule="auto"/>
        <w:rPr>
          <w:sz w:val="20"/>
          <w:szCs w:val="20"/>
          <w:color w:val="auto"/>
        </w:rPr>
      </w:pPr>
      <w:r>
        <w:rPr>
          <w:rFonts w:ascii="Arial" w:cs="Arial" w:eastAsia="Arial" w:hAnsi="Arial"/>
          <w:sz w:val="11"/>
          <w:szCs w:val="11"/>
          <w:color w:val="auto"/>
        </w:rPr>
        <w:t>Our operations require that certain of our subsidiaries across all segments hold licenses or other forms of authorization from the FCC and state PUCs in those states where we operate, and in some jurisdictions our subsidiaries must file tariffs or other price lists describing their rates, terms and conditions of the services they provide. The FCC and PUCs can modify or terminate a service provider’s license or other authority to provide telecommunications services for failure to comply with applicable laws and regulations. The FCC and PUCs may also investigate our subsidiaries’ operations and may impose fines or other penalties for violations of the same. In addition, our subsidiaries are required to submit periodic reports to the FCC and PUCs documenting their revenues and other data. Some of this information is used as the basis for the imposition of various regulatory fees and other assessments. In order to engage in certain transactions in some jurisdictions, including changes of control, the encumbrance of certain assets, the issuance of securities, the incurrence of indebtedness, the guarantee of indebtedness of other entities, including subsidiaries of ours, and the transfer of assets, we are required to provide notice and/or obtain prior approval from certain governmental agencies. Failure to obtain such approvals could subject us to fines or other penalties.</w:t>
      </w:r>
    </w:p>
    <w:p>
      <w:pPr>
        <w:spacing w:after="0" w:line="114"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Our subsidiaries are subject to a number of federal and state regulations that govern the way we can conduct our business. Such regulations also impose certain operating costs on our businesses. These regulations can include restrictions on pricing flexibility for certain products, minimum service quality standards, service reporting, intercarrier compensation, contributions to universal service, and other obligations.</w:t>
      </w:r>
    </w:p>
    <w:p>
      <w:pPr>
        <w:spacing w:after="0" w:line="115" w:lineRule="exact"/>
        <w:rPr>
          <w:sz w:val="20"/>
          <w:szCs w:val="20"/>
          <w:color w:val="auto"/>
        </w:rPr>
      </w:pPr>
    </w:p>
    <w:p>
      <w:pPr>
        <w:ind w:right="200"/>
        <w:spacing w:after="0" w:line="323" w:lineRule="auto"/>
        <w:rPr>
          <w:sz w:val="20"/>
          <w:szCs w:val="20"/>
          <w:color w:val="auto"/>
        </w:rPr>
      </w:pPr>
      <w:r>
        <w:rPr>
          <w:rFonts w:ascii="Arial" w:cs="Arial" w:eastAsia="Arial" w:hAnsi="Arial"/>
          <w:sz w:val="11"/>
          <w:szCs w:val="11"/>
          <w:color w:val="auto"/>
        </w:rPr>
        <w:t>We have sought to structure the operations for our core real estate business in a manner that will not require us to become regulated as a public utility or common carrier by the FCC or PUCs, but a number of our business operations are nonetheless subject to federal, state, and local regulation, and we cannot guarantee that our core real estate business will not become further subject to federal, state, and local regulation in the future.</w:t>
      </w: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0" w:name="page11"/>
    <w:bookmarkEnd w:id="1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Consumer CLEC Business</w:t>
      </w:r>
    </w:p>
    <w:p>
      <w:pPr>
        <w:spacing w:after="0" w:line="141" w:lineRule="exact"/>
        <w:rPr>
          <w:sz w:val="20"/>
          <w:szCs w:val="20"/>
          <w:color w:val="auto"/>
        </w:rPr>
      </w:pPr>
    </w:p>
    <w:p>
      <w:pPr>
        <w:ind w:right="20"/>
        <w:spacing w:after="0" w:line="281" w:lineRule="auto"/>
        <w:rPr>
          <w:sz w:val="20"/>
          <w:szCs w:val="20"/>
          <w:color w:val="auto"/>
        </w:rPr>
      </w:pPr>
      <w:r>
        <w:rPr>
          <w:rFonts w:ascii="Arial" w:cs="Arial" w:eastAsia="Arial" w:hAnsi="Arial"/>
          <w:sz w:val="11"/>
          <w:szCs w:val="11"/>
          <w:color w:val="auto"/>
        </w:rPr>
        <w:t>Talk America operates the Consumer CLEC Business as a reseller of telecommunication services pursuant to a Wholesale Master Services Agreement and a Master Service Agreement with Windstream. In almost all cases, Windstream does not own the underlying telecommunication facilities required to support the Consumer CLEC Business, rather it is a reseller of facility-based services pursuant to wholesale interconnection agreements with third-party carriers that own the underlying telecommunication facilities. Talk America is authorized and regulated as a CLEC and an interexchange (long-distance) service provider in most states where it has Consumer CLEC Business customers. These certifications subject Talk America to regulations requiring it to file and maintain tariffs for the rates charged to its Consumer CLEC Business customers for regulated services and to comply with service quality, service reporting and other regulatory obligations. Talk America’s ability to operate the Consumer CLEC Business is dependent on existing telecommunication regulations that allow access to such underlying facilities of other carriers at reasonable rates. The FCC is considering proposals to eliminate the requirement that incumbent local exchange carriers offer unbundled network elements to companies like Windstream and Talk America. We cannot predict how the FCC will resolve those proposals, nor whether such network elements will continue to be available in the future at the rates they are available today.</w:t>
      </w:r>
    </w:p>
    <w:p>
      <w:pPr>
        <w:spacing w:after="0" w:line="116" w:lineRule="exact"/>
        <w:rPr>
          <w:sz w:val="20"/>
          <w:szCs w:val="20"/>
          <w:color w:val="auto"/>
        </w:rPr>
      </w:pPr>
    </w:p>
    <w:p>
      <w:pPr>
        <w:spacing w:after="0" w:line="283" w:lineRule="auto"/>
        <w:rPr>
          <w:sz w:val="20"/>
          <w:szCs w:val="20"/>
          <w:color w:val="auto"/>
        </w:rPr>
      </w:pPr>
      <w:r>
        <w:rPr>
          <w:rFonts w:ascii="Arial" w:cs="Arial" w:eastAsia="Arial" w:hAnsi="Arial"/>
          <w:sz w:val="11"/>
          <w:szCs w:val="11"/>
          <w:color w:val="auto"/>
        </w:rPr>
        <w:t>With respect to the broadband Internet services that we provide, traditionally, the FCC has recognized that broadband Internet access services are “information services” subject to limited regulation. In 2015, the FCC issued a “network neutrality” decision that declared broadband Internet access services to be subject to certain “telecommunications services” regulation under Title II of the Communications Act of 1934. These regulations would have limited the ways that broadband Internet access service providers could structure business arrangements and manage their networks and spurred additional restrictions, including rate regulation, which could adversely affect broadband investment and innovation. In 2017, the FCC voted to return broadband Internet access service to its prior classification as “information services.” As a result of these decisions, state legislators and governors have introduced, and in some cases passed, state laws and executive orders requiring different levels of adherence to “network neutrality” principles for broadband Internet access service providers active in the applicable states. As a result of these laws and regulations, it is unclear at this time how broadband services will be regulated in the future, and the potential impact those regulations may have on our broadband Internet service business.</w:t>
      </w:r>
    </w:p>
    <w:p>
      <w:pPr>
        <w:spacing w:after="0" w:line="114"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Uniti Towers</w:t>
      </w:r>
    </w:p>
    <w:p>
      <w:pPr>
        <w:spacing w:after="0" w:line="150" w:lineRule="exact"/>
        <w:rPr>
          <w:sz w:val="20"/>
          <w:szCs w:val="20"/>
          <w:color w:val="auto"/>
        </w:rPr>
      </w:pPr>
    </w:p>
    <w:p>
      <w:pPr>
        <w:ind w:right="20"/>
        <w:spacing w:after="0" w:line="290" w:lineRule="auto"/>
        <w:rPr>
          <w:sz w:val="20"/>
          <w:szCs w:val="20"/>
          <w:color w:val="auto"/>
        </w:rPr>
      </w:pPr>
      <w:r>
        <w:rPr>
          <w:rFonts w:ascii="Arial" w:cs="Arial" w:eastAsia="Arial" w:hAnsi="Arial"/>
          <w:sz w:val="11"/>
          <w:szCs w:val="11"/>
          <w:color w:val="auto"/>
        </w:rPr>
        <w:t>Uniti Towers is subject to international, federal, state and local regulatory requirements with respect to the registration, siting, construction, lighting, marking and maintenance of our towers. In the United States, the construction of new towers or modifications to existing towers may require pre-approval by the FCC and the Federal Aviation Administration (“FAA”), depending on factors such as tower height and proximity to public airfields. Towers requiring pre-approval must be registered with the FCC and maintained in accordance with FCC and FAA standards. Similar requirements regarding pre-approval of the construction and modification of towers are imposed by regulators in other countries where Uniti Towers owns and operates towers. Non-compliance with applicable tower-related requirements may lead to monetary penalties or site deconstruction orders.</w:t>
      </w:r>
    </w:p>
    <w:p>
      <w:pPr>
        <w:spacing w:after="0" w:line="109"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Regulatory regimes outside of the United States and its territories vary by country and locality; however, these regulations typically require approval from local officials or government agencies prior to tower construction or modification or the addition of a new antenna to an existing tower. Additionally, some regulations include ongoing obligations regarding painting, lighting and maintenance. Our international operations may also be subject to limitations on foreign ownership of land in certain areas. Non-compliance with such regulations may lead to monetary penalties or deconstruction orders. Our international operations are also subject to various regulations and guidelines regarding employee relations and other occupational health and safety matters.</w:t>
      </w:r>
    </w:p>
    <w:p>
      <w:pPr>
        <w:spacing w:after="0" w:line="125" w:lineRule="exact"/>
        <w:rPr>
          <w:sz w:val="20"/>
          <w:szCs w:val="20"/>
          <w:color w:val="auto"/>
        </w:rPr>
      </w:pPr>
    </w:p>
    <w:p>
      <w:pPr>
        <w:ind w:right="220"/>
        <w:spacing w:after="0" w:line="263" w:lineRule="auto"/>
        <w:rPr>
          <w:sz w:val="20"/>
          <w:szCs w:val="20"/>
          <w:color w:val="auto"/>
        </w:rPr>
      </w:pPr>
      <w:r>
        <w:rPr>
          <w:rFonts w:ascii="Arial" w:cs="Arial" w:eastAsia="Arial" w:hAnsi="Arial"/>
          <w:sz w:val="12"/>
          <w:szCs w:val="12"/>
          <w:color w:val="auto"/>
        </w:rPr>
        <w:t>In all countries where Uniti Towers operates, it is subject to zoning restrictions and restrictive covenants imposed by local authorities or community organizations. While these regulations vary, they typically require approval from local authorities or community standards organizations prior to tower construction or the addition of a new antenna to an existing tower. Opposition by local zoning authorities and community residents can delay or prevent new tower construction or site upgrade projects, thereby increasing the costs and timing of new tower construction and modifications or site upgrades.</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1" w:name="page12"/>
    <w:bookmarkEnd w:id="1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ind w:right="20"/>
        <w:spacing w:after="0" w:line="261" w:lineRule="auto"/>
        <w:rPr>
          <w:sz w:val="20"/>
          <w:szCs w:val="20"/>
          <w:color w:val="auto"/>
        </w:rPr>
      </w:pPr>
      <w:r>
        <w:rPr>
          <w:rFonts w:ascii="Arial" w:cs="Arial" w:eastAsia="Arial" w:hAnsi="Arial"/>
          <w:sz w:val="12"/>
          <w:szCs w:val="12"/>
          <w:color w:val="auto"/>
        </w:rPr>
        <w:t>The failure to properly maintain towers pursuant to applicable regulatory requirements, such as but not limited to, lighting, painting, and other safety standards, can subject us to significant enforcement actions, including monetary penalties both within the United States and abroad.</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Uniti Fiber</w:t>
      </w:r>
    </w:p>
    <w:p>
      <w:pPr>
        <w:spacing w:after="0" w:line="150"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Our subsidiaries that compose Uniti Fiber own and operate significant fiber and other communications backhaul facilities throughout various regions of the United States. The provision of such services is subject to FCC and PUC licensure in many jurisdictions, and the companies are typically licensed as CLECs and/or interexchange carriers in those states where they operate. The companies also hold various FCC wireless licenses in order to provide microwave backhaul services. Because of the nature of the licenses that these companies hold, and the nature of the services that they provide, they are subject to various federal and state regulatory requirements, including, but not limited to, revenue and other reporting requirements and tariffing requirements. The companies must also maintain their wireless licenses with the FCC, which requires construction and notification reporting and other regulatory requirements. New fiber network construction is also subject to certain state and local governmental permitting and licensing requirements. Delays in the local and state permitting process can delay the construction of new facilities. Failure to abide by permit requirements can subject the company to fines and other penalties.</w:t>
      </w:r>
    </w:p>
    <w:p>
      <w:pPr>
        <w:spacing w:after="0" w:line="129"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Regulatory Changes</w:t>
      </w:r>
    </w:p>
    <w:p>
      <w:pPr>
        <w:spacing w:after="0" w:line="150" w:lineRule="exact"/>
        <w:rPr>
          <w:sz w:val="20"/>
          <w:szCs w:val="20"/>
          <w:color w:val="auto"/>
        </w:rPr>
      </w:pPr>
    </w:p>
    <w:p>
      <w:pPr>
        <w:jc w:val="both"/>
        <w:ind w:right="180"/>
        <w:spacing w:after="0" w:line="286" w:lineRule="auto"/>
        <w:rPr>
          <w:sz w:val="20"/>
          <w:szCs w:val="20"/>
          <w:color w:val="auto"/>
        </w:rPr>
      </w:pPr>
      <w:r>
        <w:rPr>
          <w:rFonts w:ascii="Arial" w:cs="Arial" w:eastAsia="Arial" w:hAnsi="Arial"/>
          <w:sz w:val="11"/>
          <w:szCs w:val="11"/>
          <w:color w:val="auto"/>
        </w:rPr>
        <w:t>Future revenues, costs and capital investment in the communication businesses of our tenants, Talk America, Uniti Fiber, Uniti Towers, and other related entities could be adversely affected by material changes to, or decisions regarding applicability of, government requirements, including, but not limited to, changes in rules governing inter-carrier compensation, interconnection access to network facilities, state and federal universal service fund (“USF”) support, rules governing the prices that can be charged for business data services, infrastructure location and siting rules, access to unbundled network elements, and other requirements. Federal and state communications laws and regulations may be amended in the future, and other new laws and regulations may affect our business. In addition, certain laws and regulations applicable to us and our competitors may be, and have been, challenged in the courts and could be vacated or modified at any time. We cannot predict future developments or changes to the regulatory environment or the impact such developments or changes would have on our business.</w:t>
      </w:r>
    </w:p>
    <w:p>
      <w:pPr>
        <w:spacing w:after="0" w:line="111" w:lineRule="exact"/>
        <w:rPr>
          <w:sz w:val="20"/>
          <w:szCs w:val="20"/>
          <w:color w:val="auto"/>
        </w:rPr>
      </w:pPr>
    </w:p>
    <w:p>
      <w:pPr>
        <w:ind w:right="180"/>
        <w:spacing w:after="0" w:line="259" w:lineRule="auto"/>
        <w:rPr>
          <w:sz w:val="20"/>
          <w:szCs w:val="20"/>
          <w:color w:val="auto"/>
        </w:rPr>
      </w:pPr>
      <w:r>
        <w:rPr>
          <w:rFonts w:ascii="Arial" w:cs="Arial" w:eastAsia="Arial" w:hAnsi="Arial"/>
          <w:sz w:val="12"/>
          <w:szCs w:val="12"/>
          <w:color w:val="auto"/>
        </w:rPr>
        <w:t>In addition, regulations could create significant compliance costs for us. Delays in obtaining FCC and PUC certifications and regulatory approvals could cause us to incur substantial legal and administrative expenses, and conditions imposed in connection with such approvals could adversely affect the rates that we are able to charge our customers. Both our subsidiaries and our tenants may also be affected by legislation and/or regulation imposing new or additional obligations related to, for example, law enforcement assistance, cyber-security protection, intellectual property rights protections, environmental protections, consumer privacy, tax, or other areas. We cannot predict how any such future changes may impact our business, or the business of our tenants</w:t>
      </w:r>
      <w:r>
        <w:rPr>
          <w:rFonts w:ascii="Arial" w:cs="Arial" w:eastAsia="Arial" w:hAnsi="Arial"/>
          <w:sz w:val="12"/>
          <w:szCs w:val="12"/>
          <w:i w:val="1"/>
          <w:iCs w:val="1"/>
          <w:color w:val="auto"/>
        </w:rPr>
        <w:t>.</w:t>
      </w:r>
    </w:p>
    <w:p>
      <w:pPr>
        <w:spacing w:after="0" w:line="139"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Environmental Matters</w:t>
      </w:r>
    </w:p>
    <w:p>
      <w:pPr>
        <w:spacing w:after="0" w:line="172" w:lineRule="exact"/>
        <w:rPr>
          <w:sz w:val="20"/>
          <w:szCs w:val="20"/>
          <w:color w:val="auto"/>
        </w:rPr>
      </w:pPr>
    </w:p>
    <w:p>
      <w:pPr>
        <w:jc w:val="both"/>
        <w:ind w:right="60"/>
        <w:spacing w:after="0" w:line="283" w:lineRule="auto"/>
        <w:rPr>
          <w:sz w:val="20"/>
          <w:szCs w:val="20"/>
          <w:color w:val="auto"/>
        </w:rPr>
      </w:pPr>
      <w:r>
        <w:rPr>
          <w:rFonts w:ascii="Arial" w:cs="Arial" w:eastAsia="Arial" w:hAnsi="Arial"/>
          <w:sz w:val="11"/>
          <w:szCs w:val="11"/>
          <w:color w:val="auto"/>
        </w:rPr>
        <w:t>A wide variety of federal, state and local environmental and occupational health and safety laws and regulations affect telecommunications operations and facilities. These laws and regulations, and their enforcement, involve complex and varied requirements, and many such laws and regulations impose strict liability for violations. Some of these federal, state and local laws may directly impact us. Under various federal, state and local environmental laws, ordinances and regulations, an owner of real property, such as us, may be liable for the costs of removal or remediation of hazardous or toxic substances at, under or disposed of in connection with such property, as well as other potential costs relating to hazardous or toxic substances (including government fines and damages for injuries to persons and adjacent property). The cost of any required remediation, removal, fines or personal property damages and the owner’s liability therefore could exceed or impair the value of the property and/or the assets of the owner. In addition, the presence of such substances, or the failure to properly dispose of or remediate such substances, may adversely affect the owner’s ability to sell or rent such property or to borrow using such property as collateral, which, in turn, could reduce revenues.</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2" w:name="page13"/>
    <w:bookmarkEnd w:id="1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b w:val="1"/>
          <w:bCs w:val="1"/>
          <w:u w:val="single" w:color="auto"/>
          <w:color w:val="auto"/>
        </w:rPr>
        <w:t>Available Information</w:t>
      </w:r>
    </w:p>
    <w:p>
      <w:pPr>
        <w:spacing w:after="0" w:line="141" w:lineRule="exact"/>
        <w:rPr>
          <w:sz w:val="20"/>
          <w:szCs w:val="20"/>
          <w:color w:val="auto"/>
        </w:rPr>
      </w:pPr>
    </w:p>
    <w:p>
      <w:pPr>
        <w:ind w:right="20"/>
        <w:spacing w:after="0" w:line="298" w:lineRule="auto"/>
        <w:rPr>
          <w:sz w:val="20"/>
          <w:szCs w:val="20"/>
          <w:color w:val="auto"/>
        </w:rPr>
      </w:pPr>
      <w:r>
        <w:rPr>
          <w:rFonts w:ascii="Arial" w:cs="Arial" w:eastAsia="Arial" w:hAnsi="Arial"/>
          <w:sz w:val="11"/>
          <w:szCs w:val="11"/>
          <w:color w:val="auto"/>
        </w:rPr>
        <w:t>Our principal executive offices are located at 10802 Executive Center Drive, Benton Building Suite 300, Little Rock, AR 72211 and our telephone number is (501) 850-0820. We maintain a website at www.uniti.com. Our Annual Reports on Form 10-K, Quarterly Reports on Form 10-Q, Current Reports on Form 8-K and any amendments to those reports filed or furnished pursuant to Section 13(a) or 15(d) of the Securities Exchange Act of 1934 (the “Exchange Act”) are available on our website, free of charge, as soon as reasonably practicable after we electronically file such materials with, or furnish them to, the SEC. Our Exchange Act filings can also be found at www.sec.gov.</w:t>
      </w:r>
    </w:p>
    <w:p>
      <w:pPr>
        <w:spacing w:after="0" w:line="105"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 xml:space="preserve">Current copies of our Code of Business Conduct and Ethics &amp; Whistleblower Policy, Corporate Governance Guidelines, and the charters for our Audit, Compensation and Governance Committees are posted in the </w:t>
      </w:r>
      <w:r>
        <w:rPr>
          <w:rFonts w:ascii="Arial" w:cs="Arial" w:eastAsia="Arial" w:hAnsi="Arial"/>
          <w:sz w:val="12"/>
          <w:szCs w:val="12"/>
          <w:i w:val="1"/>
          <w:iCs w:val="1"/>
          <w:color w:val="auto"/>
        </w:rPr>
        <w:t>Corporate Governance</w:t>
      </w:r>
      <w:r>
        <w:rPr>
          <w:rFonts w:ascii="Arial" w:cs="Arial" w:eastAsia="Arial" w:hAnsi="Arial"/>
          <w:sz w:val="12"/>
          <w:szCs w:val="12"/>
          <w:color w:val="auto"/>
        </w:rPr>
        <w:t xml:space="preserve"> section of the About Us page of our website at www.uniti.com.</w:t>
      </w:r>
    </w:p>
    <w:p>
      <w:pPr>
        <w:spacing w:after="0" w:line="18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1A. Risk Factors.</w:t>
      </w:r>
    </w:p>
    <w:p>
      <w:pPr>
        <w:spacing w:after="0" w:line="7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Risks Related to Our Business</w:t>
      </w:r>
    </w:p>
    <w:p>
      <w:pPr>
        <w:spacing w:after="0" w:line="154"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b w:val="1"/>
          <w:bCs w:val="1"/>
          <w:i w:val="1"/>
          <w:iCs w:val="1"/>
          <w:color w:val="auto"/>
        </w:rPr>
        <w:t>We are dependent on Windstream Holdings to make payments to us under the Master Lease, and an event that materially and adversely affects Windstream’s business, financial position or results of operations, including as a result of its recent petition for relief under Chapter 11 of the Bankruptcy Code, could materially and adversely affect our business, financial position or results of operations.</w:t>
      </w:r>
    </w:p>
    <w:p>
      <w:pPr>
        <w:spacing w:after="0" w:line="115" w:lineRule="exact"/>
        <w:rPr>
          <w:sz w:val="20"/>
          <w:szCs w:val="20"/>
          <w:color w:val="auto"/>
        </w:rPr>
      </w:pPr>
    </w:p>
    <w:p>
      <w:pPr>
        <w:ind w:right="20"/>
        <w:spacing w:after="0" w:line="286" w:lineRule="auto"/>
        <w:rPr>
          <w:sz w:val="20"/>
          <w:szCs w:val="20"/>
          <w:color w:val="auto"/>
        </w:rPr>
      </w:pPr>
      <w:r>
        <w:rPr>
          <w:rFonts w:ascii="Arial" w:cs="Arial" w:eastAsia="Arial" w:hAnsi="Arial"/>
          <w:sz w:val="11"/>
          <w:szCs w:val="11"/>
          <w:color w:val="auto"/>
        </w:rPr>
        <w:t>Windstream is the lessee of the Distribution Systems pursuant to the Master Lease and, therefore, is presently the source of a substantial portion of our revenues. There can be no assurance that Windstream will have sufficient assets, income and access to financing to enable it to satisfy its payment and other obligations under the Master Lease. In recent years, Windstream has experienced annual declines in its total revenue, sales and cash flow, and has had its credit ratings downgraded by nationally recognized credit rating agencies multiple times over the past 12 months. Windstream has been involved in litigation with an entity who acquired certain Windstream debt securities and thereafter issued a notice of default as to such securities relating to the Spin-Off. Windstream challenged the matter in federal court and a trial was held in July 2018. On February 15, 2019, the federal court judge issued a ruling against Windstream, finding that its attempts to waive such default were not valid; that an “event of default” occurred with respect to such debt securities; and that the holder’s acceleration of such debt in December 2017 was effective.</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color w:val="auto"/>
        </w:rPr>
        <w:t>In response to the adverse outcome, on February 25, 2019, Windstream filed a voluntary petition for relief under Chapter 11 of the Bankruptcy Code in the U.S. Bankruptcy Court for the Southern District of New York.</w:t>
      </w:r>
    </w:p>
    <w:p>
      <w:pPr>
        <w:spacing w:after="0" w:line="150" w:lineRule="exact"/>
        <w:rPr>
          <w:sz w:val="20"/>
          <w:szCs w:val="20"/>
          <w:color w:val="auto"/>
        </w:rPr>
      </w:pPr>
    </w:p>
    <w:p>
      <w:pPr>
        <w:spacing w:after="0" w:line="286" w:lineRule="auto"/>
        <w:rPr>
          <w:sz w:val="20"/>
          <w:szCs w:val="20"/>
          <w:color w:val="auto"/>
        </w:rPr>
      </w:pPr>
      <w:r>
        <w:rPr>
          <w:rFonts w:ascii="Arial" w:cs="Arial" w:eastAsia="Arial" w:hAnsi="Arial"/>
          <w:sz w:val="11"/>
          <w:szCs w:val="11"/>
          <w:color w:val="auto"/>
        </w:rPr>
        <w:t>In bankruptcy, Windstream has the option to assume or reject the Master Lease. We believe that the Master Lease is essential to Windstream’s operations, however it is difficult to predict what could occur in a bankruptcy restructuring, and even a temporary disruption in payments to us may require us to fund certain expenses and obligations (e.g., real estate taxes, insurance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A rejection by Windstream of the Master Lease or its inability or unwillingness to meet its rent and other obligations under the Master Lease could materially adversely affect our consolidated results of operations, liquidity, and financial condition, including our ability to service debt and pay dividends to our stockholders as required to maintain our status as a REIT.</w:t>
      </w:r>
    </w:p>
    <w:p>
      <w:pPr>
        <w:spacing w:after="0" w:line="111" w:lineRule="exact"/>
        <w:rPr>
          <w:sz w:val="20"/>
          <w:szCs w:val="20"/>
          <w:color w:val="auto"/>
        </w:rPr>
      </w:pPr>
    </w:p>
    <w:p>
      <w:pPr>
        <w:ind w:right="60"/>
        <w:spacing w:after="0" w:line="340" w:lineRule="auto"/>
        <w:rPr>
          <w:sz w:val="20"/>
          <w:szCs w:val="20"/>
          <w:color w:val="auto"/>
        </w:rPr>
      </w:pPr>
      <w:r>
        <w:rPr>
          <w:rFonts w:ascii="Arial" w:cs="Arial" w:eastAsia="Arial" w:hAnsi="Arial"/>
          <w:sz w:val="10"/>
          <w:szCs w:val="10"/>
          <w:color w:val="auto"/>
        </w:rPr>
        <w:t>In the event of a rejection of the Master Lease, we cannot assure you that we will be able to locate a suitable replacement tenant or if we are successful in locating a replacement tenant, that the rental payments from the new tenant would not be significantly less than the existing rental payments. In addition, a rejection of the Master Lease by Windstream would result in an “event of default” under our Credit Agreement if we are unable to enter into a replacement lease that satisfies certain criteria set forth in the Credit Agreement within ninety (90) calendar days and we do not maintain pro forma compliance with a consolidated secured leverage ratio, as defined in the Credit Agreement, of 5.00 to 1.00.</w:t>
      </w:r>
    </w:p>
    <w:p>
      <w:pPr>
        <w:spacing w:after="0" w:line="88"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3" w:name="page14"/>
    <w:bookmarkEnd w:id="1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There is substantial doubt about our ability to continue as a going concern.</w:t>
      </w:r>
    </w:p>
    <w:p>
      <w:pPr>
        <w:spacing w:after="0" w:line="150" w:lineRule="exact"/>
        <w:rPr>
          <w:sz w:val="20"/>
          <w:szCs w:val="20"/>
          <w:color w:val="auto"/>
        </w:rPr>
      </w:pPr>
    </w:p>
    <w:p>
      <w:pPr>
        <w:ind w:right="80"/>
        <w:spacing w:after="0" w:line="279" w:lineRule="auto"/>
        <w:rPr>
          <w:sz w:val="20"/>
          <w:szCs w:val="20"/>
          <w:color w:val="auto"/>
        </w:rPr>
      </w:pPr>
      <w:r>
        <w:rPr>
          <w:rFonts w:ascii="Arial" w:cs="Arial" w:eastAsia="Arial" w:hAnsi="Arial"/>
          <w:sz w:val="11"/>
          <w:szCs w:val="11"/>
          <w:color w:val="auto"/>
        </w:rPr>
        <w:t>There is substantial doubt about our ability to continue as a going concern and in its opinion on our December 31, 2018 financial statements, PricewaterhouseCoopers LLP, our independent registered public accounting firm, expressed substantial doubt as to whether we could continue as a going concern within one year after the date the financial statements are issued as a result of Windstream’s bankruptcy petition and the bankruptcy’s uncertain effects on the Master Lease. Our financial statements do not include any adjustments that may result from the outcome of this uncertainty. While the outcome is uncertain, we expect Windstream will continue to perform on the Master Lease and believe the probability of Windstream rejecting the lease in bankruptcy to be remote because the Master Lease is central to Windstream’s operations. We intend to reduce our capital expenditures and dividend as well as seek external funding in order to sustain our operations. If we do not succeed in raising such funds and reducing such expenditures and if Windstream elects to reject the Master Lease, we could experience a material adverse effect on our business and our stockholders may lose some or all of their investment in us. In addition, a failure to provide 2018 audited financial statements without a going concern opinion to the lenders under our Credit Agreement by March 31, 2019 would constitute a breach of the covenants of our Credit Agreement and, unless such default is waived by our lenders, would constitute an immediate event of default. If an event of default were to occur under our Credit Agreement, the Credit Agreement’s administrative agent could declare all outstanding loans immediately due and payable. Such an acceleration would trigger cross-default provisions within the indentures governing our senior notes and thereby entitle the trustee and noteholders to accelerate the repayment of the senior notes.</w:t>
      </w:r>
    </w:p>
    <w:p>
      <w:pPr>
        <w:spacing w:after="0" w:line="118" w:lineRule="exact"/>
        <w:rPr>
          <w:sz w:val="20"/>
          <w:szCs w:val="20"/>
          <w:color w:val="auto"/>
        </w:rPr>
      </w:pPr>
    </w:p>
    <w:p>
      <w:pPr>
        <w:ind w:right="20"/>
        <w:spacing w:after="0" w:line="286" w:lineRule="auto"/>
        <w:rPr>
          <w:sz w:val="20"/>
          <w:szCs w:val="20"/>
          <w:color w:val="auto"/>
        </w:rPr>
      </w:pPr>
      <w:r>
        <w:rPr>
          <w:rFonts w:ascii="Arial" w:cs="Arial" w:eastAsia="Arial" w:hAnsi="Arial"/>
          <w:sz w:val="11"/>
          <w:szCs w:val="11"/>
          <w:color w:val="auto"/>
        </w:rPr>
        <w:t>On March 18, 2019, we received a limited waiver from our lenders under our Credit Agreement, waiving an event of default related solely to the receipt of a going concern opinion from our auditors for our 2018 audited financial statements. The limited waiver was issued in connection with the fourth amendment (the “Amendment”) to our Credit Agreement. During the pendency of Windstream’s bankruptcy, or at such earlier time when certain other conditions are specified, the Amendment generally limits our ability under the Credit Agreement to (i) prepay unsecured indebtedness and (ii) pay cash dividends in excess of 90% of our REIT taxable income, determined without regard to the dividends paid deduction and excluding any net capital gains. The Amendment also increases the interest rate on our Term Loan Facility, which will now bear a rate of LIBOR, subject to a 1.0% floor, plus an applicable margin equal to 5.0%, a 200 basis point increase over our previous rate. This increase will be in effect though the remaining term of the facility, which matures on October 24, 2022.</w:t>
      </w:r>
    </w:p>
    <w:p>
      <w:pPr>
        <w:spacing w:after="0" w:line="111" w:lineRule="exact"/>
        <w:rPr>
          <w:sz w:val="20"/>
          <w:szCs w:val="20"/>
          <w:color w:val="auto"/>
        </w:rPr>
      </w:pPr>
    </w:p>
    <w:p>
      <w:pPr>
        <w:ind w:right="580"/>
        <w:spacing w:after="0" w:line="380" w:lineRule="auto"/>
        <w:rPr>
          <w:sz w:val="20"/>
          <w:szCs w:val="20"/>
          <w:color w:val="auto"/>
        </w:rPr>
      </w:pPr>
      <w:r>
        <w:rPr>
          <w:rFonts w:ascii="Arial" w:cs="Arial" w:eastAsia="Arial" w:hAnsi="Arial"/>
          <w:sz w:val="10"/>
          <w:szCs w:val="10"/>
          <w:b w:val="1"/>
          <w:bCs w:val="1"/>
          <w:i w:val="1"/>
          <w:iCs w:val="1"/>
          <w:color w:val="auto"/>
        </w:rPr>
        <w:t>If the Spin-Off, together with certain related transactions, fails to qualify as a tax-free transaction for U.S. federal income tax purposes, both we and Windstream could be subject to significant tax liabilities and, in certain circumstances, we could be required to indemnify Windstream for material taxes pursuant to indemnification obligations under the tax matters agreement entered into in connection with the Spin-Off.</w:t>
      </w:r>
    </w:p>
    <w:p>
      <w:pPr>
        <w:spacing w:after="0" w:line="68" w:lineRule="exact"/>
        <w:rPr>
          <w:sz w:val="20"/>
          <w:szCs w:val="20"/>
          <w:color w:val="auto"/>
        </w:rPr>
      </w:pPr>
    </w:p>
    <w:p>
      <w:pPr>
        <w:spacing w:after="0" w:line="280" w:lineRule="auto"/>
        <w:rPr>
          <w:sz w:val="20"/>
          <w:szCs w:val="20"/>
          <w:color w:val="auto"/>
        </w:rPr>
      </w:pPr>
      <w:r>
        <w:rPr>
          <w:rFonts w:ascii="Arial" w:cs="Arial" w:eastAsia="Arial" w:hAnsi="Arial"/>
          <w:sz w:val="11"/>
          <w:szCs w:val="11"/>
          <w:color w:val="auto"/>
        </w:rPr>
        <w:t>Windstream received a private letter ruling (the “IRS Ruling”) from the Internal Revenue Service (the “IRS”) to the effect that, on the basis of certain facts presented and representations and assumptions set forth in the request submitted to the IRS, the Spin-Off will qualify as tax-free under Sections 355 and 368(a)(1)(D) of the Internal Revenue Code of 1986, as amended (the “Code”). Although a private letter ruling from the IRS generally is binding on the IRS, if the factual representations and assumptions made in the letter ruling request are untrue or incomplete in any material respect, then Windstream will not be able to rely on the IRS Ruling. In addition, the IRS Ruling does not address certain requirements for tax-free treatment of the Spin-Off under Sections 355 and 368(a)(1)(D) of the Code and Windstream’s use of Uniti indebtedness and common stock to retire certain of Windstream’s indebtedness (the “debt exchanges”). Accordingly, the Spin-Off was conditioned upon the receipt by Windstream of a tax opinion from its counsel with respect to the requirements on which the IRS did not rule, which concluded that such requirements also should be satisfied. The tax opinion was based on, among other things, the IRS Ruling, then current law and certain representations and assumptions as to factual matters made by Windstream and us. Any change in currently applicable law, which may or may not be retroactive, or the failure of any factual representation or assumption to be true, correct and complete in all material respects, could adversely affect the conclusions reached in the tax opinion. In addition, the tax opinion is not binding on the IRS or the courts, and the IRS or the courts may not agree with the tax opinion.</w:t>
      </w: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4" w:name="page15"/>
    <w:bookmarkEnd w:id="1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ind w:right="60"/>
        <w:spacing w:after="0" w:line="252" w:lineRule="auto"/>
        <w:rPr>
          <w:sz w:val="20"/>
          <w:szCs w:val="20"/>
          <w:color w:val="auto"/>
        </w:rPr>
      </w:pPr>
      <w:r>
        <w:rPr>
          <w:rFonts w:ascii="Arial" w:cs="Arial" w:eastAsia="Arial" w:hAnsi="Arial"/>
          <w:sz w:val="12"/>
          <w:szCs w:val="12"/>
          <w:color w:val="auto"/>
        </w:rPr>
        <w:t>If the Spin-Off were determined to be taxable, Windstream would recognize taxable gain. Under the terms of the tax matters agreement entered into with Windstream in connection with the Spin-Off (the “Tax Matters Agreement”), we are generally responsible for any taxes imposed on Windstream that arise from the failure of the Spin-Off and the debt exchanges to qualify as tax-free for U.S. federal income tax purposes, within the meaning of Section 355 and Section 368(a)(1)(D) of the Code, as applicable, to the extent such failure to qualify is attributable to certain actions, events or transactions relating to our stock, indebtedness, assets or business, or a breach of the relevant representations or any covenants made by us in the Tax Matters Agreement, the materials submitted to the IRS in connection with the request for the IRS Ruling or the representations provided in connection with the tax opinion. Our indemnification obligations to Windstream are not limited by any maximum amount and such amounts could be substantial. If we are required to indemnify Windstream under the circumstances set forth in the Tax Matters Agreement, we may also be subject to substantial tax liabilities.</w:t>
      </w:r>
    </w:p>
    <w:p>
      <w:pPr>
        <w:spacing w:after="0" w:line="131"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In addition, if the Spin-Off or the debt exchanges failed to qualify as tax free for U.S. federal income tax purposes, Windstream may incur significant tax liabilities that could materially affect Windstream’s ability to make payments under the Master Lease.</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Our level of indebtedness could materially and adversely affect our financial position, including reducing funds available for other business purposes and reducing our operational flexibility.</w:t>
      </w:r>
    </w:p>
    <w:p>
      <w:pPr>
        <w:spacing w:after="0" w:line="150" w:lineRule="exact"/>
        <w:rPr>
          <w:sz w:val="20"/>
          <w:szCs w:val="20"/>
          <w:color w:val="auto"/>
        </w:rPr>
      </w:pPr>
    </w:p>
    <w:p>
      <w:pPr>
        <w:spacing w:after="0" w:line="280" w:lineRule="auto"/>
        <w:rPr>
          <w:sz w:val="20"/>
          <w:szCs w:val="20"/>
          <w:color w:val="auto"/>
        </w:rPr>
      </w:pPr>
      <w:r>
        <w:rPr>
          <w:rFonts w:ascii="Arial" w:cs="Arial" w:eastAsia="Arial" w:hAnsi="Arial"/>
          <w:sz w:val="11"/>
          <w:szCs w:val="11"/>
          <w:color w:val="auto"/>
        </w:rPr>
        <w:t>As of December 31, 2018, we had outstanding long term indebtedness of approximately $4.5 billion consisting of a combination of senior notes and term loans. Additionally, we have a revolving credit facility in an aggregate principal amount of up to $750 million, $110 million of which was undrawn as of December 31, 2018, provided by a syndicate of banks and other financial institutions. We have since drawn substantially all of our revolver capacity. Subject to the restrictions set forth in our debt agreements, our board of directors may establish and change our leverage policy at any time without stockholder approval. Any significant additional indebtedness could require a substantial portion of our cash flow to make interest and principal payments due on our indebtedness. Greater demands on our cash resources may reduce funds available to us to pay dividends, make capital expenditures and acquisitions, or carry out other aspects of our business strategy. Increased indebtedness can also limit our ability to adjust rapidly to changing market conditions, make us more vulnerable to general adverse economic and industry conditions and create competitive disadvantages for us compared to other companies with relatively lower debt levels. Increased future debt service obligations may limit our operational flexibility, including our ability to acquire assets, finance or refinance our assets or sell assets as needed, and our ability to pay dividends. Please see “Management’s Discussion and Analysis of Financial Condition and Results of Operations —Liquidity and Capital Resources—Credit Agreement” for information about the terms of the limited waiver we received from the lenders to our Credit Agreement.</w:t>
      </w:r>
    </w:p>
    <w:p>
      <w:pPr>
        <w:spacing w:after="0" w:line="116" w:lineRule="exact"/>
        <w:rPr>
          <w:sz w:val="20"/>
          <w:szCs w:val="20"/>
          <w:color w:val="auto"/>
        </w:rPr>
      </w:pPr>
    </w:p>
    <w:p>
      <w:pPr>
        <w:ind w:right="100"/>
        <w:spacing w:after="0" w:line="263" w:lineRule="auto"/>
        <w:rPr>
          <w:sz w:val="20"/>
          <w:szCs w:val="20"/>
          <w:color w:val="auto"/>
        </w:rPr>
      </w:pPr>
      <w:r>
        <w:rPr>
          <w:rFonts w:ascii="Arial" w:cs="Arial" w:eastAsia="Arial" w:hAnsi="Arial"/>
          <w:sz w:val="12"/>
          <w:szCs w:val="12"/>
          <w:color w:val="auto"/>
        </w:rPr>
        <w:t>In addition, we continuously evaluate opportunities to refinance or repurchase existing debt. However, in light of recent developments and uncertainty surrounding Windstream and the effect of substantial doubt about our ability to continue as a going concern, there can be no assurance that any debt refinanced would be on similar or more favorable terms than our existing agreements. This would include the risk that interest rates could increase and/or there may be changes to our existing covenants.</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We anticipate that we will have sufficient access to liquidity to fund our cash needs; if we are unable to do so, we would need to reduce our spending and it could have an adverse effect on us.</w:t>
      </w:r>
    </w:p>
    <w:p>
      <w:pPr>
        <w:spacing w:after="0" w:line="150"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We anticipate continuing to invest in our network infrastructure across our Uniti Leasing, Uniti Fiber and Uniti Towers portfolios. We have also committed to spend $175 million on our proposed acquisition of Bluebird (for which we have obtained committed financing), net of the collection of prepaid rent. We anticipate declaring dividends for the 2019 tax year to comply with our REIT distribution requirements. We anticipate that we will partially finance these needs, together with operating expenses (including our debt service obligations) from our $38 million of cash on hand and $110 million of borrowing availability under the Revolving Credit Facility (although we have since drawn substantially all of our revolver capacity), cash flows provided by operating activities, together with funds anticipated from announced divestures. However, we may need to access the capital markets to generate additional funds in an amount sufficient to fund our business operations, announced investment activities, capital expenditures, debt service and distributions to our shareholders. We are closely monitoring the equity and debt markets and will seek to access them promptly when we determine market conditions are appropriate. The amount,</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5" w:name="page16"/>
    <w:bookmarkEnd w:id="1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00"/>
        <w:spacing w:after="0" w:line="290" w:lineRule="auto"/>
        <w:rPr>
          <w:sz w:val="20"/>
          <w:szCs w:val="20"/>
          <w:color w:val="auto"/>
        </w:rPr>
      </w:pPr>
      <w:r>
        <w:rPr>
          <w:rFonts w:ascii="Arial" w:cs="Arial" w:eastAsia="Arial" w:hAnsi="Arial"/>
          <w:sz w:val="11"/>
          <w:szCs w:val="11"/>
          <w:color w:val="auto"/>
        </w:rPr>
        <w:t>nature and timing of any capital markets transactions will depend on: our operating performance and other circumstances; our then-current commitments and obligations; the amount, nature and timing of our capital requirements; any limitations imposed by our current credit arrangements; and overall market conditions. These expectations are forward-looking and subject to a number of uncertainties and assumptions. If our expectations about our liquidity prove to be incorrect or we are unable to access the capital markets as we anticipate, we would be subject to a shortfall in liquidity in the future which could lead to a reduction in our capital expenditures and/or dividends and, in an extreme case, our ability to pay our debt service obligations. If this shortfall occurs rapidly and with little or no notice, it could limit our ability to address the shortfall on a timely basis.</w:t>
      </w:r>
    </w:p>
    <w:p>
      <w:pPr>
        <w:spacing w:after="0" w:line="109" w:lineRule="exact"/>
        <w:rPr>
          <w:sz w:val="20"/>
          <w:szCs w:val="20"/>
          <w:color w:val="auto"/>
        </w:rPr>
      </w:pPr>
    </w:p>
    <w:p>
      <w:pPr>
        <w:ind w:right="20"/>
        <w:spacing w:after="0" w:line="298" w:lineRule="auto"/>
        <w:rPr>
          <w:sz w:val="20"/>
          <w:szCs w:val="20"/>
          <w:color w:val="auto"/>
        </w:rPr>
      </w:pPr>
      <w:r>
        <w:rPr>
          <w:rFonts w:ascii="Arial" w:cs="Arial" w:eastAsia="Arial" w:hAnsi="Arial"/>
          <w:sz w:val="11"/>
          <w:szCs w:val="11"/>
          <w:color w:val="auto"/>
        </w:rPr>
        <w:t>In light of recent developments and uncertainty surrounding Windstream, we may take measures to conserve cash as we anticipate that it may be difficult for us to access the capital markets at attractive rates until such uncertainty is clarified. Accordingly, we may elect to suspend, delay or reduce success-based capital expenditures and dividend payments to conserve cash and if necessary, we may pay one or more dividends that are required to maintain or REIT status in shares to the extent allowed under IRS REIT rules. If our assumptions are incorrect, we could need additional sources of liquidity to fund our cash needs and cannot assure that we will obtain them.</w:t>
      </w:r>
    </w:p>
    <w:p>
      <w:pPr>
        <w:spacing w:after="0" w:line="105" w:lineRule="exact"/>
        <w:rPr>
          <w:sz w:val="20"/>
          <w:szCs w:val="20"/>
          <w:color w:val="auto"/>
        </w:rPr>
      </w:pPr>
    </w:p>
    <w:p>
      <w:pPr>
        <w:ind w:right="260"/>
        <w:spacing w:after="0" w:line="276" w:lineRule="auto"/>
        <w:rPr>
          <w:sz w:val="20"/>
          <w:szCs w:val="20"/>
          <w:color w:val="auto"/>
        </w:rPr>
      </w:pPr>
      <w:r>
        <w:rPr>
          <w:rFonts w:ascii="Arial" w:cs="Arial" w:eastAsia="Arial" w:hAnsi="Arial"/>
          <w:sz w:val="12"/>
          <w:szCs w:val="12"/>
          <w:b w:val="1"/>
          <w:bCs w:val="1"/>
          <w:i w:val="1"/>
          <w:iCs w:val="1"/>
          <w:color w:val="auto"/>
        </w:rPr>
        <w:t>We intend to pursue acquisitions of additional properties and seek other strategic opportunities, which may result in the use of a significant amount of management resources or significant costs, and we may not fully realize the potential benefits of such transactions.</w:t>
      </w:r>
    </w:p>
    <w:p>
      <w:pPr>
        <w:spacing w:after="0" w:line="115" w:lineRule="exact"/>
        <w:rPr>
          <w:sz w:val="20"/>
          <w:szCs w:val="20"/>
          <w:color w:val="auto"/>
        </w:rPr>
      </w:pPr>
    </w:p>
    <w:p>
      <w:pPr>
        <w:spacing w:after="0" w:line="316" w:lineRule="auto"/>
        <w:rPr>
          <w:sz w:val="20"/>
          <w:szCs w:val="20"/>
          <w:color w:val="auto"/>
        </w:rPr>
      </w:pPr>
      <w:r>
        <w:rPr>
          <w:rFonts w:ascii="Arial" w:cs="Arial" w:eastAsia="Arial" w:hAnsi="Arial"/>
          <w:sz w:val="10"/>
          <w:szCs w:val="10"/>
          <w:color w:val="auto"/>
        </w:rPr>
        <w:t>We intend to pursue acquisitions of additional properties and seek acquisitions and other strategic opportunities. Accordingly, we currently are, and expect in the future to be, engaged in evaluating potential transactions and other strategic alternatives. Although there is uncertainty that any of these discussions will result in definitive agreements or the completion of any transaction, we may devote a significant amount of our management resources to such a transaction, which could negatively impact our operations. We may incur significant costs in connection with seeking acquisitions or other strategic opportunities regardless of whether the transaction is completed. In the event that we consummate an acquisition or strategic alternative in the future, there is no assurance that we would fully realize the potential benefits of such a transaction. Integration may be difficult and unpredictable, and acquisition-related integration costs, including certain non-recurring charges, could materially and adversely affect our results of operations. Moreover, integrating assets and businesses may significantly burden management and internal resources, including the potential loss or unavailability of key personnel. If we fail to successfully integrate the assets and businesses we acquire, we may not fully realize the potential benefits we expect, and our operating results could be adversely affected.</w:t>
      </w:r>
    </w:p>
    <w:p>
      <w:pPr>
        <w:spacing w:after="0" w:line="100" w:lineRule="exact"/>
        <w:rPr>
          <w:sz w:val="20"/>
          <w:szCs w:val="20"/>
          <w:color w:val="auto"/>
        </w:rPr>
      </w:pPr>
    </w:p>
    <w:p>
      <w:pPr>
        <w:spacing w:after="0"/>
        <w:rPr>
          <w:sz w:val="20"/>
          <w:szCs w:val="20"/>
          <w:color w:val="auto"/>
        </w:rPr>
      </w:pPr>
      <w:r>
        <w:rPr>
          <w:rFonts w:ascii="Arial" w:cs="Arial" w:eastAsia="Arial" w:hAnsi="Arial"/>
          <w:sz w:val="12"/>
          <w:szCs w:val="12"/>
          <w:color w:val="auto"/>
        </w:rPr>
        <w:t>In light of Windstream developments, we may curtail our acquisition activities during the pendency of Windstream’s bankruptcy in an effort to conserve cash.</w:t>
      </w:r>
    </w:p>
    <w:p>
      <w:pPr>
        <w:spacing w:after="0" w:line="132" w:lineRule="exact"/>
        <w:rPr>
          <w:sz w:val="20"/>
          <w:szCs w:val="20"/>
          <w:color w:val="auto"/>
        </w:rPr>
      </w:pPr>
    </w:p>
    <w:p>
      <w:pPr>
        <w:spacing w:after="0"/>
        <w:rPr>
          <w:sz w:val="20"/>
          <w:szCs w:val="20"/>
          <w:color w:val="auto"/>
        </w:rPr>
      </w:pPr>
      <w:r>
        <w:rPr>
          <w:rFonts w:ascii="Arial" w:cs="Arial" w:eastAsia="Arial" w:hAnsi="Arial"/>
          <w:sz w:val="11"/>
          <w:szCs w:val="11"/>
          <w:b w:val="1"/>
          <w:bCs w:val="1"/>
          <w:i w:val="1"/>
          <w:iCs w:val="1"/>
          <w:color w:val="auto"/>
        </w:rPr>
        <w:t>We are dependent on the communications industry and may be susceptible to the risks associated with it, which could materially adversely affect our business, financial position or results of operations.</w:t>
      </w:r>
    </w:p>
    <w:p>
      <w:pPr>
        <w:spacing w:after="0" w:line="162" w:lineRule="exact"/>
        <w:rPr>
          <w:sz w:val="20"/>
          <w:szCs w:val="20"/>
          <w:color w:val="auto"/>
        </w:rPr>
      </w:pPr>
    </w:p>
    <w:p>
      <w:pPr>
        <w:ind w:right="100"/>
        <w:spacing w:after="0" w:line="290" w:lineRule="auto"/>
        <w:rPr>
          <w:sz w:val="20"/>
          <w:szCs w:val="20"/>
          <w:color w:val="auto"/>
        </w:rPr>
      </w:pPr>
      <w:r>
        <w:rPr>
          <w:rFonts w:ascii="Arial" w:cs="Arial" w:eastAsia="Arial" w:hAnsi="Arial"/>
          <w:sz w:val="11"/>
          <w:szCs w:val="11"/>
          <w:color w:val="auto"/>
        </w:rPr>
        <w:t>As the owner, lessor and provider of communications services and distribution systems serving the communications industry, we are impacted by the risks associated with the communications industry. Therefore, our success is to some degree dependent on the communications industry, which could be adversely affected by economic conditions in general, changes in consumer trends and preferences, changes in communications technology designed to enhance the efficiency of communications distribution systems (including lit fiber networks and wireless equipment), and other factors over which we and our tenants have no control. As we are subject to risks inherent in substantial investments in a single industry, a decrease in the communications business or development and implementation of any such new technologies would likely have an adverse effect on our revenues.</w:t>
      </w:r>
    </w:p>
    <w:p>
      <w:pPr>
        <w:spacing w:after="0" w:line="109"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Our business is subject to government regulations and changes in current or future laws or regulations could restrict our ability to operate our business in the manner currently contemplated.</w:t>
      </w:r>
    </w:p>
    <w:p>
      <w:pPr>
        <w:spacing w:after="0" w:line="150" w:lineRule="exact"/>
        <w:rPr>
          <w:sz w:val="20"/>
          <w:szCs w:val="20"/>
          <w:color w:val="auto"/>
        </w:rPr>
      </w:pPr>
    </w:p>
    <w:p>
      <w:pPr>
        <w:ind w:right="160"/>
        <w:spacing w:after="0" w:line="323" w:lineRule="auto"/>
        <w:rPr>
          <w:sz w:val="20"/>
          <w:szCs w:val="20"/>
          <w:color w:val="auto"/>
        </w:rPr>
      </w:pPr>
      <w:r>
        <w:rPr>
          <w:rFonts w:ascii="Arial" w:cs="Arial" w:eastAsia="Arial" w:hAnsi="Arial"/>
          <w:sz w:val="11"/>
          <w:szCs w:val="11"/>
          <w:color w:val="auto"/>
        </w:rPr>
        <w:t>Our business, and that of our tenants, is subject to federal, state, local and foreign regulation. In certain jurisdictions these regulations could be applied or enforced retroactively. Local zoning authorities and community organizations are often opposed to construction in their communities and these regulations can delay, prevent or increase the cost of new distribution system construction and modifications, thereby limiting our ability to respond to customer</w:t>
      </w:r>
    </w:p>
    <w:p>
      <w:pPr>
        <w:spacing w:after="0" w:line="92"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16" w:name="page17"/>
    <w:bookmarkEnd w:id="1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both"/>
        <w:ind w:right="80"/>
        <w:spacing w:after="0" w:line="255" w:lineRule="auto"/>
        <w:rPr>
          <w:sz w:val="20"/>
          <w:szCs w:val="20"/>
          <w:color w:val="auto"/>
        </w:rPr>
      </w:pPr>
      <w:r>
        <w:rPr>
          <w:rFonts w:ascii="Arial" w:cs="Arial" w:eastAsia="Arial" w:hAnsi="Arial"/>
          <w:sz w:val="12"/>
          <w:szCs w:val="12"/>
          <w:color w:val="auto"/>
        </w:rPr>
        <w:t>demands and requirements. Existing regulatory policies may materially and adversely affect the associated timing or cost of such projects and additional regulations may be adopted which increase delays or result in additional costs to us, or that prevent such projects in certain locations. These factors could materially and adversely affect our business, results of operations or financial condition. For more information regarding the regulations we are subject to, please see the section entitled “Business – Government Regulation, Licensing and Enforcement.”</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If we determine that our goodwill has become impaired, we may incur impairment charges, which would negatively impact our operating results.</w:t>
      </w:r>
    </w:p>
    <w:p>
      <w:pPr>
        <w:spacing w:after="0" w:line="168" w:lineRule="exact"/>
        <w:rPr>
          <w:sz w:val="20"/>
          <w:szCs w:val="20"/>
          <w:color w:val="auto"/>
        </w:rPr>
      </w:pPr>
    </w:p>
    <w:p>
      <w:pPr>
        <w:spacing w:after="0" w:line="257" w:lineRule="auto"/>
        <w:rPr>
          <w:sz w:val="20"/>
          <w:szCs w:val="20"/>
          <w:color w:val="auto"/>
        </w:rPr>
      </w:pPr>
      <w:r>
        <w:rPr>
          <w:rFonts w:ascii="Arial" w:cs="Arial" w:eastAsia="Arial" w:hAnsi="Arial"/>
          <w:sz w:val="12"/>
          <w:szCs w:val="12"/>
          <w:color w:val="auto"/>
        </w:rPr>
        <w:t>At December 31, 2018, we had $692.4 million of goodwill on our consolidated balance sheet. Goodwill represents the excess of cost over the fair value of net assets acquired in business combinations. We assess potential impairment of our goodwill at least annually. Impairment may result from significant changes in the manner of use of the acquired assets, negative industry or economic trends and/or any changes in key assumptions regarding our fair value, including any potential impacts of recent developments surrounding Windstream, as set forth in the first risk factor. Changes in these events and conditions or other assumptions could result in an impairment charge in the future, which could have a significant adverse impact on our reported earnings. For a discussion of our goodwill impairment testing, see “Critical Accounting Policies-Evaluation of Goodwill Impairment” in Part II, Item 7A-Management’s Discussion and Analysis of Financial Condition and Results of Operations.</w:t>
      </w:r>
    </w:p>
    <w:p>
      <w:pPr>
        <w:spacing w:after="0" w:line="144"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Our foreign operations are subject to economic, political and other risks that could materially and adversely affect our results of operations and financial condition.</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Our international business operations expose us to potential adverse financial and operational problems not typically experienced in the United States, including:</w:t>
      </w:r>
    </w:p>
    <w:p>
      <w:pPr>
        <w:spacing w:after="0" w:line="150" w:lineRule="exact"/>
        <w:rPr>
          <w:sz w:val="20"/>
          <w:szCs w:val="20"/>
          <w:color w:val="auto"/>
        </w:rPr>
      </w:pPr>
    </w:p>
    <w:p>
      <w:pPr>
        <w:ind w:left="1200" w:hanging="442"/>
        <w:spacing w:after="0"/>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international political, economic and legal conditions;</w:t>
      </w:r>
    </w:p>
    <w:p>
      <w:pPr>
        <w:spacing w:after="0" w:line="4"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compliance with foreign regulations and/or laws affecting operations and projects;</w:t>
      </w:r>
    </w:p>
    <w:p>
      <w:pPr>
        <w:spacing w:after="0" w:line="1"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difficulties in attracting and retaining staff and business partners to operate internationally;</w:t>
      </w:r>
    </w:p>
    <w:p>
      <w:pPr>
        <w:spacing w:after="0" w:line="1"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language and cultural barriers;</w:t>
      </w:r>
    </w:p>
    <w:p>
      <w:pPr>
        <w:spacing w:after="0" w:line="1"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seasonal reductions in business activities and operations in the countries where our international projects are located;</w:t>
      </w:r>
    </w:p>
    <w:p>
      <w:pPr>
        <w:spacing w:after="0" w:line="1"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integration of foreign operations;</w:t>
      </w:r>
    </w:p>
    <w:p>
      <w:pPr>
        <w:spacing w:after="0" w:line="1"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potential adverse tax consequences; and</w:t>
      </w:r>
    </w:p>
    <w:p>
      <w:pPr>
        <w:spacing w:after="0" w:line="1" w:lineRule="exact"/>
        <w:rPr>
          <w:rFonts w:ascii="Arial" w:cs="Arial" w:eastAsia="Arial" w:hAnsi="Arial"/>
          <w:sz w:val="13"/>
          <w:szCs w:val="13"/>
          <w:color w:val="auto"/>
        </w:rPr>
      </w:pPr>
    </w:p>
    <w:p>
      <w:pPr>
        <w:ind w:left="1200" w:hanging="442"/>
        <w:spacing w:after="0" w:line="229" w:lineRule="auto"/>
        <w:tabs>
          <w:tab w:leader="none" w:pos="1200" w:val="left"/>
        </w:tabs>
        <w:numPr>
          <w:ilvl w:val="0"/>
          <w:numId w:val="5"/>
        </w:numPr>
        <w:rPr>
          <w:rFonts w:ascii="Arial" w:cs="Arial" w:eastAsia="Arial" w:hAnsi="Arial"/>
          <w:sz w:val="13"/>
          <w:szCs w:val="13"/>
          <w:color w:val="auto"/>
        </w:rPr>
      </w:pPr>
      <w:r>
        <w:rPr>
          <w:rFonts w:ascii="Arial" w:cs="Arial" w:eastAsia="Arial" w:hAnsi="Arial"/>
          <w:sz w:val="12"/>
          <w:szCs w:val="12"/>
          <w:color w:val="auto"/>
        </w:rPr>
        <w:t>potential foreign currency fluctuations.</w:t>
      </w:r>
    </w:p>
    <w:p>
      <w:pPr>
        <w:spacing w:after="0" w:line="154"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In addition, many of our tenants in our international operations are subsidiaries of global telecommunications companies. These subsidiaries may not have the explicit or implied financial support of their parent entities. Any of these factors could adversely affect our results of operations and financial condition.</w:t>
      </w:r>
    </w:p>
    <w:p>
      <w:pPr>
        <w:spacing w:after="0" w:line="13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Our continued operations outside the United States increase the risk of violations of applicable anti-corruption laws in the future.</w:t>
      </w:r>
    </w:p>
    <w:p>
      <w:pPr>
        <w:spacing w:after="0" w:line="150" w:lineRule="exact"/>
        <w:rPr>
          <w:sz w:val="20"/>
          <w:szCs w:val="20"/>
          <w:color w:val="auto"/>
        </w:rPr>
      </w:pPr>
    </w:p>
    <w:p>
      <w:pPr>
        <w:ind w:right="180"/>
        <w:spacing w:after="0" w:line="298" w:lineRule="auto"/>
        <w:rPr>
          <w:sz w:val="20"/>
          <w:szCs w:val="20"/>
          <w:color w:val="auto"/>
        </w:rPr>
      </w:pPr>
      <w:r>
        <w:rPr>
          <w:rFonts w:ascii="Arial" w:cs="Arial" w:eastAsia="Arial" w:hAnsi="Arial"/>
          <w:sz w:val="11"/>
          <w:szCs w:val="11"/>
          <w:color w:val="auto"/>
        </w:rPr>
        <w:t>Our internal policies provide for compliance with all applicable anti-corruption laws, but despite our training and compliance programs, we cannot ensure that our internal control policies and procedures will always protect us from unauthorized, reckless or criminal acts committed by our employees, agents or partners. A finding that the Company or its affiliates have violated the U.S. Foreign Corrupt Practices Act (“FCPA”) or similar foreign anti-corruption laws may result in severe criminal or civil sanctions, which could disrupt our business and result in a material adverse effect on our reputation, financial condition and results of operations.</w:t>
      </w:r>
    </w:p>
    <w:p>
      <w:pPr>
        <w:spacing w:after="0" w:line="105" w:lineRule="exact"/>
        <w:rPr>
          <w:sz w:val="20"/>
          <w:szCs w:val="20"/>
          <w:color w:val="auto"/>
        </w:rPr>
      </w:pPr>
    </w:p>
    <w:p>
      <w:pPr>
        <w:ind w:right="340"/>
        <w:spacing w:after="0" w:line="276" w:lineRule="auto"/>
        <w:rPr>
          <w:sz w:val="20"/>
          <w:szCs w:val="20"/>
          <w:color w:val="auto"/>
        </w:rPr>
      </w:pPr>
      <w:r>
        <w:rPr>
          <w:rFonts w:ascii="Arial" w:cs="Arial" w:eastAsia="Arial" w:hAnsi="Arial"/>
          <w:sz w:val="12"/>
          <w:szCs w:val="12"/>
          <w:b w:val="1"/>
          <w:bCs w:val="1"/>
          <w:i w:val="1"/>
          <w:iCs w:val="1"/>
          <w:color w:val="auto"/>
        </w:rPr>
        <w:t>We or our tenants may experience uninsured or underinsured losses, which could result in a significant loss of the capital we have invested in a property, decrease anticipated future revenues or cause us to incur unanticipated expenses.</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7" w:name="page18"/>
    <w:bookmarkEnd w:id="1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line="284" w:lineRule="auto"/>
        <w:rPr>
          <w:sz w:val="20"/>
          <w:szCs w:val="20"/>
          <w:color w:val="auto"/>
        </w:rPr>
      </w:pPr>
      <w:r>
        <w:rPr>
          <w:rFonts w:ascii="Arial" w:cs="Arial" w:eastAsia="Arial" w:hAnsi="Arial"/>
          <w:sz w:val="11"/>
          <w:szCs w:val="11"/>
          <w:color w:val="auto"/>
        </w:rPr>
        <w:t>The Master Lease requires, and we expect that new lease agreements that we enter into will require, that the tenant maintain comprehensive insurance and hazard insurance or self-insure its insurance obligations. However, there are certain types of losses, generally of a catastrophic nature, such as earthquakes, hurricanes and floods that may be uninsurable or not economically insurable. Insurance coverage may not be sufficient to pay the full current market value or current replacement cost of a loss. Inflation, changes in ordinances, environmental considerations, and other factors also might make it infeasible to use insurance proceeds to replace the property after such property has been damaged or destroyed. Under such circumstances, the insurance proceeds received might not be adequate to restore the economic position with respect to such property.</w:t>
      </w:r>
    </w:p>
    <w:p>
      <w:pPr>
        <w:spacing w:after="0" w:line="113" w:lineRule="exact"/>
        <w:rPr>
          <w:sz w:val="20"/>
          <w:szCs w:val="20"/>
          <w:color w:val="auto"/>
        </w:rPr>
      </w:pPr>
    </w:p>
    <w:p>
      <w:pPr>
        <w:ind w:right="200"/>
        <w:spacing w:after="0" w:line="276" w:lineRule="auto"/>
        <w:rPr>
          <w:sz w:val="20"/>
          <w:szCs w:val="20"/>
          <w:color w:val="auto"/>
        </w:rPr>
      </w:pPr>
      <w:r>
        <w:rPr>
          <w:rFonts w:ascii="Arial" w:cs="Arial" w:eastAsia="Arial" w:hAnsi="Arial"/>
          <w:sz w:val="12"/>
          <w:szCs w:val="12"/>
          <w:color w:val="auto"/>
        </w:rPr>
        <w:t>In addition, even if damage to our properties is covered by insurance, a disruption of business caused by a casualty event may result in loss of revenue for our tenants or us. Any business interruption insurance may not fully compensate them or us for such loss of revenue. If one of our tenants experiences such a loss, it may be unable to satisfy its payment obligations to us under its lease with us.</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We rely on information technology in our operations, and any material failure, inadequacy, interruption or security failure of that technology could harm our business.</w:t>
      </w:r>
    </w:p>
    <w:p>
      <w:pPr>
        <w:spacing w:after="0" w:line="150" w:lineRule="exact"/>
        <w:rPr>
          <w:sz w:val="20"/>
          <w:szCs w:val="20"/>
          <w:color w:val="auto"/>
        </w:rPr>
      </w:pPr>
    </w:p>
    <w:p>
      <w:pPr>
        <w:spacing w:after="0" w:line="286" w:lineRule="auto"/>
        <w:rPr>
          <w:sz w:val="20"/>
          <w:szCs w:val="20"/>
          <w:color w:val="auto"/>
        </w:rPr>
      </w:pPr>
      <w:r>
        <w:rPr>
          <w:rFonts w:ascii="Arial" w:cs="Arial" w:eastAsia="Arial" w:hAnsi="Arial"/>
          <w:sz w:val="11"/>
          <w:szCs w:val="11"/>
          <w:color w:val="auto"/>
        </w:rPr>
        <w:t>We rely on information technology networks and systems, including the Internet, to process, transmit and store electronic information and to manage or support a variety of our business processes, including financial transactions and maintenance of records. We rely on commercially available systems, software, tools and monitoring to provide security for processing, transmitting and storing confidential information. Although we have taken steps to protect the security of the data maintained in our information systems, it is possible that our security measures will not be able to prevent the systems’ improper functioning, or the improper disclosure of information in the event of cyber-attacks. Physical or electronic break-ins, computer viruses, attacks by hackers and similar security breaches, can create system disruptions, shutdowns or unauthorized disclosure of confidential information. Any failure to maintain proper function, security and availability of our information systems could interrupt our operations, damage our reputation, subject us to liability claims or regulatory penalties and could materially and adversely affect us.</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Any failure of Uniti Fiber’s physical infrastructure or services could lead to significant costs and disruptions.</w:t>
      </w:r>
    </w:p>
    <w:p>
      <w:pPr>
        <w:spacing w:after="0" w:line="150" w:lineRule="exact"/>
        <w:rPr>
          <w:sz w:val="20"/>
          <w:szCs w:val="20"/>
          <w:color w:val="auto"/>
        </w:rPr>
      </w:pPr>
    </w:p>
    <w:p>
      <w:pPr>
        <w:ind w:right="20"/>
        <w:spacing w:after="0" w:line="286" w:lineRule="auto"/>
        <w:rPr>
          <w:sz w:val="20"/>
          <w:szCs w:val="20"/>
          <w:color w:val="auto"/>
        </w:rPr>
      </w:pPr>
      <w:r>
        <w:rPr>
          <w:rFonts w:ascii="Arial" w:cs="Arial" w:eastAsia="Arial" w:hAnsi="Arial"/>
          <w:sz w:val="11"/>
          <w:szCs w:val="11"/>
          <w:color w:val="auto"/>
        </w:rPr>
        <w:t>Uniti Fiber’s business depends on providing customers with highly reliable service. The services provided are subject to failure resulting from numerous factors, including human error, power loss, improper maintenance, physical or electronic security breaches, fire, earthquake, hurricane, flood and other natural disasters, water damage, the effect of war, terrorism and any related conflicts or similar events worldwide, and sabotage and vandalism. Problems within Uniti Fiber’s networks or facilities, whether within our control or the control of third-party providers, could result in service interruptions or equipment damage. We may not be able to efficiently upgrade or change Uniti Fiber’s networks or facilities to meet new demands without incurring significant costs that we may not be able to pass on to customers. Given the service guarantees that may be included in Uniti Fiber’s agreements with customers, such disruptions could result in customer credits; however, we cannot assume that customers will accept these credits as compensation in the future, and we may face additional liability or loss of customers.</w:t>
      </w:r>
    </w:p>
    <w:p>
      <w:pPr>
        <w:spacing w:after="0" w:line="107"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Risks Related to the Status of Uniti as a REIT</w:t>
      </w:r>
    </w:p>
    <w:p>
      <w:pPr>
        <w:spacing w:after="0" w:line="154" w:lineRule="exact"/>
        <w:rPr>
          <w:sz w:val="20"/>
          <w:szCs w:val="20"/>
          <w:color w:val="auto"/>
        </w:rPr>
      </w:pPr>
    </w:p>
    <w:p>
      <w:pPr>
        <w:ind w:right="140"/>
        <w:spacing w:after="0" w:line="276" w:lineRule="auto"/>
        <w:rPr>
          <w:sz w:val="20"/>
          <w:szCs w:val="20"/>
          <w:color w:val="auto"/>
        </w:rPr>
      </w:pPr>
      <w:r>
        <w:rPr>
          <w:rFonts w:ascii="Arial" w:cs="Arial" w:eastAsia="Arial" w:hAnsi="Arial"/>
          <w:sz w:val="12"/>
          <w:szCs w:val="12"/>
          <w:b w:val="1"/>
          <w:bCs w:val="1"/>
          <w:i w:val="1"/>
          <w:iCs w:val="1"/>
          <w:color w:val="auto"/>
        </w:rPr>
        <w:t>If we do not qualify as a REIT, or fail to remain qualified as a REIT, we will be subject to U.S. federal income tax as a regular corporation and could face a substantial tax liability, which could reduce the amount of cash available for distribution to our stockholders and to service debt.</w:t>
      </w:r>
    </w:p>
    <w:p>
      <w:pPr>
        <w:spacing w:after="0" w:line="115" w:lineRule="exact"/>
        <w:rPr>
          <w:sz w:val="20"/>
          <w:szCs w:val="20"/>
          <w:color w:val="auto"/>
        </w:rPr>
      </w:pPr>
    </w:p>
    <w:p>
      <w:pPr>
        <w:jc w:val="both"/>
        <w:ind w:right="100"/>
        <w:spacing w:after="0" w:line="263" w:lineRule="auto"/>
        <w:rPr>
          <w:sz w:val="20"/>
          <w:szCs w:val="20"/>
          <w:color w:val="auto"/>
        </w:rPr>
      </w:pPr>
      <w:r>
        <w:rPr>
          <w:rFonts w:ascii="Arial" w:cs="Arial" w:eastAsia="Arial" w:hAnsi="Arial"/>
          <w:sz w:val="12"/>
          <w:szCs w:val="12"/>
          <w:color w:val="auto"/>
        </w:rPr>
        <w:t>We operate as a REIT for U.S. federal income tax purposes. Our qualification as a REIT will depend on our satisfaction of certain highly technical and complex asset, income, organizational, distribution, stockholder ownership and other requirements on a continuing basis. Our ability to satisfy the asset tests depends upon our analysis of the characterization and fair market values of our assets, some of which are not susceptible to a precise determination and for which we may not obtain independent appraisals.</w:t>
      </w:r>
    </w:p>
    <w:p>
      <w:pPr>
        <w:spacing w:after="0" w:line="123" w:lineRule="exact"/>
        <w:rPr>
          <w:sz w:val="20"/>
          <w:szCs w:val="20"/>
          <w:color w:val="auto"/>
        </w:rPr>
      </w:pPr>
    </w:p>
    <w:p>
      <w:pPr>
        <w:ind w:right="20"/>
        <w:spacing w:after="0" w:line="276" w:lineRule="auto"/>
        <w:rPr>
          <w:sz w:val="20"/>
          <w:szCs w:val="20"/>
          <w:color w:val="auto"/>
        </w:rPr>
      </w:pPr>
      <w:r>
        <w:rPr>
          <w:rFonts w:ascii="Arial" w:cs="Arial" w:eastAsia="Arial" w:hAnsi="Arial"/>
          <w:sz w:val="12"/>
          <w:szCs w:val="12"/>
          <w:color w:val="auto"/>
        </w:rPr>
        <w:t>If we were to fail to qualify as a REIT in any taxable year, we would be subject to U.S. federal income tax on our taxable income at regular corporate rates and dividends paid to our stockholders would not be deductible by us in computing our taxable income. Any resulting corporate liability could be substantial and could reduce the amount of</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8" w:name="page19"/>
    <w:bookmarkEnd w:id="1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ind w:right="320"/>
        <w:spacing w:after="0" w:line="261" w:lineRule="auto"/>
        <w:rPr>
          <w:sz w:val="20"/>
          <w:szCs w:val="20"/>
          <w:color w:val="auto"/>
        </w:rPr>
      </w:pPr>
      <w:r>
        <w:rPr>
          <w:rFonts w:ascii="Arial" w:cs="Arial" w:eastAsia="Arial" w:hAnsi="Arial"/>
          <w:sz w:val="12"/>
          <w:szCs w:val="12"/>
          <w:color w:val="auto"/>
        </w:rPr>
        <w:t>cash available for distribution to our stockholders, which in turn could have an adverse impact on the value of our common stock and to service debt. Unless we were entitled to relief under certain Code provisions, we also would be disqualified from re-electing to be taxed as a REIT for the four taxable years following the year in which we failed to qualify as a REIT.</w:t>
      </w:r>
    </w:p>
    <w:p>
      <w:pPr>
        <w:spacing w:after="0" w:line="123" w:lineRule="exact"/>
        <w:rPr>
          <w:sz w:val="20"/>
          <w:szCs w:val="20"/>
          <w:color w:val="auto"/>
        </w:rPr>
      </w:pPr>
    </w:p>
    <w:p>
      <w:pPr>
        <w:ind w:right="100"/>
        <w:spacing w:after="0" w:line="259" w:lineRule="auto"/>
        <w:rPr>
          <w:sz w:val="20"/>
          <w:szCs w:val="20"/>
          <w:color w:val="auto"/>
        </w:rPr>
      </w:pPr>
      <w:r>
        <w:rPr>
          <w:rFonts w:ascii="Arial" w:cs="Arial" w:eastAsia="Arial" w:hAnsi="Arial"/>
          <w:sz w:val="12"/>
          <w:szCs w:val="12"/>
          <w:color w:val="auto"/>
        </w:rPr>
        <w:t>In addition, as a result of the limited waiver and amendment to our Credit Agreement (discussed in the second risk factor) our ability to make cash distributions to our shareholders in amounts exceeding 90% of our REIT taxable income, determined without regard to the dividends paid deduction and excluding any capital gains, generally will be restricted. As a result, we may be required to record a provision in our Consolidated Financial Statements for U.S. federal income taxes related to the activities of the REIT and its passthrough subsidiaries for any undistributed income. We are subject to the statutory requirements of the locations in which we conduct business, and state and local income taxes are accrued as deemed required in the best judgment of management based on analysis and interpretation of respective tax laws.</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Legislative or other actions affecting REITs could have a negative effect on us.</w:t>
      </w:r>
    </w:p>
    <w:p>
      <w:pPr>
        <w:spacing w:after="0" w:line="150" w:lineRule="exact"/>
        <w:rPr>
          <w:sz w:val="20"/>
          <w:szCs w:val="20"/>
          <w:color w:val="auto"/>
        </w:rPr>
      </w:pPr>
    </w:p>
    <w:p>
      <w:pPr>
        <w:ind w:right="160"/>
        <w:spacing w:after="0" w:line="259" w:lineRule="auto"/>
        <w:rPr>
          <w:sz w:val="20"/>
          <w:szCs w:val="20"/>
          <w:color w:val="auto"/>
        </w:rPr>
      </w:pPr>
      <w:r>
        <w:rPr>
          <w:rFonts w:ascii="Arial" w:cs="Arial" w:eastAsia="Arial" w:hAnsi="Arial"/>
          <w:sz w:val="12"/>
          <w:szCs w:val="12"/>
          <w:color w:val="auto"/>
        </w:rPr>
        <w:t>The rules dealing with federal income taxation are constantly under review by persons involved in the legislative process and by the IRS and the U.S. Department of the Treasury (“Treasury”). Changes to the tax laws affecting REITs or TRSs, which may have retroactive application, could adversely affect our stockholders or us. We cannot predict how changes in the tax laws might affect our stockholders or us. Accordingly, we cannot provide assurance that new legislation, Treasury regulations, administrative interpretations or court decisions will not significantly affect our ability to remain qualified as a REIT, the federal income tax consequences of such qualification, the determination of the amount of REIT taxable income or the amount of tax paid by the TRSs.</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We could fail to qualify as a REIT if income we receive from sale-leaseback transactions, such as income from Windstream pursuant to the Master Lease, is not treated as qualifying income.</w:t>
      </w:r>
    </w:p>
    <w:p>
      <w:pPr>
        <w:spacing w:after="0" w:line="150" w:lineRule="exact"/>
        <w:rPr>
          <w:sz w:val="20"/>
          <w:szCs w:val="20"/>
          <w:color w:val="auto"/>
        </w:rPr>
      </w:pPr>
    </w:p>
    <w:p>
      <w:pPr>
        <w:ind w:right="20"/>
        <w:spacing w:after="0" w:line="298" w:lineRule="auto"/>
        <w:rPr>
          <w:sz w:val="20"/>
          <w:szCs w:val="20"/>
          <w:color w:val="auto"/>
        </w:rPr>
      </w:pPr>
      <w:r>
        <w:rPr>
          <w:rFonts w:ascii="Arial" w:cs="Arial" w:eastAsia="Arial" w:hAnsi="Arial"/>
          <w:sz w:val="11"/>
          <w:szCs w:val="11"/>
          <w:color w:val="auto"/>
        </w:rPr>
        <w:t>Under applicable provisions of the Code, we will not be treated as a REIT unless we satisfy various requirements, including requirements relating to the sources of our gross income. Rents received or accrued by us from Windstream or other lessees will not be treated as qualifying rent for purposes of these requirements if the relevant lease is not respected as a true lease for U.S. federal income tax purposes and is instead treated as a service contract, joint venture or some other type of arrangement. If any of our leases, including the Master Lease, is not respected as a true lease for U.S. federal income tax purposes, we may fail to qualify as a REIT.</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REIT distribution requirements could adversely affect our ability to execute our business plan, and we could elect to pay dividends substantially in the form of additional shares of our common stock.</w:t>
      </w:r>
    </w:p>
    <w:p>
      <w:pPr>
        <w:spacing w:after="0" w:line="150" w:lineRule="exact"/>
        <w:rPr>
          <w:sz w:val="20"/>
          <w:szCs w:val="20"/>
          <w:color w:val="auto"/>
        </w:rPr>
      </w:pPr>
    </w:p>
    <w:p>
      <w:pPr>
        <w:spacing w:after="0" w:line="253" w:lineRule="auto"/>
        <w:rPr>
          <w:sz w:val="20"/>
          <w:szCs w:val="20"/>
          <w:color w:val="auto"/>
        </w:rPr>
      </w:pPr>
      <w:r>
        <w:rPr>
          <w:rFonts w:ascii="Arial" w:cs="Arial" w:eastAsia="Arial" w:hAnsi="Arial"/>
          <w:sz w:val="12"/>
          <w:szCs w:val="12"/>
          <w:color w:val="auto"/>
        </w:rPr>
        <w:t>We generally must qualify as a REIT and distribute annually at least 90% of our REIT taxable income, determined without regard to the dividends paid deduction and excluding any net capital gains, for the U.S. federal corporate income tax not to apply to earnings that we distribute (assuming that certain other requirements are also satisfied). To the extent that we satisfy this distribution requirement and qualify for taxation as a REIT but distribute less than 100% of our REIT taxable income, determined without regard to the dividends paid deduction and excluding any net capital gains, we will be subject to U.S. federal corporate income tax on our undistributed net taxable income. In addition, we will be subject to a 4% nondeductible excise tax if the actual amount that we distribute to our stockholders in a calendar year is less than a minimum amount specified for REITs under U.S. federal income tax laws. We currently intend to make distributions to our stockholders to comply with the REIT requirements of the Code. However, as indicated in the risk factors above, as a result of recent developments surrounding Windstream, we may suspend, delay or reduce our dividend to conserve cash, and during the pendency of Windstream’s bankruptcy, or at such earlier time when certain other conditions are specified, (discussed in the second risk factor) our ability to make cash distributions to our shareholders in amounts exceeding 90% of our REIT taxable income, determined without regard to the dividends paid deduction and excluding any net capital gains, generally will be restricted. Accordingly, because we are required to make distributions in certain amounts to our shareholders in order to maintain our REIT status and avoid incurring entity-level income and excise tax, we may elect to pay one or more dividends to our shareholders substantially in the form of additional shares of common stock. If we do so, the common stock that we distribute would be taxable dividend income to our shareholders, in whole or in part, based on the fair market value of our common stock at the time the dividend is paid.</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19" w:name="page20"/>
    <w:bookmarkEnd w:id="1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line="286" w:lineRule="auto"/>
        <w:rPr>
          <w:sz w:val="20"/>
          <w:szCs w:val="20"/>
          <w:color w:val="auto"/>
        </w:rPr>
      </w:pPr>
      <w:r>
        <w:rPr>
          <w:rFonts w:ascii="Arial" w:cs="Arial" w:eastAsia="Arial" w:hAnsi="Arial"/>
          <w:sz w:val="11"/>
          <w:szCs w:val="11"/>
          <w:color w:val="auto"/>
        </w:rPr>
        <w:t>Our FFO is currently generated largely by rents paid under the Master Lease. From time to time, we may generate taxable income greater than our cash flow as a result of differences in timing between the recognition of taxable income and the actual receipt of cash or the effect of nondeductible capital expenditures, the creation of reserves or required debt or amortization payments. If we do not have other funds available in these situations, we could be required to borrow funds on unfavorable terms, sell assets at disadvantageous prices or distribute amounts that would otherwise be invested in future acquisitions in order to make distributions sufficient to enable us to pay out enough of our taxable income to satisfy the REIT distribution requirement and to avoid corporate income tax and the 4% excise tax in a particular year. These alternatives could increase our costs or reduce our equity. Thus, compliance with the REIT requirements may hinder our ability to grow, which could adversely affect the value of our common stock and decrease cash available to service debt.</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Recent developments surrounding Windstream could adversely affect our ability to continue to qualify as a REIT.</w:t>
      </w:r>
    </w:p>
    <w:p>
      <w:pPr>
        <w:spacing w:after="0" w:line="150"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In addition to satisfying the distribution requirement described above in the immediately preceding risk factor, we must satisfy a number of other requirements in order to qualify as a REIT. Recent developments surrounding Windstream, as described above in the first risk factor, could adversely affect our ability to satisfy several of these requirements and thus our ability to continue to qualify as a REIT.</w:t>
      </w:r>
    </w:p>
    <w:p>
      <w:pPr>
        <w:spacing w:after="0" w:line="115" w:lineRule="exact"/>
        <w:rPr>
          <w:sz w:val="20"/>
          <w:szCs w:val="20"/>
          <w:color w:val="auto"/>
        </w:rPr>
      </w:pPr>
    </w:p>
    <w:p>
      <w:pPr>
        <w:spacing w:after="0" w:line="316" w:lineRule="auto"/>
        <w:rPr>
          <w:sz w:val="20"/>
          <w:szCs w:val="20"/>
          <w:color w:val="auto"/>
        </w:rPr>
      </w:pPr>
      <w:r>
        <w:rPr>
          <w:rFonts w:ascii="Arial" w:cs="Arial" w:eastAsia="Arial" w:hAnsi="Arial"/>
          <w:sz w:val="10"/>
          <w:szCs w:val="10"/>
          <w:color w:val="auto"/>
        </w:rPr>
        <w:t>For example, in order to qualify as a REIT for any year, at the end of each calendar quarter, at least 75% of the value of our assets must consist of cash, cash items, government securities and “real estate assets” (as defined in the Code), and no more than 20% of the value of our total assets can be represented by securities (other than qualified real estate assets) of one or more TRSs, If we fail to comply with either of these requirements at the end of any calendar quarter, we must correct the failure within 30 days after the end of the calendar quarter or qualify for certain statutory relief provisions to avoid losing our REIT qualification. Our ability to satisfy these requirements depends in substantial part on the value of the assets that are the subject of the Master Lease with Windstream, and any diminution in the value of such assets, including as a result of any diminution in the implied value of the Master Lease as a result of changes in the financial condition or creditworthiness of Windstream, Windstream’s rejection of the Master Lease in bankruptcy or Windstream’s inability or unwillingness to meet its rent and other obligations under the Master Lease, could adversely affect our ability to satisfy these requirements at the end of any calendar quarter, and there can be no assurance that we would be able to timely correct any such failure or otherwise qualify for any statutory relief provision.</w:t>
      </w:r>
    </w:p>
    <w:p>
      <w:pPr>
        <w:spacing w:after="0" w:line="100" w:lineRule="exact"/>
        <w:rPr>
          <w:sz w:val="20"/>
          <w:szCs w:val="20"/>
          <w:color w:val="auto"/>
        </w:rPr>
      </w:pPr>
    </w:p>
    <w:p>
      <w:pPr>
        <w:ind w:right="300"/>
        <w:spacing w:after="0" w:line="298" w:lineRule="auto"/>
        <w:rPr>
          <w:sz w:val="20"/>
          <w:szCs w:val="20"/>
          <w:color w:val="auto"/>
        </w:rPr>
      </w:pPr>
      <w:r>
        <w:rPr>
          <w:rFonts w:ascii="Arial" w:cs="Arial" w:eastAsia="Arial" w:hAnsi="Arial"/>
          <w:sz w:val="11"/>
          <w:szCs w:val="11"/>
          <w:color w:val="auto"/>
        </w:rPr>
        <w:t>In addition, under applicable provisions of the Code, we will not be treated as a REIT for any year unless we satisfy various requirements, including requirements relating to the sources of our gross income in such year. Our ability to satisfy these gross income tests depends in substantial part on our receipt of rents paid under the Master Lease. The rejection by Windstream of the Master Lease, Windstream’s inability or unwillingness to meet its rent and other obligations under the Master Lease, or any suspension, delay or other reduction in the amount of rent that we receive under the Master Lease could adversely affect our ability to qualify as a REIT.</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Even if we remain qualified as a REIT, we may face other tax liabilities that reduce our cash flow.</w:t>
      </w:r>
    </w:p>
    <w:p>
      <w:pPr>
        <w:spacing w:after="0" w:line="150" w:lineRule="exact"/>
        <w:rPr>
          <w:sz w:val="20"/>
          <w:szCs w:val="20"/>
          <w:color w:val="auto"/>
        </w:rPr>
      </w:pPr>
    </w:p>
    <w:p>
      <w:pPr>
        <w:ind w:right="160"/>
        <w:spacing w:after="0" w:line="298" w:lineRule="auto"/>
        <w:rPr>
          <w:sz w:val="20"/>
          <w:szCs w:val="20"/>
          <w:color w:val="auto"/>
        </w:rPr>
      </w:pPr>
      <w:r>
        <w:rPr>
          <w:rFonts w:ascii="Arial" w:cs="Arial" w:eastAsia="Arial" w:hAnsi="Arial"/>
          <w:sz w:val="11"/>
          <w:szCs w:val="11"/>
          <w:color w:val="auto"/>
        </w:rPr>
        <w:t>Even if we remain qualified for taxation as a REIT, we may be subject to certain U.S. federal, state and local taxes on our income and assets, including taxes on any undistributed income and state or local income, property and transfer taxes. For example, we hold some of our assets and conduct certain of our activities through a TRS that is subject to U.S. federal, state and local corporate-level income taxes as a regular C corporation. In addition, we may incur a 100% excise tax on transactions with a TRS if they are not conducted on an arm’s-length basis. Any of these taxes could decrease cash available for distribution to our stockholders and servicing our debt.</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Complying with the REIT requirements may cause us to forego otherwise attractive acquisition opportunities.</w:t>
      </w:r>
    </w:p>
    <w:p>
      <w:pPr>
        <w:spacing w:after="0" w:line="150" w:lineRule="exact"/>
        <w:rPr>
          <w:sz w:val="20"/>
          <w:szCs w:val="20"/>
          <w:color w:val="auto"/>
        </w:rPr>
      </w:pPr>
    </w:p>
    <w:p>
      <w:pPr>
        <w:ind w:right="80"/>
        <w:spacing w:after="0" w:line="263" w:lineRule="auto"/>
        <w:rPr>
          <w:sz w:val="20"/>
          <w:szCs w:val="20"/>
          <w:color w:val="auto"/>
        </w:rPr>
      </w:pPr>
      <w:r>
        <w:rPr>
          <w:rFonts w:ascii="Arial" w:cs="Arial" w:eastAsia="Arial" w:hAnsi="Arial"/>
          <w:sz w:val="12"/>
          <w:szCs w:val="12"/>
          <w:color w:val="auto"/>
        </w:rPr>
        <w:t>To qualify as a REIT for U.S. federal income tax purposes, we must ensure that, at the end of each calendar quarter, at least 75% of the value of our assets consists of cash, cash items, government securities and “real estate assets” (as defined in the Code). The remainder of our investments (other than government securities, qualified real estate assets and securities issued by a TRS) generally cannot include more than 10% of the outstanding voting securities of any one issuer or more than 10% of the total value of the outstanding securities of any one issuer. In addition, in</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20" w:name="page21"/>
    <w:bookmarkEnd w:id="2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ind w:right="60"/>
        <w:spacing w:after="0" w:line="253" w:lineRule="auto"/>
        <w:rPr>
          <w:sz w:val="20"/>
          <w:szCs w:val="20"/>
          <w:color w:val="auto"/>
        </w:rPr>
      </w:pPr>
      <w:r>
        <w:rPr>
          <w:rFonts w:ascii="Arial" w:cs="Arial" w:eastAsia="Arial" w:hAnsi="Arial"/>
          <w:sz w:val="12"/>
          <w:szCs w:val="12"/>
          <w:color w:val="auto"/>
        </w:rPr>
        <w:t>general, no more than 5% of the value of our total assets (other than government securities, qualified real estate assets and securities issued by a TRS) can consist of the securities of any one issuer, no more than 20% of the value of our total assets can be represented by securities (other than qualified real estate assets) of one or more TRSs, and no more than 25% of the value of our total assets can be represented by nonqualified publicly offered REIT debt instruments (as defined in the Code).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As a result of such asset limitations, we may be required to forego otherwise attractive investments. These actions could have the effect of reducing our income and amounts available for distribution to our stockholders and servicing our debt.</w:t>
      </w:r>
    </w:p>
    <w:p>
      <w:pPr>
        <w:spacing w:after="0" w:line="124"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Risks Related to Our Common Stock</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We cannot guarantee our ability to pay dividends in the future.</w:t>
      </w:r>
    </w:p>
    <w:p>
      <w:pPr>
        <w:spacing w:after="0" w:line="150" w:lineRule="exact"/>
        <w:rPr>
          <w:sz w:val="20"/>
          <w:szCs w:val="20"/>
          <w:color w:val="auto"/>
        </w:rPr>
      </w:pPr>
    </w:p>
    <w:p>
      <w:pPr>
        <w:spacing w:after="0" w:line="279" w:lineRule="auto"/>
        <w:rPr>
          <w:sz w:val="20"/>
          <w:szCs w:val="20"/>
          <w:color w:val="auto"/>
        </w:rPr>
      </w:pPr>
      <w:r>
        <w:rPr>
          <w:rFonts w:ascii="Arial" w:cs="Arial" w:eastAsia="Arial" w:hAnsi="Arial"/>
          <w:sz w:val="11"/>
          <w:szCs w:val="11"/>
          <w:color w:val="auto"/>
        </w:rPr>
        <w:t>To qualify as a REIT, our annual dividend must not be less than 90% of our REIT taxable income on an annual basis, determined without regard to the dividends paid deduction and excluding any net capital gains. Our ability to pay dividends may be adversely affected by a number of factors, including the risk factors herein. Dividends will be authorized by our board of directors and declared by us based upon a number of factors, including actual results of operations, restrictions under Maryland law or applicable debt covenants, our financial condition, our taxable income, the annual distribution requirements under the REIT provisions of the Code, our operating expenses and other factors our directors deem relevant. We cannot ensure that we will achieve investment results that will allow us to make a specified level of cash dividends or year-to-year increases in cash dividends in the future. As a result of recent actions related to Windstream, as set forth in the first risk factor, we may choose to reduce or suspend our dividend for a period of time until the situation is clarified. Moreover, during the pendency of Windstream’s bankruptcy, or at such earlier time when certain other conditions are specified, (discussed in the second risk factor and “Risks Related to the Status of Uniti as a REIT – REIT distribution requirements could adversely affect our ability to execute our business plan”) our ability to make cash distributions to our shareholders in amounts exceeding 90% of our REIT taxable income, determined without regard to the dividends paid deduction and excluding any net capital gains, generally will be restricted. Accordingly, because we are required to make distributions in certain amounts to our shareholders in order to maintain our REIT status and avoid incurring entity-level income and excise tax, we may elect to pay one or more dividends to our shareholders substantially in the form of additional shares of common stock. If we do so, the common stock that we distribute would be taxable dividend income to our shareholders, in whole or in part, based on the fair market value of our common stock at the time the dividend is paid.</w:t>
      </w:r>
    </w:p>
    <w:p>
      <w:pPr>
        <w:spacing w:after="0" w:line="115" w:lineRule="exact"/>
        <w:rPr>
          <w:sz w:val="20"/>
          <w:szCs w:val="20"/>
          <w:color w:val="auto"/>
        </w:rPr>
      </w:pPr>
    </w:p>
    <w:p>
      <w:pPr>
        <w:ind w:right="20"/>
        <w:spacing w:after="0" w:line="257" w:lineRule="auto"/>
        <w:rPr>
          <w:sz w:val="20"/>
          <w:szCs w:val="20"/>
          <w:color w:val="auto"/>
        </w:rPr>
      </w:pPr>
      <w:r>
        <w:rPr>
          <w:rFonts w:ascii="Arial" w:cs="Arial" w:eastAsia="Arial" w:hAnsi="Arial"/>
          <w:sz w:val="12"/>
          <w:szCs w:val="12"/>
          <w:color w:val="auto"/>
        </w:rPr>
        <w:t>Furthermore, while we are required to pay dividends in order to maintain our REIT status (as described above under “Risks Related to the Status of Uniti as a REIT—REIT distribution requirements could adversely affect our ability to execute our business plan”), we may elect not to maintain our REIT status, in which case we would no longer be required to pay such dividends. Moreover, even if we do maintain our REIT status, after completing various procedural steps, we may elect to comply with the applicable distribution requirements by distributing, under certain circumstances, shares of our common stock in lieu of cash. If we elect not to maintain our REIT status or to satisfy any required distributions in shares of common stock in lieu of cash, such action could negatively affect our business and financial condition as well as the market price of our common stock. No assurance can be given that we will pay any dividends on shares of our common stock in the future.</w:t>
      </w:r>
    </w:p>
    <w:p>
      <w:pPr>
        <w:spacing w:after="0" w:line="126"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The market price and trading volume of our common stock may fluctuate widely.</w:t>
      </w:r>
    </w:p>
    <w:p>
      <w:pPr>
        <w:spacing w:after="0" w:line="150" w:lineRule="exact"/>
        <w:rPr>
          <w:sz w:val="20"/>
          <w:szCs w:val="20"/>
          <w:color w:val="auto"/>
        </w:rPr>
      </w:pPr>
    </w:p>
    <w:p>
      <w:pPr>
        <w:ind w:right="180"/>
        <w:spacing w:after="0" w:line="276" w:lineRule="auto"/>
        <w:rPr>
          <w:sz w:val="20"/>
          <w:szCs w:val="20"/>
          <w:color w:val="auto"/>
        </w:rPr>
      </w:pPr>
      <w:r>
        <w:rPr>
          <w:rFonts w:ascii="Arial" w:cs="Arial" w:eastAsia="Arial" w:hAnsi="Arial"/>
          <w:sz w:val="12"/>
          <w:szCs w:val="12"/>
          <w:color w:val="auto"/>
        </w:rPr>
        <w:t>We cannot predict the prices at which our common stock may trade. The market price of our common stock has fluctuated significantly since February 15, 2019 and may continue to fluctuate significantly, depending upon many factors, some of which may be beyond our control, including the collateral consequences that have resulted, or could result, from Windstream’s bankruptcy.</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Our charter restricts the ownership and transfer of our outstanding stock, which may have the effect of delaying, deferring or preventing a transaction or change of control of our company.</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21" w:name="page22"/>
    <w:bookmarkEnd w:id="2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line="280" w:lineRule="auto"/>
        <w:rPr>
          <w:sz w:val="20"/>
          <w:szCs w:val="20"/>
          <w:color w:val="auto"/>
        </w:rPr>
      </w:pPr>
      <w:r>
        <w:rPr>
          <w:rFonts w:ascii="Arial" w:cs="Arial" w:eastAsia="Arial" w:hAnsi="Arial"/>
          <w:sz w:val="11"/>
          <w:szCs w:val="11"/>
          <w:color w:val="auto"/>
        </w:rPr>
        <w:t>In order for us to qualify as a REIT, not more than 50% in value of our outstanding shares of stock may be owned, beneficially or constructively, by five or fewer individuals at any time during the last half of each taxable year after the first year for which we elect to be taxed and qualify as a REIT. Additionally, at least 100 persons must beneficially own our stock during at least 335 days of a taxable year (other than the first taxable year for which we elect to be taxed and qualify as a REIT). Our charter, with certain exceptions, authorizes our board of directors to take such actions as are necessary or advisable to preserve our qualification as a REIT. Our charter also provides that, unless exempted by the board of directors, no person may own more than 9.8% in value or in number, whichever is more restrictive, of the outstanding shares of our common stock or more than 9.8% in value of the aggregate of the outstanding shares of all classes and series of our stock. The constructive ownership rules are complex and may cause shares of stock owned directly or constructively by a group of related individuals or entities to be constructively owned by one individual or entity. These ownership limits could delay or prevent a transaction or a change in control of us that might involve a premium price for shares of our stock or otherwise be in the best interests of our stockholders.</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1B. Unresolved Staff Comments.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None</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2. Properties.</w:t>
      </w:r>
    </w:p>
    <w:p>
      <w:pPr>
        <w:spacing w:after="0" w:line="154" w:lineRule="exact"/>
        <w:rPr>
          <w:sz w:val="20"/>
          <w:szCs w:val="20"/>
          <w:color w:val="auto"/>
        </w:rPr>
      </w:pPr>
    </w:p>
    <w:p>
      <w:pPr>
        <w:ind w:right="120"/>
        <w:spacing w:after="0" w:line="276" w:lineRule="auto"/>
        <w:rPr>
          <w:sz w:val="20"/>
          <w:szCs w:val="20"/>
          <w:color w:val="auto"/>
        </w:rPr>
      </w:pPr>
      <w:r>
        <w:rPr>
          <w:rFonts w:ascii="Arial" w:cs="Arial" w:eastAsia="Arial" w:hAnsi="Arial"/>
          <w:sz w:val="12"/>
          <w:szCs w:val="12"/>
          <w:color w:val="auto"/>
        </w:rPr>
        <w:t>Uniti and its subsidiaries own approximately 112,300 fiber network route miles, representing approximately 5.6 million fiber strand miles, approximately 215,100 route miles of copper cable lines, central office land and buildings across 42 states and beneficial rights to permits, pole agreements and easements.</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Leasing Segment</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Uniti Leasing’s network properties include its fiber route miles and copper route miles. Below is a geographic distribution summary as of December 31, 2018:</w:t>
      </w:r>
    </w:p>
    <w:p>
      <w:pPr>
        <w:spacing w:after="0" w:line="150"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22" w:name="page23"/>
    <w:bookmarkEnd w:id="22"/>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8"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5880" w:type="dxa"/>
            <w:vAlign w:val="bottom"/>
          </w:tcPr>
          <w:p>
            <w:pPr>
              <w:spacing w:after="0"/>
              <w:rPr>
                <w:sz w:val="20"/>
                <w:szCs w:val="20"/>
                <w:color w:val="auto"/>
              </w:rPr>
            </w:pPr>
            <w:r>
              <w:rPr>
                <w:rFonts w:ascii="Arial" w:cs="Arial" w:eastAsia="Arial" w:hAnsi="Arial"/>
                <w:sz w:val="10"/>
                <w:szCs w:val="10"/>
                <w:b w:val="1"/>
                <w:bCs w:val="1"/>
                <w:color w:val="auto"/>
              </w:rPr>
              <w:t>Location</w:t>
            </w:r>
          </w:p>
        </w:tc>
        <w:tc>
          <w:tcPr>
            <w:tcW w:w="1240" w:type="dxa"/>
            <w:vAlign w:val="bottom"/>
          </w:tcPr>
          <w:p>
            <w:pPr>
              <w:ind w:left="440"/>
              <w:spacing w:after="0"/>
              <w:rPr>
                <w:sz w:val="20"/>
                <w:szCs w:val="20"/>
                <w:color w:val="auto"/>
              </w:rPr>
            </w:pPr>
            <w:r>
              <w:rPr>
                <w:rFonts w:ascii="Arial" w:cs="Arial" w:eastAsia="Arial" w:hAnsi="Arial"/>
                <w:sz w:val="10"/>
                <w:szCs w:val="10"/>
                <w:b w:val="1"/>
                <w:bCs w:val="1"/>
                <w:color w:val="auto"/>
                <w:w w:val="93"/>
              </w:rPr>
              <w:t>Fiber Route Miles</w:t>
            </w:r>
          </w:p>
        </w:tc>
        <w:tc>
          <w:tcPr>
            <w:tcW w:w="4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40" w:type="dxa"/>
            <w:vAlign w:val="bottom"/>
          </w:tcPr>
          <w:p>
            <w:pPr>
              <w:ind w:left="400"/>
              <w:spacing w:after="0"/>
              <w:rPr>
                <w:sz w:val="20"/>
                <w:szCs w:val="20"/>
                <w:color w:val="auto"/>
              </w:rPr>
            </w:pPr>
            <w:r>
              <w:rPr>
                <w:rFonts w:ascii="Arial" w:cs="Arial" w:eastAsia="Arial" w:hAnsi="Arial"/>
                <w:sz w:val="10"/>
                <w:szCs w:val="10"/>
                <w:b w:val="1"/>
                <w:bCs w:val="1"/>
                <w:color w:val="auto"/>
                <w:w w:val="87"/>
              </w:rPr>
              <w:t>Copper Route Miles</w:t>
            </w:r>
          </w:p>
        </w:tc>
        <w:tc>
          <w:tcPr>
            <w:tcW w:w="4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760" w:type="dxa"/>
            <w:vAlign w:val="bottom"/>
            <w:gridSpan w:val="2"/>
          </w:tcPr>
          <w:p>
            <w:pPr>
              <w:ind w:left="440"/>
              <w:spacing w:after="0"/>
              <w:rPr>
                <w:sz w:val="20"/>
                <w:szCs w:val="20"/>
                <w:color w:val="auto"/>
              </w:rPr>
            </w:pPr>
            <w:r>
              <w:rPr>
                <w:rFonts w:ascii="Arial" w:cs="Arial" w:eastAsia="Arial" w:hAnsi="Arial"/>
                <w:sz w:val="10"/>
                <w:szCs w:val="10"/>
                <w:b w:val="1"/>
                <w:bCs w:val="1"/>
                <w:color w:val="auto"/>
              </w:rPr>
              <w:t>Total Route Miles</w:t>
            </w:r>
          </w:p>
        </w:tc>
      </w:tr>
      <w:tr>
        <w:trPr>
          <w:trHeight w:val="151"/>
        </w:trPr>
        <w:tc>
          <w:tcPr>
            <w:tcW w:w="5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2"/>
                <w:szCs w:val="12"/>
                <w:color w:val="auto"/>
              </w:rPr>
              <w:t>GA</w:t>
            </w:r>
          </w:p>
        </w:tc>
        <w:tc>
          <w:tcPr>
            <w:tcW w:w="1240" w:type="dxa"/>
            <w:vAlign w:val="bottom"/>
            <w:tcBorders>
              <w:top w:val="single" w:sz="8" w:color="auto"/>
            </w:tcBorders>
            <w:shd w:val="clear" w:color="auto" w:fill="CFF0FC"/>
          </w:tcPr>
          <w:p>
            <w:pPr>
              <w:spacing w:after="0"/>
              <w:rPr>
                <w:sz w:val="13"/>
                <w:szCs w:val="13"/>
                <w:color w:val="auto"/>
              </w:rPr>
            </w:pPr>
          </w:p>
        </w:tc>
        <w:tc>
          <w:tcPr>
            <w:tcW w:w="4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10,000</w:t>
            </w:r>
          </w:p>
        </w:tc>
        <w:tc>
          <w:tcPr>
            <w:tcW w:w="280" w:type="dxa"/>
            <w:vAlign w:val="bottom"/>
            <w:tcBorders>
              <w:top w:val="single" w:sz="8" w:color="CFF0FC"/>
            </w:tcBorders>
            <w:shd w:val="clear" w:color="auto" w:fill="CFF0FC"/>
          </w:tcPr>
          <w:p>
            <w:pPr>
              <w:spacing w:after="0"/>
              <w:rPr>
                <w:sz w:val="13"/>
                <w:szCs w:val="13"/>
                <w:color w:val="auto"/>
              </w:rPr>
            </w:pPr>
          </w:p>
        </w:tc>
        <w:tc>
          <w:tcPr>
            <w:tcW w:w="1240" w:type="dxa"/>
            <w:vAlign w:val="bottom"/>
            <w:tcBorders>
              <w:top w:val="single" w:sz="8" w:color="auto"/>
            </w:tcBorders>
            <w:shd w:val="clear" w:color="auto" w:fill="CFF0FC"/>
          </w:tcPr>
          <w:p>
            <w:pPr>
              <w:spacing w:after="0"/>
              <w:rPr>
                <w:sz w:val="13"/>
                <w:szCs w:val="13"/>
                <w:color w:val="auto"/>
              </w:rPr>
            </w:pPr>
          </w:p>
        </w:tc>
        <w:tc>
          <w:tcPr>
            <w:tcW w:w="4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43,800</w:t>
            </w:r>
          </w:p>
        </w:tc>
        <w:tc>
          <w:tcPr>
            <w:tcW w:w="280" w:type="dxa"/>
            <w:vAlign w:val="bottom"/>
            <w:tcBorders>
              <w:top w:val="single" w:sz="8" w:color="CFF0FC"/>
            </w:tcBorders>
            <w:shd w:val="clear" w:color="auto" w:fill="CFF0FC"/>
          </w:tcPr>
          <w:p>
            <w:pPr>
              <w:spacing w:after="0"/>
              <w:rPr>
                <w:sz w:val="13"/>
                <w:szCs w:val="13"/>
                <w:color w:val="auto"/>
              </w:rPr>
            </w:pPr>
          </w:p>
        </w:tc>
        <w:tc>
          <w:tcPr>
            <w:tcW w:w="16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53,800</w:t>
            </w:r>
          </w:p>
        </w:tc>
        <w:tc>
          <w:tcPr>
            <w:tcW w:w="120" w:type="dxa"/>
            <w:vAlign w:val="bottom"/>
            <w:tcBorders>
              <w:top w:val="single" w:sz="8" w:color="CFF0FC"/>
            </w:tcBorders>
            <w:shd w:val="clear" w:color="auto" w:fill="CFF0FC"/>
          </w:tcPr>
          <w:p>
            <w:pPr>
              <w:spacing w:after="0"/>
              <w:rPr>
                <w:sz w:val="13"/>
                <w:szCs w:val="13"/>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TX</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9,500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33,400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42,900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IA</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8,600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32,700</w:t>
            </w:r>
          </w:p>
        </w:tc>
        <w:tc>
          <w:tcPr>
            <w:tcW w:w="280" w:type="dxa"/>
            <w:vAlign w:val="bottom"/>
            <w:shd w:val="clear" w:color="auto" w:fill="CFF0FC"/>
          </w:tcPr>
          <w:p>
            <w:pPr>
              <w:spacing w:after="0"/>
              <w:rPr>
                <w:sz w:val="14"/>
                <w:szCs w:val="14"/>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41,300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KY</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8,200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30,200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38,400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NC</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4,700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18,200</w:t>
            </w:r>
          </w:p>
        </w:tc>
        <w:tc>
          <w:tcPr>
            <w:tcW w:w="280" w:type="dxa"/>
            <w:vAlign w:val="bottom"/>
            <w:shd w:val="clear" w:color="auto" w:fill="CFF0FC"/>
          </w:tcPr>
          <w:p>
            <w:pPr>
              <w:spacing w:after="0"/>
              <w:rPr>
                <w:sz w:val="14"/>
                <w:szCs w:val="14"/>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22,900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IL</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3,700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3,700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OH</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3,500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10,300</w:t>
            </w:r>
          </w:p>
        </w:tc>
        <w:tc>
          <w:tcPr>
            <w:tcW w:w="280" w:type="dxa"/>
            <w:vAlign w:val="bottom"/>
            <w:shd w:val="clear" w:color="auto" w:fill="CFF0FC"/>
          </w:tcPr>
          <w:p>
            <w:pPr>
              <w:spacing w:after="0"/>
              <w:rPr>
                <w:sz w:val="14"/>
                <w:szCs w:val="14"/>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13,800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AR</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3,400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11,100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14,500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IN</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FL</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2,200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7,700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9,900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MI</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WI</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2,100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2,100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CA</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OK</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1,700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10,800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12,500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MO</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8,400</w:t>
            </w:r>
          </w:p>
        </w:tc>
        <w:tc>
          <w:tcPr>
            <w:tcW w:w="280" w:type="dxa"/>
            <w:vAlign w:val="bottom"/>
            <w:shd w:val="clear" w:color="auto" w:fill="CFF0FC"/>
          </w:tcPr>
          <w:p>
            <w:pPr>
              <w:spacing w:after="0"/>
              <w:rPr>
                <w:sz w:val="14"/>
                <w:szCs w:val="14"/>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PA</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1,400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1,500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TN</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NM</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1,100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1,100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VA</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4,800</w:t>
            </w:r>
          </w:p>
        </w:tc>
        <w:tc>
          <w:tcPr>
            <w:tcW w:w="280" w:type="dxa"/>
            <w:vAlign w:val="bottom"/>
            <w:shd w:val="clear" w:color="auto" w:fill="CFF0FC"/>
          </w:tcPr>
          <w:p>
            <w:pPr>
              <w:spacing w:after="0"/>
              <w:rPr>
                <w:sz w:val="14"/>
                <w:szCs w:val="14"/>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5,900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WV</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900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900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AL</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NV</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700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2,200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2,900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CO</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AZ</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500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500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OR</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KS</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500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500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WY</w:t>
            </w:r>
          </w:p>
        </w:tc>
        <w:tc>
          <w:tcPr>
            <w:tcW w:w="1240" w:type="dxa"/>
            <w:vAlign w:val="bottom"/>
            <w:shd w:val="clear" w:color="auto" w:fill="CFF0FC"/>
          </w:tcPr>
          <w:p>
            <w:pPr>
              <w:spacing w:after="0"/>
              <w:rPr>
                <w:sz w:val="14"/>
                <w:szCs w:val="14"/>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500</w:t>
            </w:r>
          </w:p>
        </w:tc>
        <w:tc>
          <w:tcPr>
            <w:tcW w:w="2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500</w:t>
            </w:r>
          </w:p>
        </w:tc>
        <w:tc>
          <w:tcPr>
            <w:tcW w:w="120" w:type="dxa"/>
            <w:vAlign w:val="bottom"/>
            <w:shd w:val="clear" w:color="auto" w:fill="CFF0FC"/>
          </w:tcPr>
          <w:p>
            <w:pPr>
              <w:spacing w:after="0"/>
              <w:rPr>
                <w:sz w:val="14"/>
                <w:szCs w:val="14"/>
                <w:color w:val="auto"/>
              </w:rPr>
            </w:pPr>
          </w:p>
        </w:tc>
      </w:tr>
      <w:tr>
        <w:trPr>
          <w:trHeight w:val="162"/>
        </w:trPr>
        <w:tc>
          <w:tcPr>
            <w:tcW w:w="5880" w:type="dxa"/>
            <w:vAlign w:val="bottom"/>
          </w:tcPr>
          <w:p>
            <w:pPr>
              <w:spacing w:after="0"/>
              <w:rPr>
                <w:sz w:val="20"/>
                <w:szCs w:val="20"/>
                <w:color w:val="auto"/>
              </w:rPr>
            </w:pPr>
            <w:r>
              <w:rPr>
                <w:rFonts w:ascii="Arial" w:cs="Arial" w:eastAsia="Arial" w:hAnsi="Arial"/>
                <w:sz w:val="12"/>
                <w:szCs w:val="12"/>
                <w:color w:val="auto"/>
              </w:rPr>
              <w:t>MS</w:t>
            </w: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400</w:t>
            </w:r>
          </w:p>
        </w:tc>
        <w:tc>
          <w:tcPr>
            <w:tcW w:w="2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1,400</w:t>
            </w:r>
          </w:p>
        </w:tc>
        <w:tc>
          <w:tcPr>
            <w:tcW w:w="280" w:type="dxa"/>
            <w:vAlign w:val="bottom"/>
          </w:tcPr>
          <w:p>
            <w:pPr>
              <w:spacing w:after="0"/>
              <w:rPr>
                <w:sz w:val="14"/>
                <w:szCs w:val="14"/>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1,800</w:t>
            </w:r>
          </w:p>
        </w:tc>
        <w:tc>
          <w:tcPr>
            <w:tcW w:w="120" w:type="dxa"/>
            <w:vAlign w:val="bottom"/>
          </w:tcPr>
          <w:p>
            <w:pPr>
              <w:spacing w:after="0"/>
              <w:rPr>
                <w:sz w:val="14"/>
                <w:szCs w:val="14"/>
                <w:color w:val="auto"/>
              </w:rPr>
            </w:pPr>
          </w:p>
        </w:tc>
      </w:tr>
      <w:tr>
        <w:trPr>
          <w:trHeight w:val="162"/>
        </w:trPr>
        <w:tc>
          <w:tcPr>
            <w:tcW w:w="5880" w:type="dxa"/>
            <w:vAlign w:val="bottom"/>
            <w:shd w:val="clear" w:color="auto" w:fill="CFF0FC"/>
          </w:tcPr>
          <w:p>
            <w:pPr>
              <w:spacing w:after="0"/>
              <w:rPr>
                <w:sz w:val="20"/>
                <w:szCs w:val="20"/>
                <w:color w:val="auto"/>
              </w:rPr>
            </w:pPr>
            <w:r>
              <w:rPr>
                <w:rFonts w:ascii="Arial" w:cs="Arial" w:eastAsia="Arial" w:hAnsi="Arial"/>
                <w:sz w:val="12"/>
                <w:szCs w:val="12"/>
                <w:color w:val="auto"/>
              </w:rPr>
              <w:t>Other</w:t>
            </w:r>
            <w:r>
              <w:rPr>
                <w:rFonts w:ascii="Arial" w:cs="Arial" w:eastAsia="Arial" w:hAnsi="Arial"/>
                <w:sz w:val="10"/>
                <w:szCs w:val="10"/>
                <w:color w:val="auto"/>
              </w:rPr>
              <w:t>(1)</w:t>
            </w:r>
          </w:p>
        </w:tc>
        <w:tc>
          <w:tcPr>
            <w:tcW w:w="1240" w:type="dxa"/>
            <w:vAlign w:val="bottom"/>
            <w:tcBorders>
              <w:bottom w:val="single" w:sz="8" w:color="auto"/>
            </w:tcBorders>
            <w:shd w:val="clear" w:color="auto" w:fill="CFF0FC"/>
          </w:tcPr>
          <w:p>
            <w:pPr>
              <w:spacing w:after="0"/>
              <w:rPr>
                <w:sz w:val="14"/>
                <w:szCs w:val="14"/>
                <w:color w:val="auto"/>
              </w:rPr>
            </w:pPr>
          </w:p>
        </w:tc>
        <w:tc>
          <w:tcPr>
            <w:tcW w:w="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1,000</w:t>
            </w:r>
          </w:p>
        </w:tc>
        <w:tc>
          <w:tcPr>
            <w:tcW w:w="280" w:type="dxa"/>
            <w:vAlign w:val="bottom"/>
            <w:shd w:val="clear" w:color="auto" w:fill="CFF0FC"/>
          </w:tcPr>
          <w:p>
            <w:pPr>
              <w:spacing w:after="0"/>
              <w:rPr>
                <w:sz w:val="14"/>
                <w:szCs w:val="14"/>
                <w:color w:val="auto"/>
              </w:rPr>
            </w:pPr>
          </w:p>
        </w:tc>
        <w:tc>
          <w:tcPr>
            <w:tcW w:w="1240" w:type="dxa"/>
            <w:vAlign w:val="bottom"/>
            <w:tcBorders>
              <w:bottom w:val="single" w:sz="8" w:color="auto"/>
            </w:tcBorders>
            <w:shd w:val="clear" w:color="auto" w:fill="CFF0FC"/>
          </w:tcPr>
          <w:p>
            <w:pPr>
              <w:spacing w:after="0"/>
              <w:rPr>
                <w:sz w:val="14"/>
                <w:szCs w:val="14"/>
                <w:color w:val="auto"/>
              </w:rPr>
            </w:pPr>
          </w:p>
        </w:tc>
        <w:tc>
          <w:tcPr>
            <w:tcW w:w="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100</w:t>
            </w:r>
          </w:p>
        </w:tc>
        <w:tc>
          <w:tcPr>
            <w:tcW w:w="280" w:type="dxa"/>
            <w:vAlign w:val="bottom"/>
            <w:shd w:val="clear" w:color="auto" w:fill="CFF0FC"/>
          </w:tcPr>
          <w:p>
            <w:pPr>
              <w:spacing w:after="0"/>
              <w:rPr>
                <w:sz w:val="14"/>
                <w:szCs w:val="14"/>
                <w:color w:val="auto"/>
              </w:rPr>
            </w:pPr>
          </w:p>
        </w:tc>
        <w:tc>
          <w:tcPr>
            <w:tcW w:w="1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1,100</w:t>
            </w:r>
          </w:p>
        </w:tc>
        <w:tc>
          <w:tcPr>
            <w:tcW w:w="120" w:type="dxa"/>
            <w:vAlign w:val="bottom"/>
            <w:shd w:val="clear" w:color="auto" w:fill="CFF0FC"/>
          </w:tcPr>
          <w:p>
            <w:pPr>
              <w:spacing w:after="0"/>
              <w:rPr>
                <w:sz w:val="14"/>
                <w:szCs w:val="14"/>
                <w:color w:val="auto"/>
              </w:rPr>
            </w:pPr>
          </w:p>
        </w:tc>
      </w:tr>
      <w:tr>
        <w:trPr>
          <w:trHeight w:val="151"/>
        </w:trPr>
        <w:tc>
          <w:tcPr>
            <w:tcW w:w="5880" w:type="dxa"/>
            <w:vAlign w:val="bottom"/>
          </w:tcPr>
          <w:p>
            <w:pPr>
              <w:spacing w:after="0"/>
              <w:rPr>
                <w:sz w:val="20"/>
                <w:szCs w:val="20"/>
                <w:color w:val="auto"/>
              </w:rPr>
            </w:pPr>
            <w:r>
              <w:rPr>
                <w:rFonts w:ascii="Arial" w:cs="Arial" w:eastAsia="Arial" w:hAnsi="Arial"/>
                <w:sz w:val="12"/>
                <w:szCs w:val="12"/>
                <w:color w:val="auto"/>
              </w:rPr>
              <w:t>Total</w:t>
            </w:r>
          </w:p>
        </w:tc>
        <w:tc>
          <w:tcPr>
            <w:tcW w:w="1240" w:type="dxa"/>
            <w:vAlign w:val="bottom"/>
          </w:tcPr>
          <w:p>
            <w:pPr>
              <w:spacing w:after="0"/>
              <w:rPr>
                <w:sz w:val="13"/>
                <w:szCs w:val="13"/>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77,000</w:t>
            </w:r>
          </w:p>
        </w:tc>
        <w:tc>
          <w:tcPr>
            <w:tcW w:w="28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w w:val="87"/>
              </w:rPr>
              <w:t>215,200</w:t>
            </w:r>
          </w:p>
        </w:tc>
        <w:tc>
          <w:tcPr>
            <w:tcW w:w="280" w:type="dxa"/>
            <w:vAlign w:val="bottom"/>
          </w:tcPr>
          <w:p>
            <w:pPr>
              <w:spacing w:after="0"/>
              <w:rPr>
                <w:sz w:val="13"/>
                <w:szCs w:val="13"/>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292,200</w:t>
            </w:r>
          </w:p>
        </w:tc>
        <w:tc>
          <w:tcPr>
            <w:tcW w:w="120" w:type="dxa"/>
            <w:vAlign w:val="bottom"/>
          </w:tcPr>
          <w:p>
            <w:pPr>
              <w:spacing w:after="0"/>
              <w:rPr>
                <w:sz w:val="13"/>
                <w:szCs w:val="13"/>
                <w:color w:val="auto"/>
              </w:rPr>
            </w:pPr>
          </w:p>
        </w:tc>
      </w:tr>
    </w:tbl>
    <w:p>
      <w:pPr>
        <w:spacing w:after="0" w:line="9" w:lineRule="exact"/>
        <w:rPr>
          <w:sz w:val="20"/>
          <w:szCs w:val="20"/>
          <w:color w:val="auto"/>
        </w:rPr>
      </w:pPr>
    </w:p>
    <w:p>
      <w:pPr>
        <w:ind w:left="148" w:hanging="148"/>
        <w:spacing w:after="0"/>
        <w:tabs>
          <w:tab w:leader="none" w:pos="148" w:val="left"/>
        </w:tabs>
        <w:numPr>
          <w:ilvl w:val="0"/>
          <w:numId w:val="6"/>
        </w:numPr>
        <w:rPr>
          <w:rFonts w:ascii="Arial" w:cs="Arial" w:eastAsia="Arial" w:hAnsi="Arial"/>
          <w:sz w:val="10"/>
          <w:szCs w:val="10"/>
          <w:color w:val="auto"/>
        </w:rPr>
      </w:pPr>
      <w:r>
        <w:rPr>
          <w:rFonts w:ascii="Arial" w:cs="Arial" w:eastAsia="Arial" w:hAnsi="Arial"/>
          <w:sz w:val="12"/>
          <w:szCs w:val="12"/>
          <w:color w:val="auto"/>
        </w:rPr>
        <w:t>Includes 13 states.</w:t>
      </w:r>
    </w:p>
    <w:p>
      <w:pPr>
        <w:spacing w:after="0" w:line="150"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1" w:right="199" w:bottom="1440" w:gutter="0" w:footer="0" w:header="0"/>
        </w:sectPr>
      </w:pPr>
    </w:p>
    <w:bookmarkStart w:id="23" w:name="page24"/>
    <w:bookmarkEnd w:id="2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Fiber Segment</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Uniti Fiber’s network properties include its fiber route miles and wireless communication towers. Below is a geographic distribution summary as of December 31, 2018:</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3340" w:type="dxa"/>
            <w:vAlign w:val="bottom"/>
            <w:tcBorders>
              <w:bottom w:val="single" w:sz="8" w:color="CFF0FC"/>
            </w:tcBorders>
          </w:tcPr>
          <w:p>
            <w:pPr>
              <w:spacing w:after="0"/>
              <w:rPr>
                <w:sz w:val="20"/>
                <w:szCs w:val="20"/>
                <w:color w:val="auto"/>
              </w:rPr>
            </w:pPr>
            <w:r>
              <w:rPr>
                <w:rFonts w:ascii="Arial" w:cs="Arial" w:eastAsia="Arial" w:hAnsi="Arial"/>
                <w:sz w:val="10"/>
                <w:szCs w:val="10"/>
                <w:b w:val="1"/>
                <w:bCs w:val="1"/>
                <w:color w:val="auto"/>
              </w:rPr>
              <w:t>Location</w:t>
            </w:r>
          </w:p>
        </w:tc>
        <w:tc>
          <w:tcPr>
            <w:tcW w:w="6360" w:type="dxa"/>
            <w:vAlign w:val="bottom"/>
            <w:tcBorders>
              <w:bottom w:val="single" w:sz="8" w:color="CFF0FC"/>
            </w:tcBorders>
          </w:tcPr>
          <w:p>
            <w:pPr>
              <w:spacing w:after="0"/>
              <w:rPr>
                <w:sz w:val="10"/>
                <w:szCs w:val="10"/>
                <w:color w:val="auto"/>
              </w:rPr>
            </w:pPr>
          </w:p>
        </w:tc>
        <w:tc>
          <w:tcPr>
            <w:tcW w:w="1660" w:type="dxa"/>
            <w:vAlign w:val="bottom"/>
            <w:tcBorders>
              <w:bottom w:val="single" w:sz="8" w:color="auto"/>
            </w:tcBorders>
          </w:tcPr>
          <w:p>
            <w:pPr>
              <w:jc w:val="right"/>
              <w:ind w:right="406"/>
              <w:spacing w:after="0"/>
              <w:rPr>
                <w:sz w:val="20"/>
                <w:szCs w:val="20"/>
                <w:color w:val="auto"/>
              </w:rPr>
            </w:pPr>
            <w:r>
              <w:rPr>
                <w:rFonts w:ascii="Arial" w:cs="Arial" w:eastAsia="Arial" w:hAnsi="Arial"/>
                <w:sz w:val="10"/>
                <w:szCs w:val="10"/>
                <w:b w:val="1"/>
                <w:bCs w:val="1"/>
                <w:color w:val="auto"/>
              </w:rPr>
              <w:t>Fiber Route Miles</w:t>
            </w:r>
          </w:p>
        </w:tc>
        <w:tc>
          <w:tcPr>
            <w:tcW w:w="120" w:type="dxa"/>
            <w:vAlign w:val="bottom"/>
            <w:tcBorders>
              <w:bottom w:val="single" w:sz="8" w:color="CFF0FC"/>
            </w:tcBorders>
          </w:tcPr>
          <w:p>
            <w:pPr>
              <w:spacing w:after="0"/>
              <w:rPr>
                <w:sz w:val="10"/>
                <w:szCs w:val="10"/>
                <w:color w:val="auto"/>
              </w:rPr>
            </w:pPr>
          </w:p>
        </w:tc>
        <w:tc>
          <w:tcPr>
            <w:tcW w:w="20" w:type="dxa"/>
            <w:vAlign w:val="bottom"/>
          </w:tcPr>
          <w:p>
            <w:pPr>
              <w:spacing w:after="0"/>
              <w:rPr>
                <w:sz w:val="10"/>
                <w:szCs w:val="10"/>
                <w:color w:val="auto"/>
              </w:rPr>
            </w:pPr>
          </w:p>
        </w:tc>
      </w:tr>
      <w:tr>
        <w:trPr>
          <w:trHeight w:val="142"/>
        </w:trPr>
        <w:tc>
          <w:tcPr>
            <w:tcW w:w="3340" w:type="dxa"/>
            <w:vAlign w:val="bottom"/>
            <w:shd w:val="clear" w:color="auto" w:fill="CFF0FC"/>
          </w:tcPr>
          <w:p>
            <w:pPr>
              <w:spacing w:after="0"/>
              <w:rPr>
                <w:sz w:val="20"/>
                <w:szCs w:val="20"/>
                <w:color w:val="auto"/>
              </w:rPr>
            </w:pPr>
            <w:r>
              <w:rPr>
                <w:rFonts w:ascii="Arial" w:cs="Arial" w:eastAsia="Arial" w:hAnsi="Arial"/>
                <w:sz w:val="12"/>
                <w:szCs w:val="12"/>
                <w:color w:val="auto"/>
              </w:rPr>
              <w:t>GA</w:t>
            </w:r>
          </w:p>
        </w:tc>
        <w:tc>
          <w:tcPr>
            <w:tcW w:w="80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5,700</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3340" w:type="dxa"/>
            <w:vAlign w:val="bottom"/>
          </w:tcPr>
          <w:p>
            <w:pPr>
              <w:spacing w:after="0"/>
              <w:rPr>
                <w:sz w:val="20"/>
                <w:szCs w:val="20"/>
                <w:color w:val="auto"/>
              </w:rPr>
            </w:pPr>
            <w:r>
              <w:rPr>
                <w:rFonts w:ascii="Arial" w:cs="Arial" w:eastAsia="Arial" w:hAnsi="Arial"/>
                <w:sz w:val="12"/>
                <w:szCs w:val="12"/>
                <w:color w:val="auto"/>
              </w:rPr>
              <w:t>LA</w:t>
            </w:r>
          </w:p>
        </w:tc>
        <w:tc>
          <w:tcPr>
            <w:tcW w:w="8020" w:type="dxa"/>
            <w:vAlign w:val="bottom"/>
            <w:gridSpan w:val="2"/>
          </w:tcPr>
          <w:p>
            <w:pPr>
              <w:jc w:val="right"/>
              <w:spacing w:after="0"/>
              <w:rPr>
                <w:sz w:val="20"/>
                <w:szCs w:val="20"/>
                <w:color w:val="auto"/>
              </w:rPr>
            </w:pPr>
            <w:r>
              <w:rPr>
                <w:rFonts w:ascii="Arial" w:cs="Arial" w:eastAsia="Arial" w:hAnsi="Arial"/>
                <w:sz w:val="12"/>
                <w:szCs w:val="12"/>
                <w:color w:val="auto"/>
              </w:rPr>
              <w:t>5,500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shd w:val="clear" w:color="auto" w:fill="CFF0FC"/>
          </w:tcPr>
          <w:p>
            <w:pPr>
              <w:spacing w:after="0"/>
              <w:rPr>
                <w:sz w:val="20"/>
                <w:szCs w:val="20"/>
                <w:color w:val="auto"/>
              </w:rPr>
            </w:pPr>
            <w:r>
              <w:rPr>
                <w:rFonts w:ascii="Arial" w:cs="Arial" w:eastAsia="Arial" w:hAnsi="Arial"/>
                <w:sz w:val="12"/>
                <w:szCs w:val="12"/>
                <w:color w:val="auto"/>
              </w:rPr>
              <w:t>FL</w:t>
            </w:r>
          </w:p>
        </w:tc>
        <w:tc>
          <w:tcPr>
            <w:tcW w:w="80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5,100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tcPr>
          <w:p>
            <w:pPr>
              <w:spacing w:after="0"/>
              <w:rPr>
                <w:sz w:val="20"/>
                <w:szCs w:val="20"/>
                <w:color w:val="auto"/>
              </w:rPr>
            </w:pPr>
            <w:r>
              <w:rPr>
                <w:rFonts w:ascii="Arial" w:cs="Arial" w:eastAsia="Arial" w:hAnsi="Arial"/>
                <w:sz w:val="12"/>
                <w:szCs w:val="12"/>
                <w:color w:val="auto"/>
              </w:rPr>
              <w:t>PA</w:t>
            </w:r>
          </w:p>
        </w:tc>
        <w:tc>
          <w:tcPr>
            <w:tcW w:w="8020" w:type="dxa"/>
            <w:vAlign w:val="bottom"/>
            <w:gridSpan w:val="2"/>
          </w:tcPr>
          <w:p>
            <w:pPr>
              <w:jc w:val="right"/>
              <w:spacing w:after="0"/>
              <w:rPr>
                <w:sz w:val="20"/>
                <w:szCs w:val="20"/>
                <w:color w:val="auto"/>
              </w:rPr>
            </w:pPr>
            <w:r>
              <w:rPr>
                <w:rFonts w:ascii="Arial" w:cs="Arial" w:eastAsia="Arial" w:hAnsi="Arial"/>
                <w:sz w:val="12"/>
                <w:szCs w:val="12"/>
                <w:color w:val="auto"/>
              </w:rPr>
              <w:t>4,400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shd w:val="clear" w:color="auto" w:fill="CFF0FC"/>
          </w:tcPr>
          <w:p>
            <w:pPr>
              <w:spacing w:after="0"/>
              <w:rPr>
                <w:sz w:val="20"/>
                <w:szCs w:val="20"/>
                <w:color w:val="auto"/>
              </w:rPr>
            </w:pPr>
            <w:r>
              <w:rPr>
                <w:rFonts w:ascii="Arial" w:cs="Arial" w:eastAsia="Arial" w:hAnsi="Arial"/>
                <w:sz w:val="12"/>
                <w:szCs w:val="12"/>
                <w:color w:val="auto"/>
              </w:rPr>
              <w:t>AL</w:t>
            </w:r>
          </w:p>
        </w:tc>
        <w:tc>
          <w:tcPr>
            <w:tcW w:w="80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3,500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tcPr>
          <w:p>
            <w:pPr>
              <w:spacing w:after="0"/>
              <w:rPr>
                <w:sz w:val="20"/>
                <w:szCs w:val="20"/>
                <w:color w:val="auto"/>
              </w:rPr>
            </w:pPr>
            <w:r>
              <w:rPr>
                <w:rFonts w:ascii="Arial" w:cs="Arial" w:eastAsia="Arial" w:hAnsi="Arial"/>
                <w:sz w:val="12"/>
                <w:szCs w:val="12"/>
                <w:color w:val="auto"/>
              </w:rPr>
              <w:t>MS</w:t>
            </w:r>
          </w:p>
        </w:tc>
        <w:tc>
          <w:tcPr>
            <w:tcW w:w="8020" w:type="dxa"/>
            <w:vAlign w:val="bottom"/>
            <w:gridSpan w:val="2"/>
          </w:tcPr>
          <w:p>
            <w:pPr>
              <w:jc w:val="right"/>
              <w:spacing w:after="0"/>
              <w:rPr>
                <w:sz w:val="20"/>
                <w:szCs w:val="20"/>
                <w:color w:val="auto"/>
              </w:rPr>
            </w:pPr>
            <w:r>
              <w:rPr>
                <w:rFonts w:ascii="Arial" w:cs="Arial" w:eastAsia="Arial" w:hAnsi="Arial"/>
                <w:sz w:val="12"/>
                <w:szCs w:val="12"/>
                <w:color w:val="auto"/>
              </w:rPr>
              <w:t>2,800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shd w:val="clear" w:color="auto" w:fill="CFF0FC"/>
          </w:tcPr>
          <w:p>
            <w:pPr>
              <w:spacing w:after="0"/>
              <w:rPr>
                <w:sz w:val="20"/>
                <w:szCs w:val="20"/>
                <w:color w:val="auto"/>
              </w:rPr>
            </w:pPr>
            <w:r>
              <w:rPr>
                <w:rFonts w:ascii="Arial" w:cs="Arial" w:eastAsia="Arial" w:hAnsi="Arial"/>
                <w:sz w:val="12"/>
                <w:szCs w:val="12"/>
                <w:color w:val="auto"/>
              </w:rPr>
              <w:t>IL</w:t>
            </w:r>
          </w:p>
        </w:tc>
        <w:tc>
          <w:tcPr>
            <w:tcW w:w="80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2,400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tcPr>
          <w:p>
            <w:pPr>
              <w:spacing w:after="0"/>
              <w:rPr>
                <w:sz w:val="20"/>
                <w:szCs w:val="20"/>
                <w:color w:val="auto"/>
              </w:rPr>
            </w:pPr>
            <w:r>
              <w:rPr>
                <w:rFonts w:ascii="Arial" w:cs="Arial" w:eastAsia="Arial" w:hAnsi="Arial"/>
                <w:sz w:val="12"/>
                <w:szCs w:val="12"/>
                <w:color w:val="auto"/>
              </w:rPr>
              <w:t>VA</w:t>
            </w:r>
          </w:p>
        </w:tc>
        <w:tc>
          <w:tcPr>
            <w:tcW w:w="8020" w:type="dxa"/>
            <w:vAlign w:val="bottom"/>
            <w:gridSpan w:val="2"/>
          </w:tcPr>
          <w:p>
            <w:pPr>
              <w:jc w:val="right"/>
              <w:spacing w:after="0"/>
              <w:rPr>
                <w:sz w:val="20"/>
                <w:szCs w:val="20"/>
                <w:color w:val="auto"/>
              </w:rPr>
            </w:pPr>
            <w:r>
              <w:rPr>
                <w:rFonts w:ascii="Arial" w:cs="Arial" w:eastAsia="Arial" w:hAnsi="Arial"/>
                <w:sz w:val="12"/>
                <w:szCs w:val="12"/>
                <w:color w:val="auto"/>
              </w:rPr>
              <w:t>1,600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shd w:val="clear" w:color="auto" w:fill="CFF0FC"/>
          </w:tcPr>
          <w:p>
            <w:pPr>
              <w:spacing w:after="0"/>
              <w:rPr>
                <w:sz w:val="20"/>
                <w:szCs w:val="20"/>
                <w:color w:val="auto"/>
              </w:rPr>
            </w:pPr>
            <w:r>
              <w:rPr>
                <w:rFonts w:ascii="Arial" w:cs="Arial" w:eastAsia="Arial" w:hAnsi="Arial"/>
                <w:sz w:val="12"/>
                <w:szCs w:val="12"/>
                <w:color w:val="auto"/>
              </w:rPr>
              <w:t>NY</w:t>
            </w:r>
          </w:p>
        </w:tc>
        <w:tc>
          <w:tcPr>
            <w:tcW w:w="80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1,500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tcPr>
          <w:p>
            <w:pPr>
              <w:spacing w:after="0"/>
              <w:rPr>
                <w:sz w:val="20"/>
                <w:szCs w:val="20"/>
                <w:color w:val="auto"/>
              </w:rPr>
            </w:pPr>
            <w:r>
              <w:rPr>
                <w:rFonts w:ascii="Arial" w:cs="Arial" w:eastAsia="Arial" w:hAnsi="Arial"/>
                <w:sz w:val="12"/>
                <w:szCs w:val="12"/>
                <w:color w:val="auto"/>
              </w:rPr>
              <w:t>TX</w:t>
            </w:r>
          </w:p>
        </w:tc>
        <w:tc>
          <w:tcPr>
            <w:tcW w:w="8020" w:type="dxa"/>
            <w:vAlign w:val="bottom"/>
            <w:gridSpan w:val="2"/>
          </w:tcPr>
          <w:p>
            <w:pPr>
              <w:jc w:val="right"/>
              <w:spacing w:after="0"/>
              <w:rPr>
                <w:sz w:val="20"/>
                <w:szCs w:val="20"/>
                <w:color w:val="auto"/>
              </w:rPr>
            </w:pPr>
            <w:r>
              <w:rPr>
                <w:rFonts w:ascii="Arial" w:cs="Arial" w:eastAsia="Arial" w:hAnsi="Arial"/>
                <w:sz w:val="12"/>
                <w:szCs w:val="12"/>
                <w:color w:val="auto"/>
              </w:rPr>
              <w:t>900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340" w:type="dxa"/>
            <w:vAlign w:val="bottom"/>
            <w:shd w:val="clear" w:color="auto" w:fill="CFF0FC"/>
          </w:tcPr>
          <w:p>
            <w:pPr>
              <w:spacing w:after="0"/>
              <w:rPr>
                <w:sz w:val="20"/>
                <w:szCs w:val="20"/>
                <w:color w:val="auto"/>
              </w:rPr>
            </w:pPr>
            <w:r>
              <w:rPr>
                <w:rFonts w:ascii="Arial" w:cs="Arial" w:eastAsia="Arial" w:hAnsi="Arial"/>
                <w:sz w:val="12"/>
                <w:szCs w:val="12"/>
                <w:color w:val="auto"/>
              </w:rPr>
              <w:t>Other</w:t>
            </w:r>
            <w:r>
              <w:rPr>
                <w:rFonts w:ascii="Arial" w:cs="Arial" w:eastAsia="Arial" w:hAnsi="Arial"/>
                <w:sz w:val="10"/>
                <w:szCs w:val="10"/>
                <w:color w:val="auto"/>
              </w:rPr>
              <w:t>(1)</w:t>
            </w:r>
          </w:p>
        </w:tc>
        <w:tc>
          <w:tcPr>
            <w:tcW w:w="6360" w:type="dxa"/>
            <w:vAlign w:val="bottom"/>
            <w:shd w:val="clear" w:color="auto" w:fill="CFF0FC"/>
          </w:tcPr>
          <w:p>
            <w:pPr>
              <w:spacing w:after="0"/>
              <w:rPr>
                <w:sz w:val="13"/>
                <w:szCs w:val="13"/>
                <w:color w:val="auto"/>
              </w:rPr>
            </w:pP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1,900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3340" w:type="dxa"/>
            <w:vAlign w:val="bottom"/>
          </w:tcPr>
          <w:p>
            <w:pPr>
              <w:spacing w:after="0"/>
              <w:rPr>
                <w:sz w:val="20"/>
                <w:szCs w:val="20"/>
                <w:color w:val="auto"/>
              </w:rPr>
            </w:pPr>
            <w:r>
              <w:rPr>
                <w:rFonts w:ascii="Arial" w:cs="Arial" w:eastAsia="Arial" w:hAnsi="Arial"/>
                <w:sz w:val="12"/>
                <w:szCs w:val="12"/>
                <w:color w:val="auto"/>
              </w:rPr>
              <w:t>Total</w:t>
            </w:r>
          </w:p>
        </w:tc>
        <w:tc>
          <w:tcPr>
            <w:tcW w:w="8020" w:type="dxa"/>
            <w:vAlign w:val="bottom"/>
            <w:gridSpan w:val="2"/>
          </w:tcPr>
          <w:p>
            <w:pPr>
              <w:jc w:val="right"/>
              <w:spacing w:after="0"/>
              <w:rPr>
                <w:sz w:val="20"/>
                <w:szCs w:val="20"/>
                <w:color w:val="auto"/>
              </w:rPr>
            </w:pPr>
            <w:r>
              <w:rPr>
                <w:rFonts w:ascii="Arial" w:cs="Arial" w:eastAsia="Arial" w:hAnsi="Arial"/>
                <w:sz w:val="12"/>
                <w:szCs w:val="12"/>
                <w:color w:val="auto"/>
              </w:rPr>
              <w:t>35,300</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62"/>
        </w:trPr>
        <w:tc>
          <w:tcPr>
            <w:tcW w:w="3340" w:type="dxa"/>
            <w:vAlign w:val="bottom"/>
          </w:tcPr>
          <w:p>
            <w:pPr>
              <w:spacing w:after="0"/>
              <w:rPr>
                <w:sz w:val="20"/>
                <w:szCs w:val="20"/>
                <w:color w:val="auto"/>
              </w:rPr>
            </w:pPr>
            <w:r>
              <w:rPr>
                <w:rFonts w:ascii="Arial" w:cs="Arial" w:eastAsia="Arial" w:hAnsi="Arial"/>
                <w:sz w:val="10"/>
                <w:szCs w:val="10"/>
                <w:color w:val="auto"/>
              </w:rPr>
              <w:t xml:space="preserve">(1) </w:t>
            </w:r>
            <w:r>
              <w:rPr>
                <w:rFonts w:ascii="Arial" w:cs="Arial" w:eastAsia="Arial" w:hAnsi="Arial"/>
                <w:sz w:val="12"/>
                <w:szCs w:val="12"/>
                <w:color w:val="auto"/>
              </w:rPr>
              <w:t>Includes 14 states.</w:t>
            </w:r>
          </w:p>
        </w:tc>
        <w:tc>
          <w:tcPr>
            <w:tcW w:w="63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88"/>
        </w:trPr>
        <w:tc>
          <w:tcPr>
            <w:tcW w:w="3340" w:type="dxa"/>
            <w:vAlign w:val="bottom"/>
          </w:tcPr>
          <w:p>
            <w:pPr>
              <w:spacing w:after="0"/>
              <w:rPr>
                <w:sz w:val="24"/>
                <w:szCs w:val="24"/>
                <w:color w:val="auto"/>
              </w:rPr>
            </w:pPr>
          </w:p>
        </w:tc>
        <w:tc>
          <w:tcPr>
            <w:tcW w:w="6360" w:type="dxa"/>
            <w:vAlign w:val="bottom"/>
          </w:tcPr>
          <w:p>
            <w:pPr>
              <w:jc w:val="right"/>
              <w:ind w:right="3840"/>
              <w:spacing w:after="0"/>
              <w:rPr>
                <w:sz w:val="20"/>
                <w:szCs w:val="20"/>
                <w:color w:val="auto"/>
              </w:rPr>
            </w:pPr>
            <w:r>
              <w:rPr>
                <w:rFonts w:ascii="Arial" w:cs="Arial" w:eastAsia="Arial" w:hAnsi="Arial"/>
                <w:sz w:val="12"/>
                <w:szCs w:val="12"/>
                <w:color w:val="auto"/>
              </w:rPr>
              <w:t>24</w:t>
            </w: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3340" w:type="dxa"/>
            <w:vAlign w:val="bottom"/>
            <w:tcBorders>
              <w:bottom w:val="single" w:sz="8" w:color="9A9A9A"/>
            </w:tcBorders>
          </w:tcPr>
          <w:p>
            <w:pPr>
              <w:spacing w:after="0"/>
              <w:rPr>
                <w:sz w:val="6"/>
                <w:szCs w:val="6"/>
                <w:color w:val="auto"/>
              </w:rPr>
            </w:pPr>
          </w:p>
        </w:tc>
        <w:tc>
          <w:tcPr>
            <w:tcW w:w="6360" w:type="dxa"/>
            <w:vAlign w:val="bottom"/>
            <w:tcBorders>
              <w:bottom w:val="single" w:sz="8" w:color="9A9A9A"/>
            </w:tcBorders>
          </w:tcPr>
          <w:p>
            <w:pPr>
              <w:spacing w:after="0"/>
              <w:rPr>
                <w:sz w:val="6"/>
                <w:szCs w:val="6"/>
                <w:color w:val="auto"/>
              </w:rPr>
            </w:pPr>
          </w:p>
        </w:tc>
        <w:tc>
          <w:tcPr>
            <w:tcW w:w="16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24" w:name="page25"/>
    <w:bookmarkEnd w:id="2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Towers Segment</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Uniti Towers’ network properties include its wireless communication towers. Below is a geographic distribution summary as of December 31, 2018:</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9700" w:type="dxa"/>
            <w:vAlign w:val="bottom"/>
          </w:tcPr>
          <w:p>
            <w:pPr>
              <w:spacing w:after="0"/>
              <w:rPr>
                <w:sz w:val="20"/>
                <w:szCs w:val="20"/>
                <w:color w:val="auto"/>
              </w:rPr>
            </w:pPr>
            <w:r>
              <w:rPr>
                <w:rFonts w:ascii="Arial" w:cs="Arial" w:eastAsia="Arial" w:hAnsi="Arial"/>
                <w:sz w:val="10"/>
                <w:szCs w:val="10"/>
                <w:b w:val="1"/>
                <w:bCs w:val="1"/>
                <w:color w:val="auto"/>
              </w:rPr>
              <w:t>Location</w:t>
            </w:r>
          </w:p>
        </w:tc>
        <w:tc>
          <w:tcPr>
            <w:tcW w:w="1780" w:type="dxa"/>
            <w:vAlign w:val="bottom"/>
            <w:gridSpan w:val="2"/>
          </w:tcPr>
          <w:p>
            <w:pPr>
              <w:ind w:left="680"/>
              <w:spacing w:after="0"/>
              <w:rPr>
                <w:sz w:val="20"/>
                <w:szCs w:val="20"/>
                <w:color w:val="auto"/>
              </w:rPr>
            </w:pPr>
            <w:r>
              <w:rPr>
                <w:rFonts w:ascii="Arial" w:cs="Arial" w:eastAsia="Arial" w:hAnsi="Arial"/>
                <w:sz w:val="10"/>
                <w:szCs w:val="10"/>
                <w:b w:val="1"/>
                <w:bCs w:val="1"/>
                <w:color w:val="auto"/>
              </w:rPr>
              <w:t>Towers</w:t>
            </w:r>
          </w:p>
        </w:tc>
      </w:tr>
      <w:tr>
        <w:trPr>
          <w:trHeight w:val="142"/>
        </w:trPr>
        <w:tc>
          <w:tcPr>
            <w:tcW w:w="97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2"/>
                <w:szCs w:val="12"/>
                <w:color w:val="auto"/>
              </w:rPr>
              <w:t>LA</w:t>
            </w:r>
          </w:p>
        </w:tc>
        <w:tc>
          <w:tcPr>
            <w:tcW w:w="1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154</w:t>
            </w:r>
          </w:p>
        </w:tc>
        <w:tc>
          <w:tcPr>
            <w:tcW w:w="120" w:type="dxa"/>
            <w:vAlign w:val="bottom"/>
            <w:tcBorders>
              <w:top w:val="single" w:sz="8" w:color="CFF0FC"/>
            </w:tcBorders>
            <w:shd w:val="clear" w:color="auto" w:fill="CFF0FC"/>
          </w:tcPr>
          <w:p>
            <w:pPr>
              <w:spacing w:after="0"/>
              <w:rPr>
                <w:sz w:val="12"/>
                <w:szCs w:val="12"/>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TX</w:t>
            </w:r>
          </w:p>
        </w:tc>
        <w:tc>
          <w:tcPr>
            <w:tcW w:w="1660" w:type="dxa"/>
            <w:vAlign w:val="bottom"/>
          </w:tcPr>
          <w:p>
            <w:pPr>
              <w:jc w:val="right"/>
              <w:spacing w:after="0"/>
              <w:rPr>
                <w:sz w:val="20"/>
                <w:szCs w:val="20"/>
                <w:color w:val="auto"/>
              </w:rPr>
            </w:pPr>
            <w:r>
              <w:rPr>
                <w:rFonts w:ascii="Arial" w:cs="Arial" w:eastAsia="Arial" w:hAnsi="Arial"/>
                <w:sz w:val="12"/>
                <w:szCs w:val="12"/>
                <w:color w:val="auto"/>
              </w:rPr>
              <w:t>65</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WI</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IL</w:t>
            </w:r>
          </w:p>
        </w:tc>
        <w:tc>
          <w:tcPr>
            <w:tcW w:w="1660" w:type="dxa"/>
            <w:vAlign w:val="bottom"/>
          </w:tcPr>
          <w:p>
            <w:pPr>
              <w:jc w:val="right"/>
              <w:spacing w:after="0"/>
              <w:rPr>
                <w:sz w:val="20"/>
                <w:szCs w:val="20"/>
                <w:color w:val="auto"/>
              </w:rPr>
            </w:pPr>
            <w:r>
              <w:rPr>
                <w:rFonts w:ascii="Arial" w:cs="Arial" w:eastAsia="Arial" w:hAnsi="Arial"/>
                <w:sz w:val="12"/>
                <w:szCs w:val="12"/>
                <w:color w:val="auto"/>
              </w:rPr>
              <w:t>24</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AR</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AL</w:t>
            </w:r>
          </w:p>
        </w:tc>
        <w:tc>
          <w:tcPr>
            <w:tcW w:w="1660" w:type="dxa"/>
            <w:vAlign w:val="bottom"/>
          </w:tcPr>
          <w:p>
            <w:pPr>
              <w:jc w:val="right"/>
              <w:spacing w:after="0"/>
              <w:rPr>
                <w:sz w:val="20"/>
                <w:szCs w:val="20"/>
                <w:color w:val="auto"/>
              </w:rPr>
            </w:pPr>
            <w:r>
              <w:rPr>
                <w:rFonts w:ascii="Arial" w:cs="Arial" w:eastAsia="Arial" w:hAnsi="Arial"/>
                <w:sz w:val="12"/>
                <w:szCs w:val="12"/>
                <w:color w:val="auto"/>
              </w:rPr>
              <w:t>20</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NM</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MS</w:t>
            </w:r>
          </w:p>
        </w:tc>
        <w:tc>
          <w:tcPr>
            <w:tcW w:w="1660" w:type="dxa"/>
            <w:vAlign w:val="bottom"/>
          </w:tcPr>
          <w:p>
            <w:pPr>
              <w:jc w:val="right"/>
              <w:spacing w:after="0"/>
              <w:rPr>
                <w:sz w:val="20"/>
                <w:szCs w:val="20"/>
                <w:color w:val="auto"/>
              </w:rPr>
            </w:pPr>
            <w:r>
              <w:rPr>
                <w:rFonts w:ascii="Arial" w:cs="Arial" w:eastAsia="Arial" w:hAnsi="Arial"/>
                <w:sz w:val="12"/>
                <w:szCs w:val="12"/>
                <w:color w:val="auto"/>
              </w:rPr>
              <w:t>19</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GA</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NE</w:t>
            </w:r>
          </w:p>
        </w:tc>
        <w:tc>
          <w:tcPr>
            <w:tcW w:w="1660" w:type="dxa"/>
            <w:vAlign w:val="bottom"/>
          </w:tcPr>
          <w:p>
            <w:pPr>
              <w:jc w:val="right"/>
              <w:spacing w:after="0"/>
              <w:rPr>
                <w:sz w:val="20"/>
                <w:szCs w:val="20"/>
                <w:color w:val="auto"/>
              </w:rPr>
            </w:pPr>
            <w:r>
              <w:rPr>
                <w:rFonts w:ascii="Arial" w:cs="Arial" w:eastAsia="Arial" w:hAnsi="Arial"/>
                <w:sz w:val="12"/>
                <w:szCs w:val="12"/>
                <w:color w:val="auto"/>
              </w:rPr>
              <w:t>12</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KY</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MN</w:t>
            </w:r>
          </w:p>
        </w:tc>
        <w:tc>
          <w:tcPr>
            <w:tcW w:w="1660" w:type="dxa"/>
            <w:vAlign w:val="bottom"/>
          </w:tcPr>
          <w:p>
            <w:pPr>
              <w:jc w:val="right"/>
              <w:spacing w:after="0"/>
              <w:rPr>
                <w:sz w:val="20"/>
                <w:szCs w:val="20"/>
                <w:color w:val="auto"/>
              </w:rPr>
            </w:pPr>
            <w:r>
              <w:rPr>
                <w:rFonts w:ascii="Arial" w:cs="Arial" w:eastAsia="Arial" w:hAnsi="Arial"/>
                <w:sz w:val="12"/>
                <w:szCs w:val="12"/>
                <w:color w:val="auto"/>
              </w:rPr>
              <w:t>7</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OK</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PA</w:t>
            </w:r>
          </w:p>
        </w:tc>
        <w:tc>
          <w:tcPr>
            <w:tcW w:w="1660" w:type="dxa"/>
            <w:vAlign w:val="bottom"/>
          </w:tcPr>
          <w:p>
            <w:pPr>
              <w:jc w:val="right"/>
              <w:spacing w:after="0"/>
              <w:rPr>
                <w:sz w:val="20"/>
                <w:szCs w:val="20"/>
                <w:color w:val="auto"/>
              </w:rPr>
            </w:pPr>
            <w:r>
              <w:rPr>
                <w:rFonts w:ascii="Arial" w:cs="Arial" w:eastAsia="Arial" w:hAnsi="Arial"/>
                <w:sz w:val="12"/>
                <w:szCs w:val="12"/>
                <w:color w:val="auto"/>
              </w:rPr>
              <w:t>5</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TN</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OH</w:t>
            </w:r>
          </w:p>
        </w:tc>
        <w:tc>
          <w:tcPr>
            <w:tcW w:w="1660" w:type="dxa"/>
            <w:vAlign w:val="bottom"/>
          </w:tcPr>
          <w:p>
            <w:pPr>
              <w:jc w:val="right"/>
              <w:spacing w:after="0"/>
              <w:rPr>
                <w:sz w:val="20"/>
                <w:szCs w:val="20"/>
                <w:color w:val="auto"/>
              </w:rPr>
            </w:pPr>
            <w:r>
              <w:rPr>
                <w:rFonts w:ascii="Arial" w:cs="Arial" w:eastAsia="Arial" w:hAnsi="Arial"/>
                <w:sz w:val="12"/>
                <w:szCs w:val="12"/>
                <w:color w:val="auto"/>
              </w:rPr>
              <w:t>3</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NC</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SC</w:t>
            </w:r>
          </w:p>
        </w:tc>
        <w:tc>
          <w:tcPr>
            <w:tcW w:w="1660" w:type="dxa"/>
            <w:vAlign w:val="bottom"/>
          </w:tcPr>
          <w:p>
            <w:pPr>
              <w:jc w:val="right"/>
              <w:spacing w:after="0"/>
              <w:rPr>
                <w:sz w:val="20"/>
                <w:szCs w:val="20"/>
                <w:color w:val="auto"/>
              </w:rPr>
            </w:pPr>
            <w:r>
              <w:rPr>
                <w:rFonts w:ascii="Arial" w:cs="Arial" w:eastAsia="Arial" w:hAnsi="Arial"/>
                <w:sz w:val="12"/>
                <w:szCs w:val="12"/>
                <w:color w:val="auto"/>
              </w:rPr>
              <w:t>3</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Other</w:t>
            </w:r>
            <w:r>
              <w:rPr>
                <w:rFonts w:ascii="Arial" w:cs="Arial" w:eastAsia="Arial" w:hAnsi="Arial"/>
                <w:sz w:val="10"/>
                <w:szCs w:val="10"/>
                <w:color w:val="auto"/>
              </w:rPr>
              <w:t>(1)</w:t>
            </w: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11</w:t>
            </w:r>
          </w:p>
        </w:tc>
        <w:tc>
          <w:tcPr>
            <w:tcW w:w="120" w:type="dxa"/>
            <w:vAlign w:val="bottom"/>
            <w:shd w:val="clear" w:color="auto" w:fill="CFF0FC"/>
          </w:tcPr>
          <w:p>
            <w:pPr>
              <w:spacing w:after="0"/>
              <w:rPr>
                <w:sz w:val="13"/>
                <w:szCs w:val="13"/>
                <w:color w:val="auto"/>
              </w:rPr>
            </w:pPr>
          </w:p>
        </w:tc>
      </w:tr>
      <w:tr>
        <w:trPr>
          <w:trHeight w:val="142"/>
        </w:trPr>
        <w:tc>
          <w:tcPr>
            <w:tcW w:w="9700" w:type="dxa"/>
            <w:vAlign w:val="bottom"/>
          </w:tcPr>
          <w:p>
            <w:pPr>
              <w:spacing w:after="0"/>
              <w:rPr>
                <w:sz w:val="20"/>
                <w:szCs w:val="20"/>
                <w:color w:val="auto"/>
              </w:rPr>
            </w:pPr>
            <w:r>
              <w:rPr>
                <w:rFonts w:ascii="Arial" w:cs="Arial" w:eastAsia="Arial" w:hAnsi="Arial"/>
                <w:sz w:val="12"/>
                <w:szCs w:val="12"/>
                <w:color w:val="auto"/>
              </w:rPr>
              <w:t>Total Domestic</w:t>
            </w:r>
          </w:p>
        </w:tc>
        <w:tc>
          <w:tcPr>
            <w:tcW w:w="1660" w:type="dxa"/>
            <w:vAlign w:val="bottom"/>
          </w:tcPr>
          <w:p>
            <w:pPr>
              <w:jc w:val="right"/>
              <w:spacing w:after="0"/>
              <w:rPr>
                <w:sz w:val="20"/>
                <w:szCs w:val="20"/>
                <w:color w:val="auto"/>
              </w:rPr>
            </w:pPr>
            <w:r>
              <w:rPr>
                <w:rFonts w:ascii="Arial" w:cs="Arial" w:eastAsia="Arial" w:hAnsi="Arial"/>
                <w:sz w:val="12"/>
                <w:szCs w:val="12"/>
                <w:color w:val="auto"/>
              </w:rPr>
              <w:t>430</w:t>
            </w:r>
          </w:p>
        </w:tc>
        <w:tc>
          <w:tcPr>
            <w:tcW w:w="120" w:type="dxa"/>
            <w:vAlign w:val="bottom"/>
          </w:tcPr>
          <w:p>
            <w:pPr>
              <w:spacing w:after="0"/>
              <w:rPr>
                <w:sz w:val="12"/>
                <w:szCs w:val="12"/>
                <w:color w:val="auto"/>
              </w:rPr>
            </w:pPr>
          </w:p>
        </w:tc>
      </w:tr>
      <w:tr>
        <w:trPr>
          <w:trHeight w:val="153"/>
        </w:trPr>
        <w:tc>
          <w:tcPr>
            <w:tcW w:w="9700" w:type="dxa"/>
            <w:vAlign w:val="bottom"/>
            <w:shd w:val="clear" w:color="auto" w:fill="CFF0FC"/>
          </w:tcPr>
          <w:p>
            <w:pPr>
              <w:spacing w:after="0"/>
              <w:rPr>
                <w:sz w:val="13"/>
                <w:szCs w:val="13"/>
                <w:color w:val="auto"/>
              </w:rPr>
            </w:pPr>
          </w:p>
        </w:tc>
        <w:tc>
          <w:tcPr>
            <w:tcW w:w="16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Pr>
          <w:p>
            <w:pPr>
              <w:spacing w:after="0"/>
              <w:rPr>
                <w:sz w:val="20"/>
                <w:szCs w:val="20"/>
                <w:color w:val="auto"/>
              </w:rPr>
            </w:pPr>
            <w:r>
              <w:rPr>
                <w:rFonts w:ascii="Arial" w:cs="Arial" w:eastAsia="Arial" w:hAnsi="Arial"/>
                <w:sz w:val="12"/>
                <w:szCs w:val="12"/>
                <w:color w:val="auto"/>
              </w:rPr>
              <w:t>Mexico</w:t>
            </w:r>
          </w:p>
        </w:tc>
        <w:tc>
          <w:tcPr>
            <w:tcW w:w="1660" w:type="dxa"/>
            <w:vAlign w:val="bottom"/>
          </w:tcPr>
          <w:p>
            <w:pPr>
              <w:jc w:val="right"/>
              <w:spacing w:after="0"/>
              <w:rPr>
                <w:sz w:val="20"/>
                <w:szCs w:val="20"/>
                <w:color w:val="auto"/>
              </w:rPr>
            </w:pPr>
            <w:r>
              <w:rPr>
                <w:rFonts w:ascii="Arial" w:cs="Arial" w:eastAsia="Arial" w:hAnsi="Arial"/>
                <w:sz w:val="12"/>
                <w:szCs w:val="12"/>
                <w:color w:val="auto"/>
              </w:rPr>
              <w:t>342</w:t>
            </w:r>
          </w:p>
        </w:tc>
        <w:tc>
          <w:tcPr>
            <w:tcW w:w="120" w:type="dxa"/>
            <w:vAlign w:val="bottom"/>
          </w:tcPr>
          <w:p>
            <w:pPr>
              <w:spacing w:after="0"/>
              <w:rPr>
                <w:sz w:val="13"/>
                <w:szCs w:val="13"/>
                <w:color w:val="auto"/>
              </w:rPr>
            </w:pPr>
          </w:p>
        </w:tc>
      </w:tr>
      <w:tr>
        <w:trPr>
          <w:trHeight w:val="153"/>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Colombia</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101</w:t>
            </w:r>
          </w:p>
        </w:tc>
        <w:tc>
          <w:tcPr>
            <w:tcW w:w="120" w:type="dxa"/>
            <w:vAlign w:val="bottom"/>
            <w:shd w:val="clear" w:color="auto" w:fill="CFF0FC"/>
          </w:tcPr>
          <w:p>
            <w:pPr>
              <w:spacing w:after="0"/>
              <w:rPr>
                <w:sz w:val="13"/>
                <w:szCs w:val="13"/>
                <w:color w:val="auto"/>
              </w:rPr>
            </w:pPr>
          </w:p>
        </w:tc>
      </w:tr>
      <w:tr>
        <w:trPr>
          <w:trHeight w:val="153"/>
        </w:trPr>
        <w:tc>
          <w:tcPr>
            <w:tcW w:w="970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Nicaragua</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55</w:t>
            </w:r>
          </w:p>
        </w:tc>
        <w:tc>
          <w:tcPr>
            <w:tcW w:w="120" w:type="dxa"/>
            <w:vAlign w:val="bottom"/>
            <w:tcBorders>
              <w:bottom w:val="single" w:sz="8" w:color="CFF0FC"/>
            </w:tcBorders>
          </w:tcPr>
          <w:p>
            <w:pPr>
              <w:spacing w:after="0"/>
              <w:rPr>
                <w:sz w:val="13"/>
                <w:szCs w:val="13"/>
                <w:color w:val="auto"/>
              </w:rPr>
            </w:pPr>
          </w:p>
        </w:tc>
      </w:tr>
      <w:tr>
        <w:trPr>
          <w:trHeight w:val="142"/>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Total International</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498</w:t>
            </w:r>
          </w:p>
        </w:tc>
        <w:tc>
          <w:tcPr>
            <w:tcW w:w="120" w:type="dxa"/>
            <w:vAlign w:val="bottom"/>
            <w:shd w:val="clear" w:color="auto" w:fill="CFF0FC"/>
          </w:tcPr>
          <w:p>
            <w:pPr>
              <w:spacing w:after="0"/>
              <w:rPr>
                <w:sz w:val="12"/>
                <w:szCs w:val="12"/>
                <w:color w:val="auto"/>
              </w:rPr>
            </w:pPr>
          </w:p>
        </w:tc>
      </w:tr>
      <w:tr>
        <w:trPr>
          <w:trHeight w:val="153"/>
        </w:trPr>
        <w:tc>
          <w:tcPr>
            <w:tcW w:w="9700" w:type="dxa"/>
            <w:vAlign w:val="bottom"/>
            <w:tcBorders>
              <w:bottom w:val="single" w:sz="8" w:color="CFF0FC"/>
            </w:tcBorders>
          </w:tcPr>
          <w:p>
            <w:pPr>
              <w:spacing w:after="0"/>
              <w:rPr>
                <w:sz w:val="13"/>
                <w:szCs w:val="13"/>
                <w:color w:val="auto"/>
              </w:rPr>
            </w:pPr>
          </w:p>
        </w:tc>
        <w:tc>
          <w:tcPr>
            <w:tcW w:w="1660" w:type="dxa"/>
            <w:vAlign w:val="bottom"/>
            <w:tcBorders>
              <w:bottom w:val="single" w:sz="8" w:color="auto"/>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r>
      <w:tr>
        <w:trPr>
          <w:trHeight w:val="142"/>
        </w:trPr>
        <w:tc>
          <w:tcPr>
            <w:tcW w:w="9700" w:type="dxa"/>
            <w:vAlign w:val="bottom"/>
            <w:shd w:val="clear" w:color="auto" w:fill="CFF0FC"/>
          </w:tcPr>
          <w:p>
            <w:pPr>
              <w:spacing w:after="0"/>
              <w:rPr>
                <w:sz w:val="20"/>
                <w:szCs w:val="20"/>
                <w:color w:val="auto"/>
              </w:rPr>
            </w:pPr>
            <w:r>
              <w:rPr>
                <w:rFonts w:ascii="Arial" w:cs="Arial" w:eastAsia="Arial" w:hAnsi="Arial"/>
                <w:sz w:val="12"/>
                <w:szCs w:val="12"/>
                <w:color w:val="auto"/>
              </w:rPr>
              <w:t>Total</w:t>
            </w: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928</w:t>
            </w:r>
          </w:p>
        </w:tc>
        <w:tc>
          <w:tcPr>
            <w:tcW w:w="120" w:type="dxa"/>
            <w:vAlign w:val="bottom"/>
            <w:shd w:val="clear" w:color="auto" w:fill="CFF0FC"/>
          </w:tcPr>
          <w:p>
            <w:pPr>
              <w:spacing w:after="0"/>
              <w:rPr>
                <w:sz w:val="12"/>
                <w:szCs w:val="12"/>
                <w:color w:val="auto"/>
              </w:rPr>
            </w:pPr>
          </w:p>
        </w:tc>
      </w:tr>
      <w:tr>
        <w:trPr>
          <w:trHeight w:val="162"/>
        </w:trPr>
        <w:tc>
          <w:tcPr>
            <w:tcW w:w="9700" w:type="dxa"/>
            <w:vAlign w:val="bottom"/>
          </w:tcPr>
          <w:p>
            <w:pPr>
              <w:spacing w:after="0"/>
              <w:rPr>
                <w:sz w:val="20"/>
                <w:szCs w:val="20"/>
                <w:color w:val="auto"/>
              </w:rPr>
            </w:pPr>
            <w:r>
              <w:rPr>
                <w:rFonts w:ascii="Arial" w:cs="Arial" w:eastAsia="Arial" w:hAnsi="Arial"/>
                <w:sz w:val="10"/>
                <w:szCs w:val="10"/>
                <w:color w:val="auto"/>
              </w:rPr>
              <w:t xml:space="preserve">(1) </w:t>
            </w:r>
            <w:r>
              <w:rPr>
                <w:rFonts w:ascii="Arial" w:cs="Arial" w:eastAsia="Arial" w:hAnsi="Arial"/>
                <w:sz w:val="12"/>
                <w:szCs w:val="12"/>
                <w:color w:val="auto"/>
              </w:rPr>
              <w:t>Includes 8 states.</w:t>
            </w:r>
          </w:p>
        </w:tc>
        <w:tc>
          <w:tcPr>
            <w:tcW w:w="1660" w:type="dxa"/>
            <w:vAlign w:val="bottom"/>
          </w:tcPr>
          <w:p>
            <w:pPr>
              <w:spacing w:after="0"/>
              <w:rPr>
                <w:sz w:val="14"/>
                <w:szCs w:val="14"/>
                <w:color w:val="auto"/>
              </w:rPr>
            </w:pPr>
          </w:p>
        </w:tc>
        <w:tc>
          <w:tcPr>
            <w:tcW w:w="120" w:type="dxa"/>
            <w:vAlign w:val="bottom"/>
          </w:tcPr>
          <w:p>
            <w:pPr>
              <w:spacing w:after="0"/>
              <w:rPr>
                <w:sz w:val="14"/>
                <w:szCs w:val="14"/>
                <w:color w:val="auto"/>
              </w:rPr>
            </w:pPr>
          </w:p>
        </w:tc>
      </w:tr>
    </w:tbl>
    <w:p>
      <w:pPr>
        <w:spacing w:after="0" w:line="13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3. Legal Proceedings.</w:t>
      </w:r>
    </w:p>
    <w:p>
      <w:pPr>
        <w:spacing w:after="0" w:line="154" w:lineRule="exact"/>
        <w:rPr>
          <w:sz w:val="20"/>
          <w:szCs w:val="20"/>
          <w:color w:val="auto"/>
        </w:rPr>
      </w:pPr>
    </w:p>
    <w:p>
      <w:pPr>
        <w:ind w:right="460"/>
        <w:spacing w:after="0" w:line="276" w:lineRule="auto"/>
        <w:rPr>
          <w:sz w:val="20"/>
          <w:szCs w:val="20"/>
          <w:color w:val="auto"/>
        </w:rPr>
      </w:pPr>
      <w:r>
        <w:rPr>
          <w:rFonts w:ascii="Arial" w:cs="Arial" w:eastAsia="Arial" w:hAnsi="Arial"/>
          <w:sz w:val="12"/>
          <w:szCs w:val="12"/>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115" w:lineRule="exact"/>
        <w:rPr>
          <w:sz w:val="20"/>
          <w:szCs w:val="20"/>
          <w:color w:val="auto"/>
        </w:rPr>
      </w:pPr>
    </w:p>
    <w:p>
      <w:pPr>
        <w:ind w:right="40"/>
        <w:spacing w:after="0" w:line="283" w:lineRule="auto"/>
        <w:rPr>
          <w:sz w:val="20"/>
          <w:szCs w:val="20"/>
          <w:color w:val="auto"/>
        </w:rPr>
      </w:pPr>
      <w:r>
        <w:rPr>
          <w:rFonts w:ascii="Arial" w:cs="Arial" w:eastAsia="Arial" w:hAnsi="Arial"/>
          <w:sz w:val="11"/>
          <w:szCs w:val="11"/>
          <w:color w:val="auto"/>
        </w:rPr>
        <w:t>Pursuant to the Master Lease, Windstream has agreed to indemnify us for, among other things, any use, misuse, maintenance or repair by Windstream with respect to the Distribution Systems. Windstream is currently a party to various legal actions and administrative proceedings, including various claims arising in the ordinary course of its telecommunications business, which are subject to the indemnities provided by Windstream to us. If Windstream assumes the Master Lease, it would be obligated to honor all indemnification claims. If Windstream were to reject the Master Lease, any indemnification claims would be treated as unsecured claims, and, if that were to occur, there can be no assurance we would receive any indemnification payments from Windstream. While these actions and proceedings are not believed to be material, individually or in the aggregate, the ultimate outcome of these matters cannot be predicted. The resolution of any such legal proceedings, either individually or in the aggregate, could have a material adverse effect on Windstream’s business, financial position or results of operations, which, in turn, could have a material adverse effect on our business, financial position or results of operations if Windstream is unable to meet its indemnification obligations.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25" w:name="page26"/>
    <w:bookmarkEnd w:id="2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Windstream has been involved in litigation with an entity who acquired certain Windstream debt securities and thereafter issued a notice of default as to such securities relating to the Spin-Off. Windstream 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w:t>
      </w:r>
    </w:p>
    <w:p>
      <w:pPr>
        <w:spacing w:after="0" w:line="123" w:lineRule="exact"/>
        <w:rPr>
          <w:sz w:val="20"/>
          <w:szCs w:val="20"/>
          <w:color w:val="auto"/>
        </w:rPr>
      </w:pPr>
    </w:p>
    <w:p>
      <w:pPr>
        <w:spacing w:after="0"/>
        <w:rPr>
          <w:sz w:val="20"/>
          <w:szCs w:val="20"/>
          <w:color w:val="auto"/>
        </w:rPr>
      </w:pPr>
      <w:r>
        <w:rPr>
          <w:rFonts w:ascii="Arial" w:cs="Arial" w:eastAsia="Arial" w:hAnsi="Arial"/>
          <w:sz w:val="11"/>
          <w:szCs w:val="11"/>
          <w:color w:val="auto"/>
        </w:rPr>
        <w:t>In response to the adverse outcome, on February 25, 2019, Windstream filed a voluntary petition for relief under Chapter 11 of the Bankruptcy Code in the U.S. Bankruptcy Court for the Southern District of New York.</w:t>
      </w:r>
    </w:p>
    <w:p>
      <w:pPr>
        <w:spacing w:after="0" w:line="162" w:lineRule="exact"/>
        <w:rPr>
          <w:sz w:val="20"/>
          <w:szCs w:val="20"/>
          <w:color w:val="auto"/>
        </w:rPr>
      </w:pPr>
    </w:p>
    <w:p>
      <w:pPr>
        <w:ind w:right="100"/>
        <w:spacing w:after="0" w:line="313" w:lineRule="auto"/>
        <w:rPr>
          <w:sz w:val="20"/>
          <w:szCs w:val="20"/>
          <w:color w:val="auto"/>
        </w:rPr>
      </w:pPr>
      <w:r>
        <w:rPr>
          <w:rFonts w:ascii="Arial" w:cs="Arial" w:eastAsia="Arial" w:hAnsi="Arial"/>
          <w:sz w:val="10"/>
          <w:szCs w:val="10"/>
          <w:color w:val="auto"/>
        </w:rPr>
        <w:t>In bankruptcy,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See Item 1A Risk Factors for additional information concerning the impact Windstream’s bankruptcy may have on our operations and financial conditions. A rejection by Windstream of the Master Lease or its inability or unwillingness to meet its rent and other obligations under the Master Lease could materially adversely affect our consolidated results of operations, liquidity, and financial condition, including our ability to service debt, comply with debt covenants and pay dividends to our stockholders as required to maintain our status as a REIT. A rejection of the Master Lease by Windstream would result in an “event of default” under our Credit Agreement if we are unable to enter into a replacement lease that satisfies certain criteria set forth in the Credit Agreement within ninety (90) calendar days and we do not maintain pro forma compliance with a consolidated secured leverage ratio, as defined in the Credit Agreement, of 5.00 to 1.00.</w:t>
      </w:r>
    </w:p>
    <w:p>
      <w:pPr>
        <w:spacing w:after="0" w:line="99"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4. Mine Safety Disclosures.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None</w:t>
      </w:r>
    </w:p>
    <w:p>
      <w:pPr>
        <w:spacing w:after="0" w:line="150"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00"/>
          </w:cols>
          <w:pgMar w:left="220" w:top="131" w:right="279" w:bottom="1440" w:gutter="0" w:footer="0" w:header="0"/>
        </w:sectPr>
      </w:pPr>
    </w:p>
    <w:bookmarkStart w:id="26" w:name="page27"/>
    <w:bookmarkEnd w:id="2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2"/>
          <w:szCs w:val="12"/>
          <w:b w:val="1"/>
          <w:bCs w:val="1"/>
          <w:color w:val="auto"/>
        </w:rPr>
        <w:t>PART II</w:t>
      </w:r>
    </w:p>
    <w:p>
      <w:pPr>
        <w:spacing w:after="0" w:line="137"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5. Market for Registrant’s Common Equity, Related Stockholder Matters and Issuer Purchases of Equity Securities.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Market Information</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Our common stock is traded on the NASDAQ Global Select Market under the symbol “UNIT.”</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Holders</w:t>
      </w:r>
    </w:p>
    <w:p>
      <w:pPr>
        <w:spacing w:after="0" w:line="154" w:lineRule="exact"/>
        <w:rPr>
          <w:sz w:val="20"/>
          <w:szCs w:val="20"/>
          <w:color w:val="auto"/>
        </w:rPr>
      </w:pPr>
    </w:p>
    <w:p>
      <w:pPr>
        <w:ind w:right="120"/>
        <w:spacing w:after="0" w:line="276" w:lineRule="auto"/>
        <w:rPr>
          <w:sz w:val="20"/>
          <w:szCs w:val="20"/>
          <w:color w:val="auto"/>
        </w:rPr>
      </w:pPr>
      <w:r>
        <w:rPr>
          <w:rFonts w:ascii="Arial" w:cs="Arial" w:eastAsia="Arial" w:hAnsi="Arial"/>
          <w:sz w:val="12"/>
          <w:szCs w:val="12"/>
          <w:color w:val="auto"/>
        </w:rPr>
        <w:t>As of March 6, 2019, the closing price of our common stock was $8.63 per share as reported on the NASDAQ Global Select Market. As of March 6, 2019, we had 183,103,947 outstanding shares of common stock, 21,340 record holders and approximately 155,003 beneficial owners of our common stock.</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Dividends (Distributions)</w:t>
      </w:r>
    </w:p>
    <w:p>
      <w:pPr>
        <w:spacing w:after="0" w:line="154"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Distributions with respect to our common stock is characterized for federal income tax purposes as taxable ordinary dividends, capital gains dividends, non-dividend distribution or a combination thereof. It has been our policy to declare dividends to common shareholders so as to comply with the provisions of the Internal Revenue Code governing REITs.</w:t>
      </w:r>
    </w:p>
    <w:p>
      <w:pPr>
        <w:spacing w:after="0" w:line="115" w:lineRule="exact"/>
        <w:rPr>
          <w:sz w:val="20"/>
          <w:szCs w:val="20"/>
          <w:color w:val="auto"/>
        </w:rPr>
      </w:pPr>
    </w:p>
    <w:p>
      <w:pPr>
        <w:ind w:right="20"/>
        <w:spacing w:after="0" w:line="286" w:lineRule="auto"/>
        <w:rPr>
          <w:sz w:val="20"/>
          <w:szCs w:val="20"/>
          <w:color w:val="auto"/>
        </w:rPr>
      </w:pPr>
      <w:r>
        <w:rPr>
          <w:rFonts w:ascii="Arial" w:cs="Arial" w:eastAsia="Arial" w:hAnsi="Arial"/>
          <w:sz w:val="11"/>
          <w:szCs w:val="11"/>
          <w:color w:val="auto"/>
        </w:rPr>
        <w:t>Any dividends must be declared by our Board of Directors, which will take into account various factors including our current and anticipated operating results, our financial position, REIT requirements, conditions prevailing in the market, restrictions in our debt documents and additional factors they deem appropriate. Dividend payments are not guaranteed and our Board of Directors may decide, in its absolute discretion, at any time and for any reason, not to pay dividends or to change the amount paid as dividends. As a result of recent actions related to Windstream, as set forth in Item 1A Risk Factors, we may choose to reduce or suspend our dividend for a period of time until the situation is clarified. In addition, during the pendency of Windstream’s bankruptcy, or at such earlier time when certain other conditions are specified, the Amendment to our Credit Agreement (as set forth in Item 1A Risk Factors) generally limits our ability under the Credit Agreement to pay cash dividends in excess of 90% of our REIT taxable income, determined without regard to the dividends paid deduction and excluding any net capital gains.</w:t>
      </w:r>
    </w:p>
    <w:p>
      <w:pPr>
        <w:spacing w:after="0" w:line="107"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Stock Performance</w:t>
      </w:r>
    </w:p>
    <w:p>
      <w:pPr>
        <w:spacing w:after="0" w:line="154"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The following graph shows a comparison from April 20, 2015 (the date our common stock commenced trading on the NASDAQ Global Select Market) through December 31, 2018 of the cumulative total return for our common stock, the Standard &amp; Poor's 400 Stock Index (S&amp;P 400 Index), and the MSCI US REIT Index. The graph assumes that $100 was invested at the market open on April 20, 2015 and that all dividends were reinvested in the common stock of Uniti, the S&amp;P 400 Index and the MSCI US REIT Index. The stock price performance of the following graph is not necessarily indicative of future stock price performance.</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27" w:name="page28"/>
    <w:bookmarkEnd w:id="2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9525</wp:posOffset>
            </wp:positionV>
            <wp:extent cx="3540125" cy="18815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540125" cy="18815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20"/>
        <w:spacing w:after="0"/>
        <w:rPr>
          <w:sz w:val="20"/>
          <w:szCs w:val="20"/>
          <w:color w:val="auto"/>
        </w:rPr>
      </w:pPr>
      <w:r>
        <w:rPr>
          <w:rFonts w:ascii="Arial" w:cs="Arial" w:eastAsia="Arial" w:hAnsi="Arial"/>
          <w:sz w:val="12"/>
          <w:szCs w:val="12"/>
          <w:color w:val="auto"/>
        </w:rPr>
        <w:t>Cumulative Total Stockholder Returns</w:t>
      </w:r>
    </w:p>
    <w:p>
      <w:pPr>
        <w:spacing w:after="0" w:line="15" w:lineRule="exact"/>
        <w:rPr>
          <w:sz w:val="20"/>
          <w:szCs w:val="20"/>
          <w:color w:val="auto"/>
        </w:rPr>
      </w:pPr>
    </w:p>
    <w:p>
      <w:pPr>
        <w:jc w:val="center"/>
        <w:ind w:right="20"/>
        <w:spacing w:after="0"/>
        <w:rPr>
          <w:sz w:val="20"/>
          <w:szCs w:val="20"/>
          <w:color w:val="auto"/>
        </w:rPr>
      </w:pPr>
      <w:r>
        <w:rPr>
          <w:rFonts w:ascii="Arial" w:cs="Arial" w:eastAsia="Arial" w:hAnsi="Arial"/>
          <w:sz w:val="12"/>
          <w:szCs w:val="12"/>
          <w:color w:val="auto"/>
        </w:rPr>
        <w:t>Based on Investment of $100.00 Beginning on April 20, 2015</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960" w:type="dxa"/>
            <w:vAlign w:val="bottom"/>
            <w:tcBorders>
              <w:bottom w:val="single" w:sz="8" w:color="CFF0FC"/>
            </w:tcBorders>
          </w:tcPr>
          <w:p>
            <w:pPr>
              <w:spacing w:after="0"/>
              <w:rPr>
                <w:sz w:val="13"/>
                <w:szCs w:val="13"/>
                <w:color w:val="auto"/>
              </w:rPr>
            </w:pPr>
          </w:p>
        </w:tc>
        <w:tc>
          <w:tcPr>
            <w:tcW w:w="190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4/20/2015</w:t>
            </w:r>
          </w:p>
        </w:tc>
        <w:tc>
          <w:tcPr>
            <w:tcW w:w="38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12/31/2015</w:t>
            </w:r>
          </w:p>
        </w:tc>
        <w:tc>
          <w:tcPr>
            <w:tcW w:w="38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12/31/2016</w:t>
            </w:r>
          </w:p>
        </w:tc>
        <w:tc>
          <w:tcPr>
            <w:tcW w:w="40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12/31/2017</w:t>
            </w:r>
          </w:p>
        </w:tc>
        <w:tc>
          <w:tcPr>
            <w:tcW w:w="40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12/31/2018</w:t>
            </w:r>
          </w:p>
        </w:tc>
        <w:tc>
          <w:tcPr>
            <w:tcW w:w="120" w:type="dxa"/>
            <w:vAlign w:val="bottom"/>
            <w:tcBorders>
              <w:bottom w:val="single" w:sz="8" w:color="CFF0FC"/>
            </w:tcBorders>
          </w:tcPr>
          <w:p>
            <w:pPr>
              <w:spacing w:after="0"/>
              <w:rPr>
                <w:sz w:val="13"/>
                <w:szCs w:val="13"/>
                <w:color w:val="auto"/>
              </w:rPr>
            </w:pPr>
          </w:p>
        </w:tc>
      </w:tr>
      <w:tr>
        <w:trPr>
          <w:trHeight w:val="142"/>
        </w:trPr>
        <w:tc>
          <w:tcPr>
            <w:tcW w:w="2960" w:type="dxa"/>
            <w:vAlign w:val="bottom"/>
            <w:shd w:val="clear" w:color="auto" w:fill="CFF0FC"/>
          </w:tcPr>
          <w:p>
            <w:pPr>
              <w:spacing w:after="0"/>
              <w:rPr>
                <w:sz w:val="20"/>
                <w:szCs w:val="20"/>
                <w:color w:val="auto"/>
              </w:rPr>
            </w:pPr>
            <w:r>
              <w:rPr>
                <w:rFonts w:ascii="Arial" w:cs="Arial" w:eastAsia="Arial" w:hAnsi="Arial"/>
                <w:sz w:val="12"/>
                <w:szCs w:val="12"/>
                <w:color w:val="auto"/>
              </w:rPr>
              <w:t>Uniti Group Inc.</w:t>
            </w:r>
          </w:p>
        </w:tc>
        <w:tc>
          <w:tcPr>
            <w:tcW w:w="21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100.00</w:t>
            </w:r>
          </w:p>
        </w:tc>
        <w:tc>
          <w:tcPr>
            <w:tcW w:w="62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72.33</w:t>
            </w:r>
          </w:p>
        </w:tc>
        <w:tc>
          <w:tcPr>
            <w:tcW w:w="60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107.65</w:t>
            </w:r>
          </w:p>
        </w:tc>
        <w:tc>
          <w:tcPr>
            <w:tcW w:w="400" w:type="dxa"/>
            <w:vAlign w:val="bottom"/>
            <w:shd w:val="clear" w:color="auto" w:fill="CFF0FC"/>
          </w:tcPr>
          <w:p>
            <w:pPr>
              <w:spacing w:after="0"/>
              <w:rPr>
                <w:sz w:val="12"/>
                <w:szCs w:val="12"/>
                <w:color w:val="auto"/>
              </w:rPr>
            </w:pPr>
          </w:p>
        </w:tc>
        <w:tc>
          <w:tcPr>
            <w:tcW w:w="280" w:type="dxa"/>
            <w:vAlign w:val="bottom"/>
            <w:shd w:val="clear" w:color="auto" w:fill="CFF0FC"/>
          </w:tcPr>
          <w:p>
            <w:pPr>
              <w:jc w:val="right"/>
              <w:ind w:right="170"/>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84.94</w:t>
            </w:r>
          </w:p>
        </w:tc>
        <w:tc>
          <w:tcPr>
            <w:tcW w:w="68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84.93</w:t>
            </w:r>
          </w:p>
        </w:tc>
        <w:tc>
          <w:tcPr>
            <w:tcW w:w="120" w:type="dxa"/>
            <w:vAlign w:val="bottom"/>
            <w:shd w:val="clear" w:color="auto" w:fill="CFF0FC"/>
          </w:tcPr>
          <w:p>
            <w:pPr>
              <w:spacing w:after="0"/>
              <w:rPr>
                <w:sz w:val="12"/>
                <w:szCs w:val="12"/>
                <w:color w:val="auto"/>
              </w:rPr>
            </w:pPr>
          </w:p>
        </w:tc>
      </w:tr>
      <w:tr>
        <w:trPr>
          <w:trHeight w:val="153"/>
        </w:trPr>
        <w:tc>
          <w:tcPr>
            <w:tcW w:w="2960" w:type="dxa"/>
            <w:vAlign w:val="bottom"/>
          </w:tcPr>
          <w:p>
            <w:pPr>
              <w:spacing w:after="0"/>
              <w:rPr>
                <w:sz w:val="20"/>
                <w:szCs w:val="20"/>
                <w:color w:val="auto"/>
              </w:rPr>
            </w:pPr>
            <w:r>
              <w:rPr>
                <w:rFonts w:ascii="Arial" w:cs="Arial" w:eastAsia="Arial" w:hAnsi="Arial"/>
                <w:sz w:val="12"/>
                <w:szCs w:val="12"/>
                <w:color w:val="auto"/>
              </w:rPr>
              <w:t>S&amp;P 400 Index</w:t>
            </w:r>
          </w:p>
        </w:tc>
        <w:tc>
          <w:tcPr>
            <w:tcW w:w="19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Arial" w:cs="Arial" w:eastAsia="Arial" w:hAnsi="Arial"/>
                <w:sz w:val="12"/>
                <w:szCs w:val="12"/>
                <w:color w:val="auto"/>
              </w:rPr>
              <w:t>100.00</w:t>
            </w: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92.56</w:t>
            </w: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111.76</w:t>
            </w:r>
          </w:p>
        </w:tc>
        <w:tc>
          <w:tcPr>
            <w:tcW w:w="4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129.90</w:t>
            </w:r>
          </w:p>
        </w:tc>
        <w:tc>
          <w:tcPr>
            <w:tcW w:w="4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spacing w:after="0"/>
              <w:rPr>
                <w:sz w:val="20"/>
                <w:szCs w:val="20"/>
                <w:color w:val="auto"/>
              </w:rPr>
            </w:pPr>
            <w:r>
              <w:rPr>
                <w:rFonts w:ascii="Arial" w:cs="Arial" w:eastAsia="Arial" w:hAnsi="Arial"/>
                <w:sz w:val="12"/>
                <w:szCs w:val="12"/>
                <w:color w:val="auto"/>
              </w:rPr>
              <w:t>115.50</w:t>
            </w:r>
          </w:p>
        </w:tc>
        <w:tc>
          <w:tcPr>
            <w:tcW w:w="120" w:type="dxa"/>
            <w:vAlign w:val="bottom"/>
          </w:tcPr>
          <w:p>
            <w:pPr>
              <w:spacing w:after="0"/>
              <w:rPr>
                <w:sz w:val="13"/>
                <w:szCs w:val="13"/>
                <w:color w:val="auto"/>
              </w:rPr>
            </w:pPr>
          </w:p>
        </w:tc>
      </w:tr>
      <w:tr>
        <w:trPr>
          <w:trHeight w:val="153"/>
        </w:trPr>
        <w:tc>
          <w:tcPr>
            <w:tcW w:w="2960" w:type="dxa"/>
            <w:vAlign w:val="bottom"/>
            <w:shd w:val="clear" w:color="auto" w:fill="CFF0FC"/>
          </w:tcPr>
          <w:p>
            <w:pPr>
              <w:spacing w:after="0"/>
              <w:rPr>
                <w:sz w:val="20"/>
                <w:szCs w:val="20"/>
                <w:color w:val="auto"/>
              </w:rPr>
            </w:pPr>
            <w:r>
              <w:rPr>
                <w:rFonts w:ascii="Arial" w:cs="Arial" w:eastAsia="Arial" w:hAnsi="Arial"/>
                <w:sz w:val="12"/>
                <w:szCs w:val="12"/>
                <w:color w:val="auto"/>
              </w:rPr>
              <w:t>MSCI US REIT Index</w:t>
            </w:r>
          </w:p>
        </w:tc>
        <w:tc>
          <w:tcPr>
            <w:tcW w:w="19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100.00</w:t>
            </w:r>
          </w:p>
        </w:tc>
        <w:tc>
          <w:tcPr>
            <w:tcW w:w="38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100.78</w:t>
            </w:r>
          </w:p>
        </w:tc>
        <w:tc>
          <w:tcPr>
            <w:tcW w:w="3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109.46</w:t>
            </w:r>
          </w:p>
        </w:tc>
        <w:tc>
          <w:tcPr>
            <w:tcW w:w="4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115.08</w:t>
            </w:r>
          </w:p>
        </w:tc>
        <w:tc>
          <w:tcPr>
            <w:tcW w:w="4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109.89</w:t>
            </w:r>
          </w:p>
        </w:tc>
        <w:tc>
          <w:tcPr>
            <w:tcW w:w="120" w:type="dxa"/>
            <w:vAlign w:val="bottom"/>
            <w:shd w:val="clear" w:color="auto" w:fill="CFF0FC"/>
          </w:tcPr>
          <w:p>
            <w:pPr>
              <w:spacing w:after="0"/>
              <w:rPr>
                <w:sz w:val="13"/>
                <w:szCs w:val="13"/>
                <w:color w:val="auto"/>
              </w:rPr>
            </w:pPr>
          </w:p>
        </w:tc>
      </w:tr>
    </w:tbl>
    <w:p>
      <w:pPr>
        <w:spacing w:after="0" w:line="20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Issuer Purchases of Equity Securities</w:t>
      </w:r>
    </w:p>
    <w:p>
      <w:pPr>
        <w:spacing w:after="0" w:line="82" w:lineRule="exact"/>
        <w:rPr>
          <w:sz w:val="20"/>
          <w:szCs w:val="20"/>
          <w:color w:val="auto"/>
        </w:rPr>
      </w:pPr>
    </w:p>
    <w:p>
      <w:pPr>
        <w:ind w:right="200"/>
        <w:spacing w:after="0" w:line="276" w:lineRule="auto"/>
        <w:rPr>
          <w:sz w:val="20"/>
          <w:szCs w:val="20"/>
          <w:color w:val="auto"/>
        </w:rPr>
      </w:pPr>
      <w:r>
        <w:rPr>
          <w:rFonts w:ascii="Arial" w:cs="Arial" w:eastAsia="Arial" w:hAnsi="Arial"/>
          <w:sz w:val="12"/>
          <w:szCs w:val="12"/>
          <w:color w:val="auto"/>
        </w:rPr>
        <w:t>The table below provides information regarding shares withheld from Uniti employees to satisfy minimum statutory tax withholding obligations arising from the vesting of restricted stock granted under the Uniti Group Inc. 2015 Equity Incentive Plan. The shares of common stock withheld to satisfy tax withholding obligations may be deemed purchases of such shares required to be disclosed pursuant to this Item 5.</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9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60" w:type="dxa"/>
            <w:vAlign w:val="bottom"/>
          </w:tcPr>
          <w:p>
            <w:pPr>
              <w:jc w:val="center"/>
              <w:spacing w:after="0"/>
              <w:rPr>
                <w:sz w:val="20"/>
                <w:szCs w:val="20"/>
                <w:color w:val="auto"/>
              </w:rPr>
            </w:pPr>
            <w:r>
              <w:rPr>
                <w:rFonts w:ascii="Arial" w:cs="Arial" w:eastAsia="Arial" w:hAnsi="Arial"/>
                <w:sz w:val="10"/>
                <w:szCs w:val="10"/>
                <w:b w:val="1"/>
                <w:bCs w:val="1"/>
                <w:color w:val="auto"/>
                <w:w w:val="85"/>
              </w:rPr>
              <w:t>Total Number of Shares Purchased as</w:t>
            </w:r>
          </w:p>
        </w:tc>
        <w:tc>
          <w:tcPr>
            <w:tcW w:w="120" w:type="dxa"/>
            <w:vAlign w:val="bottom"/>
          </w:tcPr>
          <w:p>
            <w:pPr>
              <w:spacing w:after="0"/>
              <w:rPr>
                <w:sz w:val="10"/>
                <w:szCs w:val="10"/>
                <w:color w:val="auto"/>
              </w:rPr>
            </w:pPr>
          </w:p>
        </w:tc>
        <w:tc>
          <w:tcPr>
            <w:tcW w:w="1900" w:type="dxa"/>
            <w:vAlign w:val="bottom"/>
            <w:gridSpan w:val="2"/>
          </w:tcPr>
          <w:p>
            <w:pPr>
              <w:jc w:val="center"/>
              <w:ind w:right="120"/>
              <w:spacing w:after="0"/>
              <w:rPr>
                <w:sz w:val="20"/>
                <w:szCs w:val="20"/>
                <w:color w:val="auto"/>
              </w:rPr>
            </w:pPr>
            <w:r>
              <w:rPr>
                <w:rFonts w:ascii="Arial" w:cs="Arial" w:eastAsia="Arial" w:hAnsi="Arial"/>
                <w:sz w:val="10"/>
                <w:szCs w:val="10"/>
                <w:b w:val="1"/>
                <w:bCs w:val="1"/>
                <w:color w:val="auto"/>
                <w:w w:val="88"/>
              </w:rPr>
              <w:t>Maximum Number of Shares that May Yet</w:t>
            </w:r>
          </w:p>
        </w:tc>
        <w:tc>
          <w:tcPr>
            <w:tcW w:w="20" w:type="dxa"/>
            <w:vAlign w:val="bottom"/>
          </w:tcPr>
          <w:p>
            <w:pPr>
              <w:spacing w:after="0"/>
              <w:rPr>
                <w:sz w:val="10"/>
                <w:szCs w:val="10"/>
                <w:color w:val="auto"/>
              </w:rPr>
            </w:pPr>
          </w:p>
        </w:tc>
      </w:tr>
      <w:tr>
        <w:trPr>
          <w:trHeight w:val="99"/>
        </w:trPr>
        <w:tc>
          <w:tcPr>
            <w:tcW w:w="4980" w:type="dxa"/>
            <w:vAlign w:val="bottom"/>
          </w:tcPr>
          <w:p>
            <w:pPr>
              <w:spacing w:after="0"/>
              <w:rPr>
                <w:sz w:val="8"/>
                <w:szCs w:val="8"/>
                <w:color w:val="auto"/>
              </w:rPr>
            </w:pPr>
          </w:p>
        </w:tc>
        <w:tc>
          <w:tcPr>
            <w:tcW w:w="160" w:type="dxa"/>
            <w:vAlign w:val="bottom"/>
          </w:tcPr>
          <w:p>
            <w:pPr>
              <w:spacing w:after="0"/>
              <w:rPr>
                <w:sz w:val="8"/>
                <w:szCs w:val="8"/>
                <w:color w:val="auto"/>
              </w:rPr>
            </w:pPr>
          </w:p>
        </w:tc>
        <w:tc>
          <w:tcPr>
            <w:tcW w:w="960" w:type="dxa"/>
            <w:vAlign w:val="bottom"/>
          </w:tcPr>
          <w:p>
            <w:pPr>
              <w:jc w:val="right"/>
              <w:ind w:right="83"/>
              <w:spacing w:after="0" w:line="99" w:lineRule="exact"/>
              <w:rPr>
                <w:sz w:val="20"/>
                <w:szCs w:val="20"/>
                <w:color w:val="auto"/>
              </w:rPr>
            </w:pPr>
            <w:r>
              <w:rPr>
                <w:rFonts w:ascii="Arial" w:cs="Arial" w:eastAsia="Arial" w:hAnsi="Arial"/>
                <w:sz w:val="10"/>
                <w:szCs w:val="10"/>
                <w:b w:val="1"/>
                <w:bCs w:val="1"/>
                <w:color w:val="auto"/>
              </w:rPr>
              <w:t>Total Number of</w:t>
            </w: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60" w:type="dxa"/>
            <w:vAlign w:val="bottom"/>
          </w:tcPr>
          <w:p>
            <w:pPr>
              <w:jc w:val="center"/>
              <w:spacing w:after="0" w:line="99" w:lineRule="exact"/>
              <w:rPr>
                <w:sz w:val="20"/>
                <w:szCs w:val="20"/>
                <w:color w:val="auto"/>
              </w:rPr>
            </w:pPr>
            <w:r>
              <w:rPr>
                <w:rFonts w:ascii="Arial" w:cs="Arial" w:eastAsia="Arial" w:hAnsi="Arial"/>
                <w:sz w:val="10"/>
                <w:szCs w:val="10"/>
                <w:b w:val="1"/>
                <w:bCs w:val="1"/>
                <w:color w:val="auto"/>
                <w:w w:val="86"/>
              </w:rPr>
              <w:t>Part of Publicly Announced Plans or</w:t>
            </w:r>
          </w:p>
        </w:tc>
        <w:tc>
          <w:tcPr>
            <w:tcW w:w="120" w:type="dxa"/>
            <w:vAlign w:val="bottom"/>
          </w:tcPr>
          <w:p>
            <w:pPr>
              <w:spacing w:after="0"/>
              <w:rPr>
                <w:sz w:val="8"/>
                <w:szCs w:val="8"/>
                <w:color w:val="auto"/>
              </w:rPr>
            </w:pPr>
          </w:p>
        </w:tc>
        <w:tc>
          <w:tcPr>
            <w:tcW w:w="1900" w:type="dxa"/>
            <w:vAlign w:val="bottom"/>
            <w:gridSpan w:val="2"/>
          </w:tcPr>
          <w:p>
            <w:pPr>
              <w:jc w:val="center"/>
              <w:ind w:right="140"/>
              <w:spacing w:after="0" w:line="99" w:lineRule="exact"/>
              <w:rPr>
                <w:sz w:val="20"/>
                <w:szCs w:val="20"/>
                <w:color w:val="auto"/>
              </w:rPr>
            </w:pPr>
            <w:r>
              <w:rPr>
                <w:rFonts w:ascii="Arial" w:cs="Arial" w:eastAsia="Arial" w:hAnsi="Arial"/>
                <w:sz w:val="10"/>
                <w:szCs w:val="10"/>
                <w:b w:val="1"/>
                <w:bCs w:val="1"/>
                <w:color w:val="auto"/>
                <w:w w:val="85"/>
              </w:rPr>
              <w:t>Be Purchased Under the Plans or</w:t>
            </w:r>
          </w:p>
        </w:tc>
        <w:tc>
          <w:tcPr>
            <w:tcW w:w="20" w:type="dxa"/>
            <w:vAlign w:val="bottom"/>
          </w:tcPr>
          <w:p>
            <w:pPr>
              <w:spacing w:after="0"/>
              <w:rPr>
                <w:sz w:val="8"/>
                <w:szCs w:val="8"/>
                <w:color w:val="auto"/>
              </w:rPr>
            </w:pPr>
          </w:p>
        </w:tc>
      </w:tr>
      <w:tr>
        <w:trPr>
          <w:trHeight w:val="114"/>
        </w:trPr>
        <w:tc>
          <w:tcPr>
            <w:tcW w:w="498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Period</w:t>
            </w:r>
          </w:p>
        </w:tc>
        <w:tc>
          <w:tcPr>
            <w:tcW w:w="160" w:type="dxa"/>
            <w:vAlign w:val="bottom"/>
            <w:tcBorders>
              <w:bottom w:val="single" w:sz="8" w:color="CFF0FC"/>
            </w:tcBorders>
          </w:tcPr>
          <w:p>
            <w:pPr>
              <w:spacing w:after="0"/>
              <w:rPr>
                <w:sz w:val="9"/>
                <w:szCs w:val="9"/>
                <w:color w:val="auto"/>
              </w:rPr>
            </w:pPr>
          </w:p>
        </w:tc>
        <w:tc>
          <w:tcPr>
            <w:tcW w:w="960" w:type="dxa"/>
            <w:vAlign w:val="bottom"/>
            <w:tcBorders>
              <w:bottom w:val="single" w:sz="8" w:color="auto"/>
            </w:tcBorders>
          </w:tcPr>
          <w:p>
            <w:pPr>
              <w:jc w:val="right"/>
              <w:ind w:right="63"/>
              <w:spacing w:after="0" w:line="114" w:lineRule="exact"/>
              <w:rPr>
                <w:sz w:val="20"/>
                <w:szCs w:val="20"/>
                <w:color w:val="auto"/>
              </w:rPr>
            </w:pPr>
            <w:r>
              <w:rPr>
                <w:rFonts w:ascii="Arial" w:cs="Arial" w:eastAsia="Arial" w:hAnsi="Arial"/>
                <w:sz w:val="10"/>
                <w:szCs w:val="10"/>
                <w:b w:val="1"/>
                <w:bCs w:val="1"/>
                <w:color w:val="auto"/>
                <w:w w:val="93"/>
              </w:rPr>
              <w:t>Shares Purchased</w:t>
            </w:r>
          </w:p>
        </w:tc>
        <w:tc>
          <w:tcPr>
            <w:tcW w:w="12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jc w:val="right"/>
              <w:ind w:right="22"/>
              <w:spacing w:after="0" w:line="114" w:lineRule="exact"/>
              <w:rPr>
                <w:sz w:val="20"/>
                <w:szCs w:val="20"/>
                <w:color w:val="auto"/>
              </w:rPr>
            </w:pPr>
            <w:r>
              <w:rPr>
                <w:rFonts w:ascii="Arial" w:cs="Arial" w:eastAsia="Arial" w:hAnsi="Arial"/>
                <w:sz w:val="10"/>
                <w:szCs w:val="10"/>
                <w:b w:val="1"/>
                <w:bCs w:val="1"/>
                <w:color w:val="auto"/>
                <w:w w:val="85"/>
              </w:rPr>
              <w:t>Average Price Paid per Share(1)</w:t>
            </w:r>
          </w:p>
        </w:tc>
        <w:tc>
          <w:tcPr>
            <w:tcW w:w="120" w:type="dxa"/>
            <w:vAlign w:val="bottom"/>
            <w:tcBorders>
              <w:bottom w:val="single" w:sz="8" w:color="CFF0FC"/>
            </w:tcBorders>
          </w:tcPr>
          <w:p>
            <w:pPr>
              <w:spacing w:after="0"/>
              <w:rPr>
                <w:sz w:val="9"/>
                <w:szCs w:val="9"/>
                <w:color w:val="auto"/>
              </w:rPr>
            </w:pPr>
          </w:p>
        </w:tc>
        <w:tc>
          <w:tcPr>
            <w:tcW w:w="1660" w:type="dxa"/>
            <w:vAlign w:val="bottom"/>
            <w:tcBorders>
              <w:bottom w:val="single" w:sz="8" w:color="auto"/>
            </w:tcBorders>
          </w:tcPr>
          <w:p>
            <w:pPr>
              <w:jc w:val="center"/>
              <w:spacing w:after="0" w:line="114" w:lineRule="exact"/>
              <w:rPr>
                <w:sz w:val="20"/>
                <w:szCs w:val="20"/>
                <w:color w:val="auto"/>
              </w:rPr>
            </w:pPr>
            <w:r>
              <w:rPr>
                <w:rFonts w:ascii="Arial" w:cs="Arial" w:eastAsia="Arial" w:hAnsi="Arial"/>
                <w:sz w:val="10"/>
                <w:szCs w:val="10"/>
                <w:b w:val="1"/>
                <w:bCs w:val="1"/>
                <w:color w:val="auto"/>
                <w:w w:val="85"/>
              </w:rPr>
              <w:t>Programs</w:t>
            </w:r>
          </w:p>
        </w:tc>
        <w:tc>
          <w:tcPr>
            <w:tcW w:w="120" w:type="dxa"/>
            <w:vAlign w:val="bottom"/>
            <w:tcBorders>
              <w:bottom w:val="single" w:sz="8" w:color="CFF0FC"/>
            </w:tcBorders>
          </w:tcPr>
          <w:p>
            <w:pPr>
              <w:spacing w:after="0"/>
              <w:rPr>
                <w:sz w:val="9"/>
                <w:szCs w:val="9"/>
                <w:color w:val="auto"/>
              </w:rPr>
            </w:pPr>
          </w:p>
        </w:tc>
        <w:tc>
          <w:tcPr>
            <w:tcW w:w="1780" w:type="dxa"/>
            <w:vAlign w:val="bottom"/>
            <w:tcBorders>
              <w:bottom w:val="single" w:sz="8" w:color="auto"/>
            </w:tcBorders>
          </w:tcPr>
          <w:p>
            <w:pPr>
              <w:jc w:val="center"/>
              <w:spacing w:after="0" w:line="114" w:lineRule="exact"/>
              <w:rPr>
                <w:sz w:val="20"/>
                <w:szCs w:val="20"/>
                <w:color w:val="auto"/>
              </w:rPr>
            </w:pPr>
            <w:r>
              <w:rPr>
                <w:rFonts w:ascii="Arial" w:cs="Arial" w:eastAsia="Arial" w:hAnsi="Arial"/>
                <w:sz w:val="10"/>
                <w:szCs w:val="10"/>
                <w:b w:val="1"/>
                <w:bCs w:val="1"/>
                <w:color w:val="auto"/>
                <w:w w:val="85"/>
              </w:rPr>
              <w:t>Programs</w:t>
            </w:r>
          </w:p>
        </w:tc>
        <w:tc>
          <w:tcPr>
            <w:tcW w:w="120" w:type="dxa"/>
            <w:vAlign w:val="bottom"/>
            <w:tcBorders>
              <w:bottom w:val="single" w:sz="8" w:color="CFF0FC"/>
            </w:tcBorders>
          </w:tcPr>
          <w:p>
            <w:pPr>
              <w:spacing w:after="0"/>
              <w:rPr>
                <w:sz w:val="9"/>
                <w:szCs w:val="9"/>
                <w:color w:val="auto"/>
              </w:rPr>
            </w:pPr>
          </w:p>
        </w:tc>
        <w:tc>
          <w:tcPr>
            <w:tcW w:w="20" w:type="dxa"/>
            <w:vAlign w:val="bottom"/>
          </w:tcPr>
          <w:p>
            <w:pPr>
              <w:spacing w:after="0"/>
              <w:rPr>
                <w:sz w:val="9"/>
                <w:szCs w:val="9"/>
                <w:color w:val="auto"/>
              </w:rPr>
            </w:pPr>
          </w:p>
        </w:tc>
      </w:tr>
      <w:tr>
        <w:trPr>
          <w:trHeight w:val="142"/>
        </w:trPr>
        <w:tc>
          <w:tcPr>
            <w:tcW w:w="51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October 1, 2018 to October 31, 2018</w:t>
            </w:r>
          </w:p>
        </w:tc>
        <w:tc>
          <w:tcPr>
            <w:tcW w:w="9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300</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19.82</w:t>
            </w:r>
          </w:p>
        </w:tc>
        <w:tc>
          <w:tcPr>
            <w:tcW w:w="120" w:type="dxa"/>
            <w:vAlign w:val="bottom"/>
            <w:shd w:val="clear" w:color="auto" w:fill="CFF0FC"/>
          </w:tcPr>
          <w:p>
            <w:pPr>
              <w:spacing w:after="0"/>
              <w:rPr>
                <w:sz w:val="12"/>
                <w:szCs w:val="12"/>
                <w:color w:val="auto"/>
              </w:rPr>
            </w:pPr>
          </w:p>
        </w:tc>
        <w:tc>
          <w:tcPr>
            <w:tcW w:w="1660" w:type="dxa"/>
            <w:vAlign w:val="bottom"/>
            <w:shd w:val="clear" w:color="auto" w:fill="CFF0FC"/>
          </w:tcPr>
          <w:p>
            <w:pPr>
              <w:ind w:left="1540"/>
              <w:spacing w:after="0"/>
              <w:rPr>
                <w:sz w:val="20"/>
                <w:szCs w:val="20"/>
                <w:color w:val="auto"/>
              </w:rPr>
            </w:pPr>
            <w:r>
              <w:rPr>
                <w:rFonts w:ascii="Arial" w:cs="Arial" w:eastAsia="Arial" w:hAnsi="Arial"/>
                <w:sz w:val="12"/>
                <w:szCs w:val="12"/>
                <w:color w:val="auto"/>
                <w:w w:val="82"/>
              </w:rPr>
              <w:t>—</w:t>
            </w:r>
          </w:p>
        </w:tc>
        <w:tc>
          <w:tcPr>
            <w:tcW w:w="120" w:type="dxa"/>
            <w:vAlign w:val="bottom"/>
            <w:shd w:val="clear" w:color="auto" w:fill="CFF0FC"/>
          </w:tcPr>
          <w:p>
            <w:pPr>
              <w:spacing w:after="0"/>
              <w:rPr>
                <w:sz w:val="12"/>
                <w:szCs w:val="12"/>
                <w:color w:val="auto"/>
              </w:rPr>
            </w:pPr>
          </w:p>
        </w:tc>
        <w:tc>
          <w:tcPr>
            <w:tcW w:w="1900" w:type="dxa"/>
            <w:vAlign w:val="bottom"/>
            <w:gridSpan w:val="2"/>
            <w:shd w:val="clear" w:color="auto" w:fill="CFF0FC"/>
          </w:tcPr>
          <w:p>
            <w:pPr>
              <w:ind w:left="166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r>
      <w:tr>
        <w:trPr>
          <w:trHeight w:val="153"/>
        </w:trPr>
        <w:tc>
          <w:tcPr>
            <w:tcW w:w="5140" w:type="dxa"/>
            <w:vAlign w:val="bottom"/>
            <w:gridSpan w:val="2"/>
          </w:tcPr>
          <w:p>
            <w:pPr>
              <w:spacing w:after="0"/>
              <w:rPr>
                <w:sz w:val="20"/>
                <w:szCs w:val="20"/>
                <w:color w:val="auto"/>
              </w:rPr>
            </w:pPr>
            <w:r>
              <w:rPr>
                <w:rFonts w:ascii="Arial" w:cs="Arial" w:eastAsia="Arial" w:hAnsi="Arial"/>
                <w:sz w:val="12"/>
                <w:szCs w:val="12"/>
                <w:color w:val="auto"/>
              </w:rPr>
              <w:t>November 1, 2018 to November 30, 2018</w:t>
            </w:r>
          </w:p>
        </w:tc>
        <w:tc>
          <w:tcPr>
            <w:tcW w:w="960" w:type="dxa"/>
            <w:vAlign w:val="bottom"/>
          </w:tcPr>
          <w:p>
            <w:pPr>
              <w:jc w:val="right"/>
              <w:spacing w:after="0"/>
              <w:rPr>
                <w:sz w:val="20"/>
                <w:szCs w:val="20"/>
                <w:color w:val="auto"/>
              </w:rPr>
            </w:pPr>
            <w:r>
              <w:rPr>
                <w:rFonts w:ascii="Arial" w:cs="Arial" w:eastAsia="Arial" w:hAnsi="Arial"/>
                <w:sz w:val="12"/>
                <w:szCs w:val="12"/>
                <w:color w:val="auto"/>
              </w:rPr>
              <w:t>3,940</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20.10</w:t>
            </w:r>
          </w:p>
        </w:tc>
        <w:tc>
          <w:tcPr>
            <w:tcW w:w="120" w:type="dxa"/>
            <w:vAlign w:val="bottom"/>
          </w:tcPr>
          <w:p>
            <w:pPr>
              <w:spacing w:after="0"/>
              <w:rPr>
                <w:sz w:val="13"/>
                <w:szCs w:val="13"/>
                <w:color w:val="auto"/>
              </w:rPr>
            </w:pPr>
          </w:p>
        </w:tc>
        <w:tc>
          <w:tcPr>
            <w:tcW w:w="1660" w:type="dxa"/>
            <w:vAlign w:val="bottom"/>
          </w:tcPr>
          <w:p>
            <w:pPr>
              <w:ind w:left="1540"/>
              <w:spacing w:after="0"/>
              <w:rPr>
                <w:sz w:val="20"/>
                <w:szCs w:val="20"/>
                <w:color w:val="auto"/>
              </w:rPr>
            </w:pPr>
            <w:r>
              <w:rPr>
                <w:rFonts w:ascii="Arial" w:cs="Arial" w:eastAsia="Arial" w:hAnsi="Arial"/>
                <w:sz w:val="12"/>
                <w:szCs w:val="12"/>
                <w:color w:val="auto"/>
                <w:w w:val="82"/>
              </w:rPr>
              <w:t>—</w:t>
            </w:r>
          </w:p>
        </w:tc>
        <w:tc>
          <w:tcPr>
            <w:tcW w:w="120" w:type="dxa"/>
            <w:vAlign w:val="bottom"/>
          </w:tcPr>
          <w:p>
            <w:pPr>
              <w:spacing w:after="0"/>
              <w:rPr>
                <w:sz w:val="13"/>
                <w:szCs w:val="13"/>
                <w:color w:val="auto"/>
              </w:rPr>
            </w:pPr>
          </w:p>
        </w:tc>
        <w:tc>
          <w:tcPr>
            <w:tcW w:w="1900" w:type="dxa"/>
            <w:vAlign w:val="bottom"/>
            <w:gridSpan w:val="2"/>
          </w:tcPr>
          <w:p>
            <w:pPr>
              <w:ind w:left="166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r>
      <w:tr>
        <w:trPr>
          <w:trHeight w:val="153"/>
        </w:trPr>
        <w:tc>
          <w:tcPr>
            <w:tcW w:w="51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December 1, 2018 to December 31, 2018</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520" w:type="dxa"/>
            <w:vAlign w:val="bottom"/>
            <w:gridSpan w:val="2"/>
            <w:shd w:val="clear" w:color="auto" w:fill="CFF0FC"/>
          </w:tcPr>
          <w:p>
            <w:pPr>
              <w:jc w:val="right"/>
              <w:ind w:right="120"/>
              <w:spacing w:after="0"/>
              <w:rPr>
                <w:sz w:val="20"/>
                <w:szCs w:val="20"/>
                <w:color w:val="auto"/>
              </w:rPr>
            </w:pPr>
            <w:r>
              <w:rPr>
                <w:rFonts w:ascii="Arial" w:cs="Arial" w:eastAsia="Arial" w:hAnsi="Arial"/>
                <w:sz w:val="12"/>
                <w:szCs w:val="12"/>
                <w:color w:val="auto"/>
              </w:rPr>
              <w:t>—</w:t>
            </w:r>
          </w:p>
        </w:tc>
        <w:tc>
          <w:tcPr>
            <w:tcW w:w="1660" w:type="dxa"/>
            <w:vAlign w:val="bottom"/>
            <w:tcBorders>
              <w:bottom w:val="single" w:sz="8" w:color="auto"/>
            </w:tcBorders>
            <w:shd w:val="clear" w:color="auto" w:fill="CFF0FC"/>
          </w:tcPr>
          <w:p>
            <w:pPr>
              <w:ind w:left="1540"/>
              <w:spacing w:after="0"/>
              <w:rPr>
                <w:sz w:val="20"/>
                <w:szCs w:val="20"/>
                <w:color w:val="auto"/>
              </w:rPr>
            </w:pPr>
            <w:r>
              <w:rPr>
                <w:rFonts w:ascii="Arial" w:cs="Arial" w:eastAsia="Arial" w:hAnsi="Arial"/>
                <w:sz w:val="12"/>
                <w:szCs w:val="12"/>
                <w:color w:val="auto"/>
                <w:w w:val="82"/>
              </w:rPr>
              <w:t>—</w:t>
            </w:r>
          </w:p>
        </w:tc>
        <w:tc>
          <w:tcPr>
            <w:tcW w:w="120" w:type="dxa"/>
            <w:vAlign w:val="bottom"/>
            <w:shd w:val="clear" w:color="auto" w:fill="CFF0FC"/>
          </w:tcPr>
          <w:p>
            <w:pPr>
              <w:spacing w:after="0"/>
              <w:rPr>
                <w:sz w:val="13"/>
                <w:szCs w:val="13"/>
                <w:color w:val="auto"/>
              </w:rPr>
            </w:pPr>
          </w:p>
        </w:tc>
        <w:tc>
          <w:tcPr>
            <w:tcW w:w="1900" w:type="dxa"/>
            <w:vAlign w:val="bottom"/>
            <w:gridSpan w:val="2"/>
            <w:shd w:val="clear" w:color="auto" w:fill="CFF0FC"/>
          </w:tcPr>
          <w:p>
            <w:pPr>
              <w:ind w:left="166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r>
      <w:tr>
        <w:trPr>
          <w:trHeight w:val="149"/>
        </w:trPr>
        <w:tc>
          <w:tcPr>
            <w:tcW w:w="5140" w:type="dxa"/>
            <w:vAlign w:val="bottom"/>
            <w:gridSpan w:val="2"/>
          </w:tcPr>
          <w:p>
            <w:pPr>
              <w:spacing w:after="0"/>
              <w:rPr>
                <w:sz w:val="20"/>
                <w:szCs w:val="20"/>
                <w:color w:val="auto"/>
              </w:rPr>
            </w:pPr>
            <w:r>
              <w:rPr>
                <w:rFonts w:ascii="Arial" w:cs="Arial" w:eastAsia="Arial" w:hAnsi="Arial"/>
                <w:sz w:val="12"/>
                <w:szCs w:val="12"/>
                <w:color w:val="auto"/>
              </w:rPr>
              <w:t>Total</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4,240</w:t>
            </w:r>
          </w:p>
        </w:tc>
        <w:tc>
          <w:tcPr>
            <w:tcW w:w="18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1400" w:type="dxa"/>
            <w:vAlign w:val="bottom"/>
          </w:tcPr>
          <w:p>
            <w:pPr>
              <w:jc w:val="right"/>
              <w:spacing w:after="0"/>
              <w:rPr>
                <w:sz w:val="20"/>
                <w:szCs w:val="20"/>
                <w:color w:val="auto"/>
              </w:rPr>
            </w:pPr>
            <w:r>
              <w:rPr>
                <w:rFonts w:ascii="Arial" w:cs="Arial" w:eastAsia="Arial" w:hAnsi="Arial"/>
                <w:sz w:val="12"/>
                <w:szCs w:val="12"/>
                <w:color w:val="auto"/>
              </w:rPr>
              <w:t>20.08</w:t>
            </w:r>
          </w:p>
        </w:tc>
        <w:tc>
          <w:tcPr>
            <w:tcW w:w="120" w:type="dxa"/>
            <w:vAlign w:val="bottom"/>
          </w:tcPr>
          <w:p>
            <w:pPr>
              <w:spacing w:after="0"/>
              <w:rPr>
                <w:sz w:val="12"/>
                <w:szCs w:val="12"/>
                <w:color w:val="auto"/>
              </w:rPr>
            </w:pPr>
          </w:p>
        </w:tc>
        <w:tc>
          <w:tcPr>
            <w:tcW w:w="1660" w:type="dxa"/>
            <w:vAlign w:val="bottom"/>
            <w:tcBorders>
              <w:bottom w:val="single" w:sz="8" w:color="auto"/>
            </w:tcBorders>
          </w:tcPr>
          <w:p>
            <w:pPr>
              <w:ind w:left="1540"/>
              <w:spacing w:after="0"/>
              <w:rPr>
                <w:sz w:val="20"/>
                <w:szCs w:val="20"/>
                <w:color w:val="auto"/>
              </w:rPr>
            </w:pPr>
            <w:r>
              <w:rPr>
                <w:rFonts w:ascii="Arial" w:cs="Arial" w:eastAsia="Arial" w:hAnsi="Arial"/>
                <w:sz w:val="12"/>
                <w:szCs w:val="12"/>
                <w:color w:val="auto"/>
                <w:w w:val="82"/>
              </w:rPr>
              <w:t>—</w:t>
            </w:r>
          </w:p>
        </w:tc>
        <w:tc>
          <w:tcPr>
            <w:tcW w:w="120" w:type="dxa"/>
            <w:vAlign w:val="bottom"/>
          </w:tcPr>
          <w:p>
            <w:pPr>
              <w:spacing w:after="0"/>
              <w:rPr>
                <w:sz w:val="12"/>
                <w:szCs w:val="12"/>
                <w:color w:val="auto"/>
              </w:rPr>
            </w:pPr>
          </w:p>
        </w:tc>
        <w:tc>
          <w:tcPr>
            <w:tcW w:w="1900" w:type="dxa"/>
            <w:vAlign w:val="bottom"/>
            <w:gridSpan w:val="2"/>
          </w:tcPr>
          <w:p>
            <w:pPr>
              <w:ind w:left="166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r>
      <w:tr>
        <w:trPr>
          <w:trHeight w:val="288"/>
        </w:trPr>
        <w:tc>
          <w:tcPr>
            <w:tcW w:w="4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jc w:val="right"/>
              <w:ind w:right="243"/>
              <w:spacing w:after="0"/>
              <w:rPr>
                <w:sz w:val="20"/>
                <w:szCs w:val="20"/>
                <w:color w:val="auto"/>
              </w:rPr>
            </w:pPr>
            <w:r>
              <w:rPr>
                <w:rFonts w:ascii="Arial" w:cs="Arial" w:eastAsia="Arial" w:hAnsi="Arial"/>
                <w:sz w:val="12"/>
                <w:szCs w:val="12"/>
                <w:color w:val="auto"/>
              </w:rPr>
              <w:t>28</w:t>
            </w: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498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9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140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6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78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28" w:name="page29"/>
    <w:bookmarkEnd w:id="28"/>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222" w:lineRule="exact"/>
        <w:rPr>
          <w:sz w:val="20"/>
          <w:szCs w:val="20"/>
          <w:color w:val="auto"/>
        </w:rPr>
      </w:pPr>
    </w:p>
    <w:p>
      <w:pPr>
        <w:ind w:left="448" w:hanging="448"/>
        <w:spacing w:after="0"/>
        <w:tabs>
          <w:tab w:leader="none" w:pos="448" w:val="left"/>
        </w:tabs>
        <w:numPr>
          <w:ilvl w:val="0"/>
          <w:numId w:val="7"/>
        </w:numPr>
        <w:rPr>
          <w:rFonts w:ascii="Arial" w:cs="Arial" w:eastAsia="Arial" w:hAnsi="Arial"/>
          <w:sz w:val="12"/>
          <w:szCs w:val="12"/>
          <w:color w:val="auto"/>
        </w:rPr>
      </w:pPr>
      <w:r>
        <w:rPr>
          <w:rFonts w:ascii="Arial" w:cs="Arial" w:eastAsia="Arial" w:hAnsi="Arial"/>
          <w:sz w:val="12"/>
          <w:szCs w:val="12"/>
          <w:color w:val="auto"/>
        </w:rPr>
        <w:t>The weighted-average price per share is the weighted-average of the fair market prices at which we calculated the number of shares withheld to cover tax withholdings for the employees.</w:t>
      </w:r>
    </w:p>
    <w:p>
      <w:pPr>
        <w:spacing w:after="0" w:line="218" w:lineRule="exact"/>
        <w:rPr>
          <w:sz w:val="20"/>
          <w:szCs w:val="20"/>
          <w:color w:val="auto"/>
        </w:rPr>
      </w:pPr>
    </w:p>
    <w:p>
      <w:pPr>
        <w:ind w:left="8"/>
        <w:spacing w:after="0"/>
        <w:rPr>
          <w:sz w:val="20"/>
          <w:szCs w:val="20"/>
          <w:color w:val="auto"/>
        </w:rPr>
      </w:pPr>
      <w:r>
        <w:rPr>
          <w:rFonts w:ascii="Arial" w:cs="Arial" w:eastAsia="Arial" w:hAnsi="Arial"/>
          <w:sz w:val="12"/>
          <w:szCs w:val="12"/>
          <w:b w:val="1"/>
          <w:bCs w:val="1"/>
          <w:color w:val="auto"/>
        </w:rPr>
        <w:t>Item 6. Selected Financial Data.</w:t>
      </w:r>
    </w:p>
    <w:p>
      <w:pPr>
        <w:spacing w:after="0" w:line="82" w:lineRule="exact"/>
        <w:rPr>
          <w:sz w:val="20"/>
          <w:szCs w:val="20"/>
          <w:color w:val="auto"/>
        </w:rPr>
      </w:pPr>
    </w:p>
    <w:p>
      <w:pPr>
        <w:ind w:left="8"/>
        <w:spacing w:after="0"/>
        <w:rPr>
          <w:sz w:val="20"/>
          <w:szCs w:val="20"/>
          <w:color w:val="auto"/>
        </w:rPr>
      </w:pPr>
      <w:r>
        <w:rPr>
          <w:rFonts w:ascii="Arial" w:cs="Arial" w:eastAsia="Arial" w:hAnsi="Arial"/>
          <w:sz w:val="12"/>
          <w:szCs w:val="12"/>
          <w:color w:val="auto"/>
        </w:rPr>
        <w:t>The following table sets forth selected financial data for Uniti on a consolidated and combined historical basis as of the dates and for the years indicated.</w:t>
      </w:r>
    </w:p>
    <w:p>
      <w:pPr>
        <w:spacing w:after="0" w:line="150" w:lineRule="exact"/>
        <w:rPr>
          <w:sz w:val="20"/>
          <w:szCs w:val="20"/>
          <w:color w:val="auto"/>
        </w:rPr>
      </w:pPr>
    </w:p>
    <w:p>
      <w:pPr>
        <w:ind w:left="8" w:right="240"/>
        <w:spacing w:after="0" w:line="323" w:lineRule="auto"/>
        <w:rPr>
          <w:sz w:val="20"/>
          <w:szCs w:val="20"/>
          <w:color w:val="auto"/>
        </w:rPr>
      </w:pPr>
      <w:r>
        <w:rPr>
          <w:rFonts w:ascii="Arial" w:cs="Arial" w:eastAsia="Arial" w:hAnsi="Arial"/>
          <w:sz w:val="11"/>
          <w:szCs w:val="11"/>
          <w:color w:val="auto"/>
        </w:rPr>
        <w:t>Prior to April 24, 2015, we did not operate the Consumer CLEC Business separately from Windstream, nor did we commence our leasing business. The selected historical financial data as of December 31, 2014 and for the period from January 1, 2015 to April 24, 2015 and the year ended December 31, 2014 has been derived from the audited financial statements of the Consumer CLEC Business and Distribution Systems.</w:t>
      </w:r>
    </w:p>
    <w:p>
      <w:pPr>
        <w:spacing w:after="0" w:line="92" w:lineRule="exact"/>
        <w:rPr>
          <w:sz w:val="20"/>
          <w:szCs w:val="20"/>
          <w:color w:val="auto"/>
        </w:rPr>
      </w:pPr>
    </w:p>
    <w:p>
      <w:pPr>
        <w:ind w:left="8" w:right="500"/>
        <w:spacing w:after="0" w:line="276" w:lineRule="auto"/>
        <w:rPr>
          <w:sz w:val="20"/>
          <w:szCs w:val="20"/>
          <w:color w:val="auto"/>
        </w:rPr>
      </w:pPr>
      <w:r>
        <w:rPr>
          <w:rFonts w:ascii="Arial" w:cs="Arial" w:eastAsia="Arial" w:hAnsi="Arial"/>
          <w:sz w:val="12"/>
          <w:szCs w:val="12"/>
          <w:color w:val="auto"/>
        </w:rPr>
        <w:t xml:space="preserve">The following should be read in conjunction with the combined financial statements, accompanying notes and </w:t>
      </w:r>
      <w:r>
        <w:rPr>
          <w:rFonts w:ascii="Arial" w:cs="Arial" w:eastAsia="Arial" w:hAnsi="Arial"/>
          <w:sz w:val="12"/>
          <w:szCs w:val="12"/>
          <w:i w:val="1"/>
          <w:iCs w:val="1"/>
          <w:color w:val="auto"/>
        </w:rPr>
        <w:t>Management's Discussion and Analysis of Financial Condition and Results of Operations</w:t>
      </w:r>
      <w:r>
        <w:rPr>
          <w:rFonts w:ascii="Arial" w:cs="Arial" w:eastAsia="Arial" w:hAnsi="Arial"/>
          <w:sz w:val="12"/>
          <w:szCs w:val="12"/>
          <w:color w:val="auto"/>
        </w:rPr>
        <w:t>, each of which are included elsewhere in this Form 10-K.</w:t>
      </w:r>
    </w:p>
    <w:p>
      <w:pPr>
        <w:spacing w:after="0" w:line="102"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4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center"/>
              <w:ind w:right="180"/>
              <w:spacing w:after="0"/>
              <w:rPr>
                <w:sz w:val="20"/>
                <w:szCs w:val="20"/>
                <w:color w:val="auto"/>
              </w:rPr>
            </w:pPr>
            <w:r>
              <w:rPr>
                <w:rFonts w:ascii="Arial" w:cs="Arial" w:eastAsia="Arial" w:hAnsi="Arial"/>
                <w:sz w:val="10"/>
                <w:szCs w:val="10"/>
                <w:b w:val="1"/>
                <w:bCs w:val="1"/>
                <w:color w:val="auto"/>
                <w:w w:val="87"/>
              </w:rPr>
              <w:t>Year Ended</w:t>
            </w:r>
          </w:p>
        </w:tc>
        <w:tc>
          <w:tcPr>
            <w:tcW w:w="0" w:type="dxa"/>
            <w:vAlign w:val="bottom"/>
          </w:tcPr>
          <w:p>
            <w:pPr>
              <w:spacing w:after="0"/>
              <w:rPr>
                <w:sz w:val="1"/>
                <w:szCs w:val="1"/>
                <w:color w:val="auto"/>
              </w:rPr>
            </w:pPr>
          </w:p>
        </w:tc>
      </w:tr>
      <w:tr>
        <w:trPr>
          <w:trHeight w:val="114"/>
        </w:trPr>
        <w:tc>
          <w:tcPr>
            <w:tcW w:w="4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4"/>
          </w:tcPr>
          <w:p>
            <w:pPr>
              <w:jc w:val="right"/>
              <w:ind w:right="160"/>
              <w:spacing w:after="0" w:line="114" w:lineRule="exact"/>
              <w:rPr>
                <w:sz w:val="20"/>
                <w:szCs w:val="20"/>
                <w:color w:val="auto"/>
              </w:rPr>
            </w:pPr>
            <w:r>
              <w:rPr>
                <w:rFonts w:ascii="Arial" w:cs="Arial" w:eastAsia="Arial" w:hAnsi="Arial"/>
                <w:sz w:val="10"/>
                <w:szCs w:val="10"/>
                <w:b w:val="1"/>
                <w:bCs w:val="1"/>
                <w:color w:val="auto"/>
                <w:w w:val="89"/>
              </w:rPr>
              <w:t>Year Ended December 31,</w:t>
            </w: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3"/>
            <w:vMerge w:val="restart"/>
          </w:tcPr>
          <w:p>
            <w:pPr>
              <w:jc w:val="right"/>
              <w:ind w:right="280"/>
              <w:spacing w:after="0"/>
              <w:rPr>
                <w:sz w:val="20"/>
                <w:szCs w:val="20"/>
                <w:color w:val="auto"/>
              </w:rPr>
            </w:pPr>
            <w:r>
              <w:rPr>
                <w:rFonts w:ascii="Arial" w:cs="Arial" w:eastAsia="Arial" w:hAnsi="Arial"/>
                <w:sz w:val="10"/>
                <w:szCs w:val="10"/>
                <w:b w:val="1"/>
                <w:bCs w:val="1"/>
                <w:color w:val="auto"/>
                <w:w w:val="91"/>
              </w:rPr>
              <w:t>April 24 - December</w:t>
            </w:r>
          </w:p>
        </w:tc>
        <w:tc>
          <w:tcPr>
            <w:tcW w:w="1120" w:type="dxa"/>
            <w:vAlign w:val="bottom"/>
            <w:gridSpan w:val="3"/>
            <w:vMerge w:val="restart"/>
          </w:tcPr>
          <w:p>
            <w:pPr>
              <w:ind w:left="20"/>
              <w:spacing w:after="0"/>
              <w:rPr>
                <w:sz w:val="20"/>
                <w:szCs w:val="20"/>
                <w:color w:val="auto"/>
              </w:rPr>
            </w:pPr>
            <w:r>
              <w:rPr>
                <w:rFonts w:ascii="Arial" w:cs="Arial" w:eastAsia="Arial" w:hAnsi="Arial"/>
                <w:sz w:val="10"/>
                <w:szCs w:val="10"/>
                <w:b w:val="1"/>
                <w:bCs w:val="1"/>
                <w:color w:val="auto"/>
              </w:rPr>
              <w:t>January 1 - April 24,</w:t>
            </w:r>
          </w:p>
        </w:tc>
        <w:tc>
          <w:tcPr>
            <w:tcW w:w="100" w:type="dxa"/>
            <w:vAlign w:val="bottom"/>
          </w:tcPr>
          <w:p>
            <w:pPr>
              <w:spacing w:after="0"/>
              <w:rPr>
                <w:sz w:val="9"/>
                <w:szCs w:val="9"/>
                <w:color w:val="auto"/>
              </w:rPr>
            </w:pPr>
          </w:p>
        </w:tc>
        <w:tc>
          <w:tcPr>
            <w:tcW w:w="860" w:type="dxa"/>
            <w:vAlign w:val="bottom"/>
            <w:gridSpan w:val="2"/>
          </w:tcPr>
          <w:p>
            <w:pPr>
              <w:jc w:val="center"/>
              <w:ind w:right="180"/>
              <w:spacing w:after="0" w:line="114" w:lineRule="exact"/>
              <w:rPr>
                <w:sz w:val="20"/>
                <w:szCs w:val="20"/>
                <w:color w:val="auto"/>
              </w:rPr>
            </w:pPr>
            <w:r>
              <w:rPr>
                <w:rFonts w:ascii="Arial" w:cs="Arial" w:eastAsia="Arial" w:hAnsi="Arial"/>
                <w:sz w:val="10"/>
                <w:szCs w:val="10"/>
                <w:b w:val="1"/>
                <w:bCs w:val="1"/>
                <w:color w:val="auto"/>
                <w:w w:val="86"/>
              </w:rPr>
              <w:t>December 31,</w:t>
            </w:r>
          </w:p>
        </w:tc>
        <w:tc>
          <w:tcPr>
            <w:tcW w:w="0" w:type="dxa"/>
            <w:vAlign w:val="bottom"/>
          </w:tcPr>
          <w:p>
            <w:pPr>
              <w:spacing w:after="0"/>
              <w:rPr>
                <w:sz w:val="1"/>
                <w:szCs w:val="1"/>
                <w:color w:val="auto"/>
              </w:rPr>
            </w:pPr>
          </w:p>
        </w:tc>
      </w:tr>
      <w:tr>
        <w:trPr>
          <w:trHeight w:val="83"/>
        </w:trPr>
        <w:tc>
          <w:tcPr>
            <w:tcW w:w="4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gridSpan w:val="3"/>
            <w:vMerge w:val="continue"/>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100" w:type="dxa"/>
            <w:vAlign w:val="bottom"/>
            <w:tcBorders>
              <w:top w:val="single" w:sz="8" w:color="auto"/>
            </w:tcBorders>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780" w:type="dxa"/>
            <w:vAlign w:val="bottom"/>
            <w:gridSpan w:val="2"/>
          </w:tcPr>
          <w:p>
            <w:pPr>
              <w:spacing w:after="0" w:line="114" w:lineRule="exact"/>
              <w:rPr>
                <w:sz w:val="20"/>
                <w:szCs w:val="20"/>
                <w:color w:val="auto"/>
              </w:rPr>
            </w:pPr>
            <w:r>
              <w:rPr>
                <w:rFonts w:ascii="Arial" w:cs="Arial" w:eastAsia="Arial" w:hAnsi="Arial"/>
                <w:sz w:val="10"/>
                <w:szCs w:val="10"/>
                <w:color w:val="auto"/>
              </w:rPr>
              <w:t>(Thousands, except per share data)</w:t>
            </w:r>
          </w:p>
        </w:tc>
        <w:tc>
          <w:tcPr>
            <w:tcW w:w="220" w:type="dxa"/>
            <w:vAlign w:val="bottom"/>
          </w:tcPr>
          <w:p>
            <w:pPr>
              <w:spacing w:after="0"/>
              <w:rPr>
                <w:sz w:val="9"/>
                <w:szCs w:val="9"/>
                <w:color w:val="auto"/>
              </w:rPr>
            </w:pPr>
          </w:p>
        </w:tc>
        <w:tc>
          <w:tcPr>
            <w:tcW w:w="700" w:type="dxa"/>
            <w:vAlign w:val="bottom"/>
          </w:tcPr>
          <w:p>
            <w:pPr>
              <w:jc w:val="right"/>
              <w:ind w:right="301"/>
              <w:spacing w:after="0" w:line="114" w:lineRule="exact"/>
              <w:rPr>
                <w:sz w:val="20"/>
                <w:szCs w:val="20"/>
                <w:color w:val="auto"/>
              </w:rPr>
            </w:pPr>
            <w:r>
              <w:rPr>
                <w:rFonts w:ascii="Arial" w:cs="Arial" w:eastAsia="Arial" w:hAnsi="Arial"/>
                <w:sz w:val="10"/>
                <w:szCs w:val="10"/>
                <w:b w:val="1"/>
                <w:bCs w:val="1"/>
                <w:color w:val="auto"/>
              </w:rPr>
              <w:t>2018</w:t>
            </w: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jc w:val="right"/>
              <w:ind w:right="321"/>
              <w:spacing w:after="0" w:line="114" w:lineRule="exact"/>
              <w:rPr>
                <w:sz w:val="20"/>
                <w:szCs w:val="20"/>
                <w:color w:val="auto"/>
              </w:rPr>
            </w:pPr>
            <w:r>
              <w:rPr>
                <w:rFonts w:ascii="Arial" w:cs="Arial" w:eastAsia="Arial" w:hAnsi="Arial"/>
                <w:sz w:val="10"/>
                <w:szCs w:val="10"/>
                <w:b w:val="1"/>
                <w:bCs w:val="1"/>
                <w:color w:val="auto"/>
              </w:rPr>
              <w:t>2017</w:t>
            </w: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jc w:val="right"/>
              <w:ind w:right="301"/>
              <w:spacing w:after="0" w:line="114" w:lineRule="exact"/>
              <w:rPr>
                <w:sz w:val="20"/>
                <w:szCs w:val="20"/>
                <w:color w:val="auto"/>
              </w:rPr>
            </w:pPr>
            <w:r>
              <w:rPr>
                <w:rFonts w:ascii="Arial" w:cs="Arial" w:eastAsia="Arial" w:hAnsi="Arial"/>
                <w:sz w:val="10"/>
                <w:szCs w:val="10"/>
                <w:b w:val="1"/>
                <w:bCs w:val="1"/>
                <w:color w:val="auto"/>
              </w:rPr>
              <w:t>2016</w:t>
            </w: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40" w:type="dxa"/>
            <w:vAlign w:val="bottom"/>
          </w:tcPr>
          <w:p>
            <w:pPr>
              <w:jc w:val="right"/>
              <w:ind w:right="241"/>
              <w:spacing w:after="0" w:line="114" w:lineRule="exact"/>
              <w:rPr>
                <w:sz w:val="20"/>
                <w:szCs w:val="20"/>
                <w:color w:val="auto"/>
              </w:rPr>
            </w:pPr>
            <w:r>
              <w:rPr>
                <w:rFonts w:ascii="Arial" w:cs="Arial" w:eastAsia="Arial" w:hAnsi="Arial"/>
                <w:sz w:val="10"/>
                <w:szCs w:val="10"/>
                <w:b w:val="1"/>
                <w:bCs w:val="1"/>
                <w:color w:val="auto"/>
              </w:rPr>
              <w:t>31, 2015</w:t>
            </w: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jc w:val="right"/>
              <w:ind w:right="301"/>
              <w:spacing w:after="0" w:line="114" w:lineRule="exact"/>
              <w:rPr>
                <w:sz w:val="20"/>
                <w:szCs w:val="20"/>
                <w:color w:val="auto"/>
              </w:rPr>
            </w:pPr>
            <w:r>
              <w:rPr>
                <w:rFonts w:ascii="Arial" w:cs="Arial" w:eastAsia="Arial" w:hAnsi="Arial"/>
                <w:sz w:val="10"/>
                <w:szCs w:val="10"/>
                <w:b w:val="1"/>
                <w:bCs w:val="1"/>
                <w:color w:val="auto"/>
              </w:rPr>
              <w:t>2015</w:t>
            </w: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jc w:val="center"/>
              <w:ind w:right="62"/>
              <w:spacing w:after="0" w:line="114" w:lineRule="exact"/>
              <w:rPr>
                <w:sz w:val="20"/>
                <w:szCs w:val="20"/>
                <w:color w:val="auto"/>
              </w:rPr>
            </w:pPr>
            <w:r>
              <w:rPr>
                <w:rFonts w:ascii="Arial" w:cs="Arial" w:eastAsia="Arial" w:hAnsi="Arial"/>
                <w:sz w:val="10"/>
                <w:szCs w:val="10"/>
                <w:b w:val="1"/>
                <w:bCs w:val="1"/>
                <w:color w:val="auto"/>
                <w:w w:val="89"/>
              </w:rPr>
              <w:t>2014</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6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Statement of Income Data:</w:t>
            </w:r>
          </w:p>
        </w:tc>
        <w:tc>
          <w:tcPr>
            <w:tcW w:w="12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200" w:type="dxa"/>
            <w:vAlign w:val="bottom"/>
            <w:tcBorders>
              <w:top w:val="single" w:sz="8" w:color="auto"/>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74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20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800" w:type="dxa"/>
            <w:vAlign w:val="bottom"/>
            <w:tcBorders>
              <w:top w:val="single" w:sz="8" w:color="auto"/>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Total revenue</w:t>
            </w:r>
            <w:r>
              <w:rPr>
                <w:rFonts w:ascii="Arial" w:cs="Arial" w:eastAsia="Arial" w:hAnsi="Arial"/>
                <w:sz w:val="10"/>
                <w:szCs w:val="10"/>
                <w:color w:val="auto"/>
              </w:rPr>
              <w:t>(1)</w:t>
            </w: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rPr>
                <w:sz w:val="20"/>
                <w:szCs w:val="20"/>
                <w:color w:val="auto"/>
              </w:rPr>
            </w:pPr>
            <w:r>
              <w:rPr>
                <w:rFonts w:ascii="Arial" w:cs="Arial" w:eastAsia="Arial" w:hAnsi="Arial"/>
                <w:sz w:val="12"/>
                <w:szCs w:val="12"/>
                <w:color w:val="auto"/>
              </w:rPr>
              <w:t>1,017,634</w:t>
            </w:r>
          </w:p>
        </w:tc>
        <w:tc>
          <w:tcPr>
            <w:tcW w:w="100" w:type="dxa"/>
            <w:vAlign w:val="bottom"/>
          </w:tcPr>
          <w:p>
            <w:pPr>
              <w:spacing w:after="0"/>
              <w:rPr>
                <w:sz w:val="13"/>
                <w:szCs w:val="13"/>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720" w:type="dxa"/>
            <w:vAlign w:val="bottom"/>
          </w:tcPr>
          <w:p>
            <w:pPr>
              <w:jc w:val="right"/>
              <w:spacing w:after="0"/>
              <w:rPr>
                <w:sz w:val="20"/>
                <w:szCs w:val="20"/>
                <w:color w:val="auto"/>
              </w:rPr>
            </w:pPr>
            <w:r>
              <w:rPr>
                <w:rFonts w:ascii="Arial" w:cs="Arial" w:eastAsia="Arial" w:hAnsi="Arial"/>
                <w:sz w:val="12"/>
                <w:szCs w:val="12"/>
                <w:color w:val="auto"/>
              </w:rPr>
              <w:t>916,032</w:t>
            </w:r>
          </w:p>
        </w:tc>
        <w:tc>
          <w:tcPr>
            <w:tcW w:w="220" w:type="dxa"/>
            <w:vAlign w:val="bottom"/>
          </w:tcPr>
          <w:p>
            <w:pPr>
              <w:spacing w:after="0"/>
              <w:rPr>
                <w:sz w:val="13"/>
                <w:szCs w:val="13"/>
                <w:color w:val="auto"/>
              </w:rPr>
            </w:pP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rPr>
                <w:sz w:val="20"/>
                <w:szCs w:val="20"/>
                <w:color w:val="auto"/>
              </w:rPr>
            </w:pPr>
            <w:r>
              <w:rPr>
                <w:rFonts w:ascii="Arial" w:cs="Arial" w:eastAsia="Arial" w:hAnsi="Arial"/>
                <w:sz w:val="12"/>
                <w:szCs w:val="12"/>
                <w:color w:val="auto"/>
              </w:rPr>
              <w:t>770,408</w:t>
            </w:r>
          </w:p>
        </w:tc>
        <w:tc>
          <w:tcPr>
            <w:tcW w:w="140" w:type="dxa"/>
            <w:vAlign w:val="bottom"/>
          </w:tcPr>
          <w:p>
            <w:pPr>
              <w:spacing w:after="0"/>
              <w:rPr>
                <w:sz w:val="13"/>
                <w:szCs w:val="13"/>
                <w:color w:val="auto"/>
              </w:rPr>
            </w:pPr>
          </w:p>
        </w:tc>
        <w:tc>
          <w:tcPr>
            <w:tcW w:w="28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740" w:type="dxa"/>
            <w:vAlign w:val="bottom"/>
          </w:tcPr>
          <w:p>
            <w:pPr>
              <w:jc w:val="right"/>
              <w:spacing w:after="0"/>
              <w:rPr>
                <w:sz w:val="20"/>
                <w:szCs w:val="20"/>
                <w:color w:val="auto"/>
              </w:rPr>
            </w:pPr>
            <w:r>
              <w:rPr>
                <w:rFonts w:ascii="Arial" w:cs="Arial" w:eastAsia="Arial" w:hAnsi="Arial"/>
                <w:sz w:val="12"/>
                <w:szCs w:val="12"/>
                <w:color w:val="auto"/>
              </w:rPr>
              <w:t>476,314</w:t>
            </w:r>
          </w:p>
        </w:tc>
        <w:tc>
          <w:tcPr>
            <w:tcW w:w="240" w:type="dxa"/>
            <w:vAlign w:val="bottom"/>
          </w:tcPr>
          <w:p>
            <w:pPr>
              <w:spacing w:after="0"/>
              <w:rPr>
                <w:sz w:val="13"/>
                <w:szCs w:val="13"/>
                <w:color w:val="auto"/>
              </w:rPr>
            </w:pPr>
          </w:p>
        </w:tc>
        <w:tc>
          <w:tcPr>
            <w:tcW w:w="200" w:type="dxa"/>
            <w:vAlign w:val="bottom"/>
          </w:tcPr>
          <w:p>
            <w:pPr>
              <w:spacing w:after="0"/>
              <w:rPr>
                <w:sz w:val="20"/>
                <w:szCs w:val="20"/>
                <w:color w:val="auto"/>
              </w:rPr>
            </w:pPr>
            <w:r>
              <w:rPr>
                <w:rFonts w:ascii="Arial" w:cs="Arial" w:eastAsia="Arial" w:hAnsi="Arial"/>
                <w:sz w:val="12"/>
                <w:szCs w:val="12"/>
                <w:color w:val="auto"/>
              </w:rPr>
              <w:t>$</w:t>
            </w:r>
          </w:p>
        </w:tc>
        <w:tc>
          <w:tcPr>
            <w:tcW w:w="700" w:type="dxa"/>
            <w:vAlign w:val="bottom"/>
          </w:tcPr>
          <w:p>
            <w:pPr>
              <w:jc w:val="right"/>
              <w:spacing w:after="0"/>
              <w:rPr>
                <w:sz w:val="20"/>
                <w:szCs w:val="20"/>
                <w:color w:val="auto"/>
              </w:rPr>
            </w:pPr>
            <w:r>
              <w:rPr>
                <w:rFonts w:ascii="Arial" w:cs="Arial" w:eastAsia="Arial" w:hAnsi="Arial"/>
                <w:sz w:val="12"/>
                <w:szCs w:val="12"/>
                <w:color w:val="auto"/>
              </w:rPr>
              <w:t>10,149</w:t>
            </w:r>
          </w:p>
        </w:tc>
        <w:tc>
          <w:tcPr>
            <w:tcW w:w="22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2"/>
                <w:szCs w:val="12"/>
                <w:color w:val="auto"/>
              </w:rPr>
              <w:t>36,015</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Interest expense</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319,591</w:t>
            </w: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305,994</w:t>
            </w: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275,394</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181,797</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Net income (loss) attributable to common shareholders</w:t>
            </w: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7,989</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2"/>
                <w:szCs w:val="12"/>
                <w:color w:val="auto"/>
              </w:rPr>
              <w:t>(16,552)</w:t>
            </w:r>
          </w:p>
        </w:tc>
        <w:tc>
          <w:tcPr>
            <w:tcW w:w="220" w:type="dxa"/>
            <w:vAlign w:val="bottom"/>
          </w:tcPr>
          <w:p>
            <w:pPr>
              <w:spacing w:after="0"/>
              <w:rPr>
                <w:sz w:val="13"/>
                <w:szCs w:val="13"/>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2"/>
                <w:szCs w:val="12"/>
                <w:color w:val="auto"/>
              </w:rPr>
              <w:t>(5,497)</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23,718</w:t>
            </w: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Earnings (loss) per common share - basic</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0.05</w:t>
            </w: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9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(0.10)</w:t>
            </w:r>
          </w:p>
        </w:tc>
        <w:tc>
          <w:tcPr>
            <w:tcW w:w="220" w:type="dxa"/>
            <w:vAlign w:val="bottom"/>
            <w:shd w:val="clear" w:color="auto" w:fill="CFF0FC"/>
          </w:tcPr>
          <w:p>
            <w:pPr>
              <w:spacing w:after="0"/>
              <w:rPr>
                <w:sz w:val="13"/>
                <w:szCs w:val="13"/>
                <w:color w:val="auto"/>
              </w:rPr>
            </w:pPr>
          </w:p>
        </w:tc>
        <w:tc>
          <w:tcPr>
            <w:tcW w:w="8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(0.04)</w:t>
            </w: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0.16</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Earnings (loss) per common share - diluted</w:t>
            </w: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rPr>
                <w:sz w:val="20"/>
                <w:szCs w:val="20"/>
                <w:color w:val="auto"/>
              </w:rPr>
            </w:pPr>
            <w:r>
              <w:rPr>
                <w:rFonts w:ascii="Arial" w:cs="Arial" w:eastAsia="Arial" w:hAnsi="Arial"/>
                <w:sz w:val="12"/>
                <w:szCs w:val="12"/>
                <w:color w:val="auto"/>
              </w:rPr>
              <w:t>0.04</w:t>
            </w:r>
          </w:p>
        </w:tc>
        <w:tc>
          <w:tcPr>
            <w:tcW w:w="100" w:type="dxa"/>
            <w:vAlign w:val="bottom"/>
          </w:tcPr>
          <w:p>
            <w:pPr>
              <w:spacing w:after="0"/>
              <w:rPr>
                <w:sz w:val="13"/>
                <w:szCs w:val="13"/>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940" w:type="dxa"/>
            <w:vAlign w:val="bottom"/>
            <w:gridSpan w:val="2"/>
          </w:tcPr>
          <w:p>
            <w:pPr>
              <w:jc w:val="right"/>
              <w:ind w:right="180"/>
              <w:spacing w:after="0"/>
              <w:rPr>
                <w:sz w:val="20"/>
                <w:szCs w:val="20"/>
                <w:color w:val="auto"/>
              </w:rPr>
            </w:pPr>
            <w:r>
              <w:rPr>
                <w:rFonts w:ascii="Arial" w:cs="Arial" w:eastAsia="Arial" w:hAnsi="Arial"/>
                <w:sz w:val="12"/>
                <w:szCs w:val="12"/>
                <w:color w:val="auto"/>
              </w:rPr>
              <w:t>(0.13)</w:t>
            </w: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2"/>
                <w:szCs w:val="12"/>
                <w:color w:val="auto"/>
              </w:rPr>
              <w:t>(0.04)</w:t>
            </w:r>
          </w:p>
        </w:tc>
        <w:tc>
          <w:tcPr>
            <w:tcW w:w="28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740" w:type="dxa"/>
            <w:vAlign w:val="bottom"/>
          </w:tcPr>
          <w:p>
            <w:pPr>
              <w:jc w:val="right"/>
              <w:spacing w:after="0"/>
              <w:rPr>
                <w:sz w:val="20"/>
                <w:szCs w:val="20"/>
                <w:color w:val="auto"/>
              </w:rPr>
            </w:pPr>
            <w:r>
              <w:rPr>
                <w:rFonts w:ascii="Arial" w:cs="Arial" w:eastAsia="Arial" w:hAnsi="Arial"/>
                <w:sz w:val="12"/>
                <w:szCs w:val="12"/>
                <w:color w:val="auto"/>
              </w:rPr>
              <w:t>0.16</w:t>
            </w: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b w:val="1"/>
                <w:bCs w:val="1"/>
                <w:color w:val="auto"/>
              </w:rPr>
              <w:t>Balance Sheet Data:</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Total assets</w:t>
            </w:r>
            <w:r>
              <w:rPr>
                <w:rFonts w:ascii="Arial" w:cs="Arial" w:eastAsia="Arial" w:hAnsi="Arial"/>
                <w:sz w:val="10"/>
                <w:szCs w:val="10"/>
                <w:color w:val="auto"/>
              </w:rPr>
              <w:t>(2)</w:t>
            </w: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rPr>
                <w:sz w:val="20"/>
                <w:szCs w:val="20"/>
                <w:color w:val="auto"/>
              </w:rPr>
            </w:pPr>
            <w:r>
              <w:rPr>
                <w:rFonts w:ascii="Arial" w:cs="Arial" w:eastAsia="Arial" w:hAnsi="Arial"/>
                <w:sz w:val="12"/>
                <w:szCs w:val="12"/>
                <w:color w:val="auto"/>
              </w:rPr>
              <w:t>4,592,937</w:t>
            </w:r>
          </w:p>
        </w:tc>
        <w:tc>
          <w:tcPr>
            <w:tcW w:w="100" w:type="dxa"/>
            <w:vAlign w:val="bottom"/>
          </w:tcPr>
          <w:p>
            <w:pPr>
              <w:spacing w:after="0"/>
              <w:rPr>
                <w:sz w:val="13"/>
                <w:szCs w:val="13"/>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720" w:type="dxa"/>
            <w:vAlign w:val="bottom"/>
          </w:tcPr>
          <w:p>
            <w:pPr>
              <w:jc w:val="right"/>
              <w:spacing w:after="0"/>
              <w:rPr>
                <w:sz w:val="20"/>
                <w:szCs w:val="20"/>
                <w:color w:val="auto"/>
              </w:rPr>
            </w:pPr>
            <w:r>
              <w:rPr>
                <w:rFonts w:ascii="Arial" w:cs="Arial" w:eastAsia="Arial" w:hAnsi="Arial"/>
                <w:sz w:val="12"/>
                <w:szCs w:val="12"/>
                <w:color w:val="auto"/>
              </w:rPr>
              <w:t>4,330,082</w:t>
            </w:r>
          </w:p>
        </w:tc>
        <w:tc>
          <w:tcPr>
            <w:tcW w:w="220" w:type="dxa"/>
            <w:vAlign w:val="bottom"/>
          </w:tcPr>
          <w:p>
            <w:pPr>
              <w:spacing w:after="0"/>
              <w:rPr>
                <w:sz w:val="13"/>
                <w:szCs w:val="13"/>
                <w:color w:val="auto"/>
              </w:rPr>
            </w:pP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rPr>
                <w:sz w:val="20"/>
                <w:szCs w:val="20"/>
                <w:color w:val="auto"/>
              </w:rPr>
            </w:pPr>
            <w:r>
              <w:rPr>
                <w:rFonts w:ascii="Arial" w:cs="Arial" w:eastAsia="Arial" w:hAnsi="Arial"/>
                <w:sz w:val="12"/>
                <w:szCs w:val="12"/>
                <w:color w:val="auto"/>
              </w:rPr>
              <w:t>3,318,752</w:t>
            </w:r>
          </w:p>
        </w:tc>
        <w:tc>
          <w:tcPr>
            <w:tcW w:w="140" w:type="dxa"/>
            <w:vAlign w:val="bottom"/>
          </w:tcPr>
          <w:p>
            <w:pPr>
              <w:spacing w:after="0"/>
              <w:rPr>
                <w:sz w:val="13"/>
                <w:szCs w:val="13"/>
                <w:color w:val="auto"/>
              </w:rPr>
            </w:pPr>
          </w:p>
        </w:tc>
        <w:tc>
          <w:tcPr>
            <w:tcW w:w="28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740" w:type="dxa"/>
            <w:vAlign w:val="bottom"/>
          </w:tcPr>
          <w:p>
            <w:pPr>
              <w:jc w:val="right"/>
              <w:spacing w:after="0"/>
              <w:rPr>
                <w:sz w:val="20"/>
                <w:szCs w:val="20"/>
                <w:color w:val="auto"/>
              </w:rPr>
            </w:pPr>
            <w:r>
              <w:rPr>
                <w:rFonts w:ascii="Arial" w:cs="Arial" w:eastAsia="Arial" w:hAnsi="Arial"/>
                <w:sz w:val="12"/>
                <w:szCs w:val="12"/>
                <w:color w:val="auto"/>
              </w:rPr>
              <w:t>2,542,636</w:t>
            </w: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2"/>
                <w:szCs w:val="12"/>
                <w:color w:val="auto"/>
              </w:rPr>
              <w:t>2,588,450</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Notes and other debt</w:t>
            </w:r>
            <w:r>
              <w:rPr>
                <w:rFonts w:ascii="Arial" w:cs="Arial" w:eastAsia="Arial" w:hAnsi="Arial"/>
                <w:sz w:val="10"/>
                <w:szCs w:val="10"/>
                <w:color w:val="auto"/>
              </w:rPr>
              <w:t>(3)</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4,901,515</w:t>
            </w: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4,539,026</w:t>
            </w: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4,082,749</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3,505,228</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Total shareholders' (deficit) equity</w:t>
            </w:r>
            <w:r>
              <w:rPr>
                <w:rFonts w:ascii="Arial" w:cs="Arial" w:eastAsia="Arial" w:hAnsi="Arial"/>
                <w:sz w:val="10"/>
                <w:szCs w:val="10"/>
                <w:color w:val="auto"/>
              </w:rPr>
              <w:t>(4)</w:t>
            </w:r>
          </w:p>
        </w:tc>
        <w:tc>
          <w:tcPr>
            <w:tcW w:w="220" w:type="dxa"/>
            <w:vAlign w:val="bottom"/>
          </w:tcPr>
          <w:p>
            <w:pPr>
              <w:spacing w:after="0"/>
              <w:rPr>
                <w:sz w:val="13"/>
                <w:szCs w:val="13"/>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2"/>
                <w:szCs w:val="12"/>
                <w:color w:val="auto"/>
              </w:rPr>
              <w:t>(1,493,203)</w:t>
            </w: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2"/>
                <w:szCs w:val="12"/>
                <w:color w:val="auto"/>
              </w:rPr>
              <w:t>(1,207,142)</w:t>
            </w:r>
          </w:p>
        </w:tc>
        <w:tc>
          <w:tcPr>
            <w:tcW w:w="220" w:type="dxa"/>
            <w:vAlign w:val="bottom"/>
          </w:tcPr>
          <w:p>
            <w:pPr>
              <w:spacing w:after="0"/>
              <w:rPr>
                <w:sz w:val="13"/>
                <w:szCs w:val="13"/>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2"/>
                <w:szCs w:val="12"/>
                <w:color w:val="auto"/>
              </w:rPr>
              <w:t>(1,402,445)</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2"/>
                <w:szCs w:val="12"/>
                <w:color w:val="auto"/>
              </w:rPr>
              <w:t>(1,166,906)</w:t>
            </w: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2,580,565</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b w:val="1"/>
                <w:bCs w:val="1"/>
                <w:color w:val="auto"/>
              </w:rPr>
              <w:t>Other Data:</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Dividends paid</w:t>
            </w: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426,094</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400,210</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367,830</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156,854</w:t>
            </w: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Dividends declared per common share</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w:t>
            </w: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w:t>
            </w: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1.64</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Funds from operations ("FFO")</w:t>
            </w:r>
            <w:r>
              <w:rPr>
                <w:rFonts w:ascii="Arial" w:cs="Arial" w:eastAsia="Arial" w:hAnsi="Arial"/>
                <w:sz w:val="10"/>
                <w:szCs w:val="10"/>
                <w:color w:val="auto"/>
              </w:rPr>
              <w:t>(5)</w:t>
            </w: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373,741</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352,477</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346,051</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259,829</w:t>
            </w: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Diluted FFO per common share</w:t>
            </w: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2.11</w:t>
            </w: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2.09</w:t>
            </w: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2.27</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1.73</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Adjusted funds from operations ("AFFO")</w:t>
            </w:r>
            <w:r>
              <w:rPr>
                <w:rFonts w:ascii="Arial" w:cs="Arial" w:eastAsia="Arial" w:hAnsi="Arial"/>
                <w:sz w:val="10"/>
                <w:szCs w:val="10"/>
                <w:color w:val="auto"/>
              </w:rPr>
              <w:t>(5)</w:t>
            </w: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443,755</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424,824</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398,537</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267,077</w:t>
            </w: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Diluted AFFO per common share</w:t>
            </w:r>
          </w:p>
        </w:tc>
        <w:tc>
          <w:tcPr>
            <w:tcW w:w="220" w:type="dxa"/>
            <w:vAlign w:val="bottom"/>
            <w:shd w:val="clear" w:color="auto" w:fill="CFF0FC"/>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2.51</w:t>
            </w:r>
          </w:p>
        </w:tc>
        <w:tc>
          <w:tcPr>
            <w:tcW w:w="100" w:type="dxa"/>
            <w:vAlign w:val="bottom"/>
            <w:shd w:val="clear" w:color="auto" w:fill="CFF0FC"/>
          </w:tcPr>
          <w:p>
            <w:pPr>
              <w:spacing w:after="0"/>
              <w:rPr>
                <w:sz w:val="13"/>
                <w:szCs w:val="13"/>
                <w:color w:val="auto"/>
              </w:rPr>
            </w:pPr>
          </w:p>
        </w:tc>
        <w:tc>
          <w:tcPr>
            <w:tcW w:w="3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2.51</w:t>
            </w: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jc w:val="right"/>
              <w:ind w:right="110"/>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2.61</w:t>
            </w:r>
          </w:p>
        </w:tc>
        <w:tc>
          <w:tcPr>
            <w:tcW w:w="140" w:type="dxa"/>
            <w:vAlign w:val="bottom"/>
            <w:shd w:val="clear" w:color="auto" w:fill="CFF0FC"/>
          </w:tcPr>
          <w:p>
            <w:pPr>
              <w:spacing w:after="0"/>
              <w:rPr>
                <w:sz w:val="13"/>
                <w:szCs w:val="13"/>
                <w:color w:val="auto"/>
              </w:rPr>
            </w:pPr>
          </w:p>
        </w:tc>
        <w:tc>
          <w:tcPr>
            <w:tcW w:w="280" w:type="dxa"/>
            <w:vAlign w:val="bottom"/>
            <w:gridSpan w:val="2"/>
            <w:shd w:val="clear" w:color="auto" w:fill="CFF0FC"/>
          </w:tcPr>
          <w:p>
            <w:pPr>
              <w:jc w:val="right"/>
              <w:ind w:right="72"/>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1.78</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bl>
    <w:p>
      <w:pPr>
        <w:spacing w:after="0" w:line="135" w:lineRule="exact"/>
        <w:rPr>
          <w:sz w:val="20"/>
          <w:szCs w:val="20"/>
          <w:color w:val="auto"/>
        </w:rPr>
      </w:pPr>
    </w:p>
    <w:p>
      <w:pPr>
        <w:ind w:left="8"/>
        <w:spacing w:after="0"/>
        <w:rPr>
          <w:sz w:val="20"/>
          <w:szCs w:val="20"/>
          <w:color w:val="auto"/>
        </w:rPr>
      </w:pPr>
      <w:r>
        <w:rPr>
          <w:rFonts w:ascii="Arial" w:cs="Arial" w:eastAsia="Arial" w:hAnsi="Arial"/>
          <w:sz w:val="12"/>
          <w:szCs w:val="12"/>
          <w:color w:val="auto"/>
        </w:rPr>
        <w:t>* Information not applicable for periods presented</w:t>
      </w:r>
    </w:p>
    <w:p>
      <w:pPr>
        <w:spacing w:after="0" w:line="15" w:lineRule="exact"/>
        <w:rPr>
          <w:sz w:val="20"/>
          <w:szCs w:val="20"/>
          <w:color w:val="auto"/>
        </w:rPr>
      </w:pPr>
    </w:p>
    <w:p>
      <w:pPr>
        <w:ind w:left="588" w:hanging="588"/>
        <w:spacing w:after="0"/>
        <w:tabs>
          <w:tab w:leader="none" w:pos="588" w:val="left"/>
        </w:tabs>
        <w:numPr>
          <w:ilvl w:val="0"/>
          <w:numId w:val="8"/>
        </w:numPr>
        <w:rPr>
          <w:rFonts w:ascii="Arial" w:cs="Arial" w:eastAsia="Arial" w:hAnsi="Arial"/>
          <w:sz w:val="12"/>
          <w:szCs w:val="12"/>
          <w:color w:val="auto"/>
        </w:rPr>
      </w:pPr>
      <w:r>
        <w:rPr>
          <w:rFonts w:ascii="Arial" w:cs="Arial" w:eastAsia="Arial" w:hAnsi="Arial"/>
          <w:sz w:val="12"/>
          <w:szCs w:val="12"/>
          <w:color w:val="auto"/>
        </w:rPr>
        <w:t>For periods prior to April 24, 2015, amounts represent revenues of the Consumer CLEC Business as an integrated operation within Windstream.</w:t>
      </w:r>
    </w:p>
    <w:p>
      <w:pPr>
        <w:spacing w:after="0" w:line="6" w:lineRule="exact"/>
        <w:rPr>
          <w:rFonts w:ascii="Arial" w:cs="Arial" w:eastAsia="Arial" w:hAnsi="Arial"/>
          <w:sz w:val="12"/>
          <w:szCs w:val="12"/>
          <w:color w:val="auto"/>
        </w:rPr>
      </w:pPr>
    </w:p>
    <w:p>
      <w:pPr>
        <w:ind w:left="588" w:hanging="588"/>
        <w:spacing w:after="0"/>
        <w:tabs>
          <w:tab w:leader="none" w:pos="588" w:val="left"/>
        </w:tabs>
        <w:numPr>
          <w:ilvl w:val="0"/>
          <w:numId w:val="8"/>
        </w:numPr>
        <w:rPr>
          <w:rFonts w:ascii="Arial" w:cs="Arial" w:eastAsia="Arial" w:hAnsi="Arial"/>
          <w:sz w:val="12"/>
          <w:szCs w:val="12"/>
          <w:color w:val="auto"/>
        </w:rPr>
      </w:pPr>
      <w:r>
        <w:rPr>
          <w:rFonts w:ascii="Arial" w:cs="Arial" w:eastAsia="Arial" w:hAnsi="Arial"/>
          <w:sz w:val="12"/>
          <w:szCs w:val="12"/>
          <w:color w:val="auto"/>
        </w:rPr>
        <w:t>As of December 31, 2014 amounts represent the combined assets of the Consumer CLEC Business and the Distribution Systems.</w:t>
      </w:r>
    </w:p>
    <w:p>
      <w:pPr>
        <w:spacing w:after="0" w:line="6" w:lineRule="exact"/>
        <w:rPr>
          <w:rFonts w:ascii="Arial" w:cs="Arial" w:eastAsia="Arial" w:hAnsi="Arial"/>
          <w:sz w:val="12"/>
          <w:szCs w:val="12"/>
          <w:color w:val="auto"/>
        </w:rPr>
      </w:pPr>
    </w:p>
    <w:p>
      <w:pPr>
        <w:ind w:left="588" w:hanging="588"/>
        <w:spacing w:after="0"/>
        <w:tabs>
          <w:tab w:leader="none" w:pos="588" w:val="left"/>
        </w:tabs>
        <w:numPr>
          <w:ilvl w:val="0"/>
          <w:numId w:val="8"/>
        </w:numPr>
        <w:rPr>
          <w:rFonts w:ascii="Arial" w:cs="Arial" w:eastAsia="Arial" w:hAnsi="Arial"/>
          <w:sz w:val="12"/>
          <w:szCs w:val="12"/>
          <w:color w:val="auto"/>
        </w:rPr>
      </w:pPr>
      <w:r>
        <w:rPr>
          <w:rFonts w:ascii="Arial" w:cs="Arial" w:eastAsia="Arial" w:hAnsi="Arial"/>
          <w:sz w:val="12"/>
          <w:szCs w:val="12"/>
          <w:color w:val="auto"/>
        </w:rPr>
        <w:t>As of December 31, 2018, 2017, and 2016, amount includes $55.3 million, $56.3 million, and $54.5 million of capital lease obligations, respectively.</w:t>
      </w:r>
    </w:p>
    <w:p>
      <w:pPr>
        <w:spacing w:after="0" w:line="6" w:lineRule="exact"/>
        <w:rPr>
          <w:rFonts w:ascii="Arial" w:cs="Arial" w:eastAsia="Arial" w:hAnsi="Arial"/>
          <w:sz w:val="12"/>
          <w:szCs w:val="12"/>
          <w:color w:val="auto"/>
        </w:rPr>
      </w:pPr>
    </w:p>
    <w:p>
      <w:pPr>
        <w:ind w:left="588" w:hanging="588"/>
        <w:spacing w:after="0"/>
        <w:tabs>
          <w:tab w:leader="none" w:pos="588" w:val="left"/>
        </w:tabs>
        <w:numPr>
          <w:ilvl w:val="0"/>
          <w:numId w:val="8"/>
        </w:numPr>
        <w:rPr>
          <w:rFonts w:ascii="Arial" w:cs="Arial" w:eastAsia="Arial" w:hAnsi="Arial"/>
          <w:sz w:val="12"/>
          <w:szCs w:val="12"/>
          <w:color w:val="auto"/>
        </w:rPr>
      </w:pPr>
      <w:r>
        <w:rPr>
          <w:rFonts w:ascii="Arial" w:cs="Arial" w:eastAsia="Arial" w:hAnsi="Arial"/>
          <w:sz w:val="12"/>
          <w:szCs w:val="12"/>
          <w:color w:val="auto"/>
        </w:rPr>
        <w:t>As of December 31, 2014 amounts include the net assets contributed of the Consumer CLEC Business and the Distribution Systems.</w:t>
      </w:r>
    </w:p>
    <w:p>
      <w:pPr>
        <w:spacing w:after="0" w:line="6" w:lineRule="exact"/>
        <w:rPr>
          <w:rFonts w:ascii="Arial" w:cs="Arial" w:eastAsia="Arial" w:hAnsi="Arial"/>
          <w:sz w:val="12"/>
          <w:szCs w:val="12"/>
          <w:color w:val="auto"/>
        </w:rPr>
      </w:pPr>
    </w:p>
    <w:p>
      <w:pPr>
        <w:ind w:left="588" w:hanging="588"/>
        <w:spacing w:after="0"/>
        <w:tabs>
          <w:tab w:leader="none" w:pos="588" w:val="left"/>
        </w:tabs>
        <w:numPr>
          <w:ilvl w:val="0"/>
          <w:numId w:val="8"/>
        </w:numPr>
        <w:rPr>
          <w:rFonts w:ascii="Arial" w:cs="Arial" w:eastAsia="Arial" w:hAnsi="Arial"/>
          <w:sz w:val="12"/>
          <w:szCs w:val="12"/>
          <w:color w:val="auto"/>
        </w:rPr>
      </w:pPr>
      <w:r>
        <w:rPr>
          <w:rFonts w:ascii="Arial" w:cs="Arial" w:eastAsia="Arial" w:hAnsi="Arial"/>
          <w:sz w:val="12"/>
          <w:szCs w:val="12"/>
          <w:color w:val="auto"/>
        </w:rPr>
        <w:t xml:space="preserve">For a more detailed discussion and reconciliation of FFO and AFFO, see “Non-GAAP Financial Measures” in </w:t>
      </w:r>
      <w:hyperlink w:anchor="page30">
        <w:r>
          <w:rPr>
            <w:rFonts w:ascii="Arial" w:cs="Arial" w:eastAsia="Arial" w:hAnsi="Arial"/>
            <w:sz w:val="12"/>
            <w:szCs w:val="12"/>
            <w:u w:val="single" w:color="auto"/>
            <w:color w:val="0000EE"/>
          </w:rPr>
          <w:t>Item 7</w:t>
        </w:r>
      </w:hyperlink>
      <w:r>
        <w:rPr>
          <w:rFonts w:ascii="Arial" w:cs="Arial" w:eastAsia="Arial" w:hAnsi="Arial"/>
          <w:sz w:val="12"/>
          <w:szCs w:val="12"/>
          <w:color w:val="auto"/>
        </w:rPr>
        <w:t>.</w:t>
      </w:r>
    </w:p>
    <w:p>
      <w:pPr>
        <w:spacing w:after="0" w:line="141"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1" w:right="199" w:bottom="1440" w:gutter="0" w:footer="0" w:header="0"/>
        </w:sectPr>
      </w:pPr>
    </w:p>
    <w:bookmarkStart w:id="29" w:name="page30"/>
    <w:bookmarkEnd w:id="2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7. Management’s Discussion and Analysis of Financial Condition and Results of Operations.</w:t>
      </w:r>
    </w:p>
    <w:p>
      <w:pPr>
        <w:spacing w:after="0" w:line="141"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The following management’s discussion and analysis of financial condition and results of operations describes the principal factors affecting the results of our operations, financial condition, and changes in financial condition, as well as our critical accounting estimates.</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Overview</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Company Description</w:t>
      </w:r>
    </w:p>
    <w:p>
      <w:pPr>
        <w:spacing w:after="0" w:line="150" w:lineRule="exact"/>
        <w:rPr>
          <w:sz w:val="20"/>
          <w:szCs w:val="20"/>
          <w:color w:val="auto"/>
        </w:rPr>
      </w:pPr>
    </w:p>
    <w:p>
      <w:pPr>
        <w:ind w:right="760"/>
        <w:spacing w:after="0" w:line="323" w:lineRule="auto"/>
        <w:rPr>
          <w:sz w:val="20"/>
          <w:szCs w:val="20"/>
          <w:color w:val="auto"/>
        </w:rPr>
      </w:pPr>
      <w:r>
        <w:rPr>
          <w:rFonts w:ascii="Arial" w:cs="Arial" w:eastAsia="Arial" w:hAnsi="Arial"/>
          <w:sz w:val="11"/>
          <w:szCs w:val="11"/>
          <w:color w:val="auto"/>
        </w:rPr>
        <w:t>Uniti Group Inc. (the “Company”, “Uniti”, “we”, “us” or “our”) is an independent, internally managed real estate investment trust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w:t>
      </w:r>
    </w:p>
    <w:p>
      <w:pPr>
        <w:spacing w:after="0" w:line="92" w:lineRule="exact"/>
        <w:rPr>
          <w:sz w:val="20"/>
          <w:szCs w:val="20"/>
          <w:color w:val="auto"/>
        </w:rPr>
      </w:pPr>
    </w:p>
    <w:p>
      <w:pPr>
        <w:ind w:right="20"/>
        <w:spacing w:after="0" w:line="290" w:lineRule="auto"/>
        <w:rPr>
          <w:sz w:val="20"/>
          <w:szCs w:val="20"/>
          <w:color w:val="auto"/>
        </w:rPr>
      </w:pPr>
      <w:r>
        <w:rPr>
          <w:rFonts w:ascii="Arial" w:cs="Arial" w:eastAsia="Arial" w:hAnsi="Arial"/>
          <w:sz w:val="11"/>
          <w:szCs w:val="11"/>
          <w:color w:val="auto"/>
        </w:rPr>
        <w:t>On April 24, 2015, we were separated and spun-off (the “Spin-Off”) from Windstream Holdings, Inc. (“Windstream Holdings” and together with its subsidiaries, “Windstream”) pursuant to which Windstream contributed certain telecommunications network assets, including fiber and copper networks and other real estate (the “Distribution Systems”) and a small consumer competitive local exchange carrier (“CLEC”) business (the “Consumer CLEC Business”), to Uniti and Uniti issued common stock and indebtedness and paid cash obtained from borrowings under Uniti’s senior credit facilities to Windstream. In connection with the Spin-Off, we entered into a long-term exclusive triple-net lease (the “Master Lease”) with Windstream, pursuant to which a substantial portion of our real property is leased to Windstream and from which a substantial portion of our leasing revenues are currently derived.</w:t>
      </w:r>
    </w:p>
    <w:p>
      <w:pPr>
        <w:spacing w:after="0" w:line="109" w:lineRule="exact"/>
        <w:rPr>
          <w:sz w:val="20"/>
          <w:szCs w:val="20"/>
          <w:color w:val="auto"/>
        </w:rPr>
      </w:pPr>
    </w:p>
    <w:p>
      <w:pPr>
        <w:jc w:val="both"/>
        <w:ind w:right="180"/>
        <w:spacing w:after="0" w:line="298" w:lineRule="auto"/>
        <w:rPr>
          <w:sz w:val="20"/>
          <w:szCs w:val="20"/>
          <w:color w:val="auto"/>
        </w:rPr>
      </w:pPr>
      <w:r>
        <w:rPr>
          <w:rFonts w:ascii="Arial" w:cs="Arial" w:eastAsia="Arial" w:hAnsi="Arial"/>
          <w:sz w:val="11"/>
          <w:szCs w:val="11"/>
          <w:color w:val="auto"/>
        </w:rPr>
        <w:t>Uniti operates as a REIT for U.S. federal income tax purposes. As a REIT, the Company is generally not subject to U.S. federal income taxes on income generated by its REIT operations, which includes income derived from the Master Lease. We have elected to treat the subsidiaries through which we operate our fiber business, Uniti Fiber, and Talk America Services, LLC, which operates the Consumer CLEC Business (“Talk America”), as taxable REIT subsidiaries (“TRSs”). TRSs enable us to engage in activities that result in income that does not constitute qualifying income for a REIT. Our TRSs are subject to U.S. federal, state and local corporate income taxes.</w:t>
      </w:r>
    </w:p>
    <w:p>
      <w:pPr>
        <w:spacing w:after="0" w:line="105" w:lineRule="exact"/>
        <w:rPr>
          <w:sz w:val="20"/>
          <w:szCs w:val="20"/>
          <w:color w:val="auto"/>
        </w:rPr>
      </w:pPr>
    </w:p>
    <w:p>
      <w:pPr>
        <w:jc w:val="both"/>
        <w:ind w:right="40"/>
        <w:spacing w:after="0" w:line="263" w:lineRule="auto"/>
        <w:rPr>
          <w:sz w:val="20"/>
          <w:szCs w:val="20"/>
          <w:color w:val="auto"/>
        </w:rPr>
      </w:pPr>
      <w:r>
        <w:rPr>
          <w:rFonts w:ascii="Arial" w:cs="Arial" w:eastAsia="Arial" w:hAnsi="Arial"/>
          <w:sz w:val="12"/>
          <w:szCs w:val="12"/>
          <w:color w:val="auto"/>
        </w:rPr>
        <w:t>The Company operates through a customary up-REIT structure, pursuant to which we hold substantially all of our assets through a partnership, Uniti Group LP, a Delaware limited partnership (the “Operating Partnership”), that we control as general partner. This structure is intended to facilitate future acquisition opportunities by providing the Company with the ability to use common units of the Operating Partnership as a tax-efficient acquisition currency. As of the date of this report, we are the sole general partner of the Operating Partnership and own approximately 97.7% of the partnership interests in the Operating Partnership.</w:t>
      </w:r>
    </w:p>
    <w:p>
      <w:pPr>
        <w:spacing w:after="0" w:line="123" w:lineRule="exact"/>
        <w:rPr>
          <w:sz w:val="20"/>
          <w:szCs w:val="20"/>
          <w:color w:val="auto"/>
        </w:rPr>
      </w:pPr>
    </w:p>
    <w:p>
      <w:pPr>
        <w:spacing w:after="0" w:line="257" w:lineRule="auto"/>
        <w:rPr>
          <w:sz w:val="20"/>
          <w:szCs w:val="20"/>
          <w:color w:val="auto"/>
        </w:rPr>
      </w:pPr>
      <w:r>
        <w:rPr>
          <w:rFonts w:ascii="Arial" w:cs="Arial" w:eastAsia="Arial" w:hAnsi="Arial"/>
          <w:sz w:val="12"/>
          <w:szCs w:val="12"/>
          <w:color w:val="auto"/>
        </w:rPr>
        <w:t>We expect to grow and diversify our portfolio and tenant base by pursuing a range of transaction structures with communication service providers, including, (i) sale leaseback transactions, whereby we acquire existing infrastructure assets from third parties, including communication service providers, and lease them back on a long-term triple net basis; (ii) whole company acquisitions, which may include the use of one or more TRSs that are permitted under the tax laws to acquire and operate non-REIT businesses and assets subject to certain limitations; (iii) capital investment financing, whereby we offer communication service providers a cost efficient method of raising funds for discrete capital investments to upgrade or expand their network; and (iv) mergers and acquisitions financing, whereby we facilitate mergers and acquisition transactions as a capital partner, including through operating company/property company (“OpCo-PropCo”) structures.</w:t>
      </w:r>
    </w:p>
    <w:p>
      <w:pPr>
        <w:spacing w:after="0" w:line="126" w:lineRule="exact"/>
        <w:rPr>
          <w:sz w:val="20"/>
          <w:szCs w:val="20"/>
          <w:color w:val="auto"/>
        </w:rPr>
      </w:pPr>
    </w:p>
    <w:p>
      <w:pPr>
        <w:spacing w:after="0"/>
        <w:rPr>
          <w:sz w:val="20"/>
          <w:szCs w:val="20"/>
          <w:color w:val="auto"/>
        </w:rPr>
      </w:pPr>
      <w:r>
        <w:rPr>
          <w:rFonts w:ascii="Arial" w:cs="Arial" w:eastAsia="Arial" w:hAnsi="Arial"/>
          <w:sz w:val="12"/>
          <w:szCs w:val="12"/>
          <w:color w:val="auto"/>
        </w:rPr>
        <w:t>We manage our operations as four reportable business segments in addition to our corporate operations:</w:t>
      </w:r>
    </w:p>
    <w:p>
      <w:pPr>
        <w:spacing w:after="0" w:line="150" w:lineRule="exact"/>
        <w:rPr>
          <w:sz w:val="20"/>
          <w:szCs w:val="20"/>
          <w:color w:val="auto"/>
        </w:rPr>
      </w:pPr>
    </w:p>
    <w:p>
      <w:pPr>
        <w:ind w:right="20"/>
        <w:spacing w:after="0" w:line="276" w:lineRule="auto"/>
        <w:rPr>
          <w:sz w:val="20"/>
          <w:szCs w:val="20"/>
          <w:color w:val="auto"/>
        </w:rPr>
      </w:pPr>
      <w:r>
        <w:rPr>
          <w:rFonts w:ascii="Arial" w:cs="Arial" w:eastAsia="Arial" w:hAnsi="Arial"/>
          <w:sz w:val="12"/>
          <w:szCs w:val="12"/>
          <w:i w:val="1"/>
          <w:iCs w:val="1"/>
          <w:u w:val="single" w:color="auto"/>
          <w:color w:val="auto"/>
        </w:rPr>
        <w:t>Leasing Segment</w:t>
      </w:r>
      <w:r>
        <w:rPr>
          <w:rFonts w:ascii="Arial" w:cs="Arial" w:eastAsia="Arial" w:hAnsi="Arial"/>
          <w:sz w:val="12"/>
          <w:szCs w:val="12"/>
          <w:color w:val="auto"/>
        </w:rPr>
        <w:t>: Represents a component of our REIT operations and includes the results from our leasing business, Uniti Leasing, which is engaged in the acquisition of mission-critical communications assets and leasing them to anchor</w:t>
      </w:r>
      <w:r>
        <w:rPr>
          <w:rFonts w:ascii="Arial" w:cs="Arial" w:eastAsia="Arial" w:hAnsi="Arial"/>
          <w:sz w:val="12"/>
          <w:szCs w:val="12"/>
          <w:i w:val="1"/>
          <w:iCs w:val="1"/>
          <w:color w:val="auto"/>
        </w:rPr>
        <w:t xml:space="preserve"> </w:t>
      </w:r>
      <w:r>
        <w:rPr>
          <w:rFonts w:ascii="Arial" w:cs="Arial" w:eastAsia="Arial" w:hAnsi="Arial"/>
          <w:sz w:val="12"/>
          <w:szCs w:val="12"/>
          <w:color w:val="auto"/>
        </w:rPr>
        <w:t>customers on either an exclusive or shared-tenant basis.</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30" w:name="page31"/>
    <w:bookmarkEnd w:id="3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i w:val="1"/>
          <w:iCs w:val="1"/>
          <w:u w:val="single" w:color="auto"/>
          <w:color w:val="auto"/>
        </w:rPr>
        <w:t>Fiber Infrastructure Segment</w:t>
      </w:r>
      <w:r>
        <w:rPr>
          <w:rFonts w:ascii="Arial" w:cs="Arial" w:eastAsia="Arial" w:hAnsi="Arial"/>
          <w:sz w:val="11"/>
          <w:szCs w:val="11"/>
          <w:color w:val="auto"/>
        </w:rPr>
        <w:t>: Represents the operations of our fiber business, Uniti Fiber, which is a leading provider of infrastructure solutions, including cell site backhaul and dark fiber, to the telecommunications industry.</w:t>
      </w:r>
    </w:p>
    <w:p>
      <w:pPr>
        <w:spacing w:after="0" w:line="162" w:lineRule="exact"/>
        <w:rPr>
          <w:sz w:val="20"/>
          <w:szCs w:val="20"/>
          <w:color w:val="auto"/>
        </w:rPr>
      </w:pPr>
    </w:p>
    <w:p>
      <w:pPr>
        <w:ind w:right="180"/>
        <w:spacing w:after="0" w:line="276" w:lineRule="auto"/>
        <w:rPr>
          <w:sz w:val="20"/>
          <w:szCs w:val="20"/>
          <w:color w:val="auto"/>
        </w:rPr>
      </w:pPr>
      <w:r>
        <w:rPr>
          <w:rFonts w:ascii="Arial" w:cs="Arial" w:eastAsia="Arial" w:hAnsi="Arial"/>
          <w:sz w:val="12"/>
          <w:szCs w:val="12"/>
          <w:i w:val="1"/>
          <w:iCs w:val="1"/>
          <w:u w:val="single" w:color="auto"/>
          <w:color w:val="auto"/>
        </w:rPr>
        <w:t>Towers Segment</w:t>
      </w:r>
      <w:r>
        <w:rPr>
          <w:rFonts w:ascii="Arial" w:cs="Arial" w:eastAsia="Arial" w:hAnsi="Arial"/>
          <w:sz w:val="12"/>
          <w:szCs w:val="12"/>
          <w:color w:val="auto"/>
        </w:rPr>
        <w:t>: Represents the operations of our towers business, Uniti Towers, through which we acquire and construct tower and tower-related real estate and lease space on communications towers to wireless service providers and</w:t>
      </w:r>
      <w:r>
        <w:rPr>
          <w:rFonts w:ascii="Arial" w:cs="Arial" w:eastAsia="Arial" w:hAnsi="Arial"/>
          <w:sz w:val="12"/>
          <w:szCs w:val="12"/>
          <w:i w:val="1"/>
          <w:iCs w:val="1"/>
          <w:color w:val="auto"/>
        </w:rPr>
        <w:t xml:space="preserve"> </w:t>
      </w:r>
      <w:r>
        <w:rPr>
          <w:rFonts w:ascii="Arial" w:cs="Arial" w:eastAsia="Arial" w:hAnsi="Arial"/>
          <w:sz w:val="12"/>
          <w:szCs w:val="12"/>
          <w:color w:val="auto"/>
        </w:rPr>
        <w:t>other tenants. Uniti Towers is a component of our REIT operations.</w:t>
      </w:r>
    </w:p>
    <w:p>
      <w:pPr>
        <w:spacing w:after="0" w:line="115" w:lineRule="exact"/>
        <w:rPr>
          <w:sz w:val="20"/>
          <w:szCs w:val="20"/>
          <w:color w:val="auto"/>
        </w:rPr>
      </w:pPr>
    </w:p>
    <w:p>
      <w:pPr>
        <w:ind w:right="40"/>
        <w:spacing w:after="0" w:line="276" w:lineRule="auto"/>
        <w:rPr>
          <w:sz w:val="20"/>
          <w:szCs w:val="20"/>
          <w:color w:val="auto"/>
        </w:rPr>
      </w:pPr>
      <w:r>
        <w:rPr>
          <w:rFonts w:ascii="Arial" w:cs="Arial" w:eastAsia="Arial" w:hAnsi="Arial"/>
          <w:sz w:val="12"/>
          <w:szCs w:val="12"/>
          <w:i w:val="1"/>
          <w:iCs w:val="1"/>
          <w:u w:val="single" w:color="auto"/>
          <w:color w:val="auto"/>
        </w:rPr>
        <w:t>Consumer CLEC Segment</w:t>
      </w:r>
      <w:r>
        <w:rPr>
          <w:rFonts w:ascii="Arial" w:cs="Arial" w:eastAsia="Arial" w:hAnsi="Arial"/>
          <w:sz w:val="12"/>
          <w:szCs w:val="12"/>
          <w:color w:val="auto"/>
        </w:rPr>
        <w:t>: Represents the operations of Talk America through which we operate the Consumer CLEC Business that prior to the Spin-Off was reported as an integrated operation within Windstream. Talk America provides</w:t>
      </w:r>
      <w:r>
        <w:rPr>
          <w:rFonts w:ascii="Arial" w:cs="Arial" w:eastAsia="Arial" w:hAnsi="Arial"/>
          <w:sz w:val="12"/>
          <w:szCs w:val="12"/>
          <w:i w:val="1"/>
          <w:iCs w:val="1"/>
          <w:color w:val="auto"/>
        </w:rPr>
        <w:t xml:space="preserve"> </w:t>
      </w:r>
      <w:r>
        <w:rPr>
          <w:rFonts w:ascii="Arial" w:cs="Arial" w:eastAsia="Arial" w:hAnsi="Arial"/>
          <w:sz w:val="12"/>
          <w:szCs w:val="12"/>
          <w:color w:val="auto"/>
        </w:rPr>
        <w:t>local telephone, high-speed internet and long distance services to customers in the eastern and central United States.</w:t>
      </w:r>
    </w:p>
    <w:p>
      <w:pPr>
        <w:spacing w:after="0" w:line="115"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i w:val="1"/>
          <w:iCs w:val="1"/>
          <w:u w:val="single" w:color="auto"/>
          <w:color w:val="auto"/>
        </w:rPr>
        <w:t>Corporate Operations</w:t>
      </w:r>
      <w:r>
        <w:rPr>
          <w:rFonts w:ascii="Arial" w:cs="Arial" w:eastAsia="Arial" w:hAnsi="Arial"/>
          <w:sz w:val="12"/>
          <w:szCs w:val="12"/>
          <w:color w:val="auto"/>
        </w:rPr>
        <w:t>: Represents our corporate office and shared service functions. Certain costs and expenses, primarily related to headcount, information technology systems, insurance, professional fees and similar charges, that are</w:t>
      </w:r>
      <w:r>
        <w:rPr>
          <w:rFonts w:ascii="Arial" w:cs="Arial" w:eastAsia="Arial" w:hAnsi="Arial"/>
          <w:sz w:val="12"/>
          <w:szCs w:val="12"/>
          <w:i w:val="1"/>
          <w:iCs w:val="1"/>
          <w:color w:val="auto"/>
        </w:rPr>
        <w:t xml:space="preserve"> </w:t>
      </w:r>
      <w:r>
        <w:rPr>
          <w:rFonts w:ascii="Arial" w:cs="Arial" w:eastAsia="Arial" w:hAnsi="Arial"/>
          <w:sz w:val="12"/>
          <w:szCs w:val="12"/>
          <w:color w:val="auto"/>
        </w:rPr>
        <w:t>directly attributable to operations of our business segments are allocated to the respective segments.</w:t>
      </w:r>
    </w:p>
    <w:p>
      <w:pPr>
        <w:spacing w:after="0" w:line="115" w:lineRule="exact"/>
        <w:rPr>
          <w:sz w:val="20"/>
          <w:szCs w:val="20"/>
          <w:color w:val="auto"/>
        </w:rPr>
      </w:pPr>
    </w:p>
    <w:p>
      <w:pPr>
        <w:ind w:right="120"/>
        <w:spacing w:after="0" w:line="290" w:lineRule="auto"/>
        <w:rPr>
          <w:rFonts w:ascii="Arial" w:cs="Arial" w:eastAsia="Arial" w:hAnsi="Arial"/>
          <w:sz w:val="11"/>
          <w:szCs w:val="11"/>
          <w:color w:val="auto"/>
        </w:rPr>
      </w:pPr>
      <w:r>
        <w:rPr>
          <w:rFonts w:ascii="Arial" w:cs="Arial" w:eastAsia="Arial" w:hAnsi="Arial"/>
          <w:sz w:val="11"/>
          <w:szCs w:val="11"/>
          <w:color w:val="auto"/>
        </w:rPr>
        <w:t xml:space="preserve">We evaluate the performance of each segment based on Adjusted EBITDA, which is a segment performance measure we define as net income determined in accordance with GAAP, before interest expense, provision for income taxes, depreciation and amortization, stock-based compensation expense, the impact, which may be recurring in nature, of transaction and integration related expenses, the write off of unamortized deferred financing costs, costs incurred as a result of the early repayment of debt, gains or losses on dispositions, changes in the fair value of contingent consideration and financial instruments, and other similar items. For more information on Adjusted EBITDA, see “Non-GAAP Financial Measures.” Detailed information about our segments can be found in </w:t>
      </w:r>
      <w:hyperlink w:anchor="page94">
        <w:r>
          <w:rPr>
            <w:rFonts w:ascii="Arial" w:cs="Arial" w:eastAsia="Arial" w:hAnsi="Arial"/>
            <w:sz w:val="11"/>
            <w:szCs w:val="11"/>
            <w:u w:val="single" w:color="auto"/>
            <w:color w:val="0000EE"/>
          </w:rPr>
          <w:t>Note 13</w:t>
        </w:r>
        <w:r>
          <w:rPr>
            <w:rFonts w:ascii="Arial" w:cs="Arial" w:eastAsia="Arial" w:hAnsi="Arial"/>
            <w:sz w:val="11"/>
            <w:szCs w:val="11"/>
            <w:u w:val="single" w:color="auto"/>
            <w:color w:val="auto"/>
          </w:rPr>
          <w:t xml:space="preserve"> </w:t>
        </w:r>
      </w:hyperlink>
      <w:r>
        <w:rPr>
          <w:rFonts w:ascii="Arial" w:cs="Arial" w:eastAsia="Arial" w:hAnsi="Arial"/>
          <w:sz w:val="11"/>
          <w:szCs w:val="11"/>
          <w:color w:val="auto"/>
        </w:rPr>
        <w:t xml:space="preserve">to our consolidated financial statements contained in Part II, Item 8 </w:t>
      </w:r>
      <w:r>
        <w:rPr>
          <w:rFonts w:ascii="Arial" w:cs="Arial" w:eastAsia="Arial" w:hAnsi="Arial"/>
          <w:sz w:val="11"/>
          <w:szCs w:val="11"/>
          <w:i w:val="1"/>
          <w:iCs w:val="1"/>
          <w:color w:val="auto"/>
        </w:rPr>
        <w:t>Financial Statements and Supplementary Data</w:t>
      </w:r>
      <w:r>
        <w:rPr>
          <w:rFonts w:ascii="Arial" w:cs="Arial" w:eastAsia="Arial" w:hAnsi="Arial"/>
          <w:sz w:val="11"/>
          <w:szCs w:val="11"/>
          <w:color w:val="auto"/>
        </w:rPr>
        <w:t>.</w:t>
      </w:r>
    </w:p>
    <w:p>
      <w:pPr>
        <w:spacing w:after="0" w:line="109"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Significant Business Developments</w:t>
      </w:r>
    </w:p>
    <w:p>
      <w:pPr>
        <w:spacing w:after="0" w:line="150" w:lineRule="exact"/>
        <w:rPr>
          <w:sz w:val="20"/>
          <w:szCs w:val="20"/>
          <w:color w:val="auto"/>
        </w:rPr>
      </w:pPr>
    </w:p>
    <w:p>
      <w:pPr>
        <w:spacing w:after="0" w:line="263" w:lineRule="auto"/>
        <w:rPr>
          <w:sz w:val="20"/>
          <w:szCs w:val="20"/>
          <w:color w:val="auto"/>
        </w:rPr>
      </w:pPr>
      <w:r>
        <w:rPr>
          <w:rFonts w:ascii="Arial" w:cs="Arial" w:eastAsia="Arial" w:hAnsi="Arial"/>
          <w:sz w:val="12"/>
          <w:szCs w:val="12"/>
          <w:i w:val="1"/>
          <w:iCs w:val="1"/>
          <w:u w:val="single" w:color="auto"/>
          <w:color w:val="auto"/>
        </w:rPr>
        <w:t>Windstream Bankruptcy Filing.</w:t>
      </w:r>
      <w:r>
        <w:rPr>
          <w:rFonts w:ascii="Arial" w:cs="Arial" w:eastAsia="Arial" w:hAnsi="Arial"/>
          <w:sz w:val="12"/>
          <w:szCs w:val="12"/>
          <w:i w:val="1"/>
          <w:iCs w:val="1"/>
          <w:color w:val="auto"/>
        </w:rPr>
        <w:t xml:space="preserve"> </w:t>
      </w:r>
      <w:r>
        <w:rPr>
          <w:rFonts w:ascii="Arial" w:cs="Arial" w:eastAsia="Arial" w:hAnsi="Arial"/>
          <w:sz w:val="12"/>
          <w:szCs w:val="12"/>
          <w:color w:val="auto"/>
        </w:rPr>
        <w:t>Windstream has been involved in litigation with an entity who acquired certain Windstream debt securities and thereafter issued a notice of default as to such securities relating to the Spin-Off. Windstream</w:t>
      </w:r>
      <w:r>
        <w:rPr>
          <w:rFonts w:ascii="Arial" w:cs="Arial" w:eastAsia="Arial" w:hAnsi="Arial"/>
          <w:sz w:val="12"/>
          <w:szCs w:val="12"/>
          <w:i w:val="1"/>
          <w:iCs w:val="1"/>
          <w:color w:val="auto"/>
        </w:rPr>
        <w:t xml:space="preserve"> </w:t>
      </w:r>
      <w:r>
        <w:rPr>
          <w:rFonts w:ascii="Arial" w:cs="Arial" w:eastAsia="Arial" w:hAnsi="Arial"/>
          <w:sz w:val="12"/>
          <w:szCs w:val="12"/>
          <w:color w:val="auto"/>
        </w:rPr>
        <w:t>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color w:val="auto"/>
        </w:rPr>
        <w:t>In response to the adverse outcome, on February 25, 2019, Windstream filed a voluntary petition for relief under Chapter 11 of the Bankruptcy Code in the U.S. Bankruptcy Court for the Southern District of New York.</w:t>
      </w:r>
    </w:p>
    <w:p>
      <w:pPr>
        <w:spacing w:after="0" w:line="150" w:lineRule="exact"/>
        <w:rPr>
          <w:sz w:val="20"/>
          <w:szCs w:val="20"/>
          <w:color w:val="auto"/>
        </w:rPr>
      </w:pPr>
    </w:p>
    <w:p>
      <w:pPr>
        <w:ind w:right="120"/>
        <w:spacing w:after="0" w:line="255" w:lineRule="auto"/>
        <w:rPr>
          <w:sz w:val="20"/>
          <w:szCs w:val="20"/>
          <w:color w:val="auto"/>
        </w:rPr>
      </w:pPr>
      <w:r>
        <w:rPr>
          <w:rFonts w:ascii="Arial" w:cs="Arial" w:eastAsia="Arial" w:hAnsi="Arial"/>
          <w:sz w:val="12"/>
          <w:szCs w:val="12"/>
          <w:color w:val="auto"/>
        </w:rPr>
        <w:t>In bankruptcy,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See Item 1A Risk Factors for additional information concerning the impact Windstream’s bankruptcy may have on our operations and financial condition. A rejection by Windstream of the Master Lease or its inability or unwillingness to meet its rent and other obligations under the Master Lease could materially adversely affect our consolidated results of operations, liquidity, and financial condition, including our ability to service debt, comply with debt covenants and pay dividends to our stockholders as required to maintain our status as a REIT.</w:t>
      </w:r>
    </w:p>
    <w:p>
      <w:pPr>
        <w:spacing w:after="0" w:line="129"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In addition, a rejection of the Master Lease by Windstream would result in an “event of default” under our Credit Agreement if we are unable to enter into a replacement lease that satisfies certain criteria set forth in the Credit Agreement within ninety (90) calendar days and we do not maintain pro forma compliance with a consolidated secured leverage ratio, as defined in the Credit Agreement, of 5.00 to 1.00.</w:t>
      </w:r>
    </w:p>
    <w:p>
      <w:pPr>
        <w:spacing w:after="0" w:line="200" w:lineRule="exact"/>
        <w:rPr>
          <w:sz w:val="20"/>
          <w:szCs w:val="20"/>
          <w:color w:val="auto"/>
        </w:rPr>
      </w:pPr>
    </w:p>
    <w:p>
      <w:pPr>
        <w:spacing w:after="0" w:line="203"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20"/>
          </w:cols>
          <w:pgMar w:left="220" w:top="131" w:right="259" w:bottom="1440" w:gutter="0" w:footer="0" w:header="0"/>
        </w:sectPr>
      </w:pPr>
    </w:p>
    <w:bookmarkStart w:id="31" w:name="page32"/>
    <w:bookmarkEnd w:id="3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80"/>
        <w:spacing w:after="0" w:line="254" w:lineRule="auto"/>
        <w:rPr>
          <w:sz w:val="20"/>
          <w:szCs w:val="20"/>
          <w:color w:val="auto"/>
        </w:rPr>
      </w:pPr>
      <w:r>
        <w:rPr>
          <w:rFonts w:ascii="Arial" w:cs="Arial" w:eastAsia="Arial" w:hAnsi="Arial"/>
          <w:sz w:val="12"/>
          <w:szCs w:val="12"/>
          <w:i w:val="1"/>
          <w:iCs w:val="1"/>
          <w:u w:val="single" w:color="auto"/>
          <w:color w:val="auto"/>
        </w:rPr>
        <w:t>Going Concern.</w:t>
      </w:r>
      <w:r>
        <w:rPr>
          <w:rFonts w:ascii="Arial" w:cs="Arial" w:eastAsia="Arial" w:hAnsi="Arial"/>
          <w:sz w:val="12"/>
          <w:szCs w:val="12"/>
          <w:i w:val="1"/>
          <w:iCs w:val="1"/>
          <w:color w:val="auto"/>
        </w:rPr>
        <w:t xml:space="preserve"> </w:t>
      </w:r>
      <w:r>
        <w:rPr>
          <w:rFonts w:ascii="Arial" w:cs="Arial" w:eastAsia="Arial" w:hAnsi="Arial"/>
          <w:sz w:val="12"/>
          <w:szCs w:val="12"/>
          <w:color w:val="auto"/>
        </w:rPr>
        <w:t>There are conditions and events which raise substantial doubt about our ability to continue as a going concern and in its opinion on our December 31, 2018 financial statements, PricewaterhouseCoopers LLP, our</w:t>
      </w:r>
      <w:r>
        <w:rPr>
          <w:rFonts w:ascii="Arial" w:cs="Arial" w:eastAsia="Arial" w:hAnsi="Arial"/>
          <w:sz w:val="12"/>
          <w:szCs w:val="12"/>
          <w:i w:val="1"/>
          <w:iCs w:val="1"/>
          <w:color w:val="auto"/>
        </w:rPr>
        <w:t xml:space="preserve"> </w:t>
      </w:r>
      <w:r>
        <w:rPr>
          <w:rFonts w:ascii="Arial" w:cs="Arial" w:eastAsia="Arial" w:hAnsi="Arial"/>
          <w:sz w:val="12"/>
          <w:szCs w:val="12"/>
          <w:color w:val="auto"/>
        </w:rPr>
        <w:t>independent registered public accounting firm, expressed substantial doubt as to whether we could continue as a going concern within one year after the date the financial statements are issued as a result of Windstream’s bankruptcy petition and its potential uncertain effects on the Master Lease. Our financial statements do not include any adjustments that may result from the outcome of this uncertainty. We expect Windstream will continue to perform on the Master Lease and believe it is unlikely that Windstream will reject the Master Lease because the Master Lease is central to Windstream’s operations. We also intend to reduce our capital expenditures and dividend as well as seek external funding in order to sustain our operations. The failure to provide 2018 audited financial statements without a going concern opinion to the lenders under our Credit Agreement by March 31, 2019 would constitute a breach of the covenants of our Credit Agreement and, unless such default is waived by our lenders, would constitute an immediate event of default. If an event of default were to occur under our Credit Agreement, the Credit Agreement’s administrative agent could declare all outstanding loans immediately due and payable. Such an acceleration would trigger cross-default provisions within the indentures governing our senior notes and thereby entitle the trustee and noteholders to accelerate the repayment of the senior notes.</w:t>
      </w:r>
    </w:p>
    <w:p>
      <w:pPr>
        <w:spacing w:after="0" w:line="129" w:lineRule="exact"/>
        <w:rPr>
          <w:sz w:val="20"/>
          <w:szCs w:val="20"/>
          <w:color w:val="auto"/>
        </w:rPr>
      </w:pPr>
    </w:p>
    <w:p>
      <w:pPr>
        <w:spacing w:after="0" w:line="257" w:lineRule="auto"/>
        <w:rPr>
          <w:sz w:val="20"/>
          <w:szCs w:val="20"/>
          <w:color w:val="auto"/>
        </w:rPr>
      </w:pPr>
      <w:r>
        <w:rPr>
          <w:rFonts w:ascii="Arial" w:cs="Arial" w:eastAsia="Arial" w:hAnsi="Arial"/>
          <w:sz w:val="12"/>
          <w:szCs w:val="12"/>
          <w:color w:val="auto"/>
        </w:rPr>
        <w:t>On March 18, 2019, we received a limited waiver from our lenders under our Credit Agreement, waiving an event of default related solely to the receipt of a going concern opinion from our auditors for our 2018 audited financial statements. The limited waiver was issued in connection with the Amendment to our Credit Agreement. During the pendency of Windstream’s bankruptcy, or at such earlier time when certain other conditions are specified, the Amendment generally limits our ability under the Credit Agreement to (i) prepay unsecured indebtedness and (ii) pay cash dividends in excess of 90% of our REIT taxable income, determined without regard to the dividends paid deduction and excluding any net capital gains. The Amendment also increases the interest rate on our Term Loan Facility, which will now bear a rate of LIBOR, subject to a 1.0% floor, plus an applicable margin equal to 5.0%, a 200 basis point increase over our previous rate. This increase will be in effect though the remaining term of the facility, which matures on October 24, 2022.</w:t>
      </w:r>
    </w:p>
    <w:p>
      <w:pPr>
        <w:spacing w:after="0" w:line="126" w:lineRule="exact"/>
        <w:rPr>
          <w:sz w:val="20"/>
          <w:szCs w:val="20"/>
          <w:color w:val="auto"/>
        </w:rPr>
      </w:pPr>
    </w:p>
    <w:p>
      <w:pPr>
        <w:ind w:right="80"/>
        <w:spacing w:after="0" w:line="259" w:lineRule="auto"/>
        <w:rPr>
          <w:sz w:val="20"/>
          <w:szCs w:val="20"/>
          <w:color w:val="auto"/>
        </w:rPr>
      </w:pPr>
      <w:r>
        <w:rPr>
          <w:rFonts w:ascii="Arial" w:cs="Arial" w:eastAsia="Arial" w:hAnsi="Arial"/>
          <w:sz w:val="12"/>
          <w:szCs w:val="12"/>
          <w:i w:val="1"/>
          <w:iCs w:val="1"/>
          <w:u w:val="single" w:color="auto"/>
          <w:color w:val="auto"/>
        </w:rPr>
        <w:t>Sale of Latin American Tower Portfolio.</w:t>
      </w:r>
      <w:r>
        <w:rPr>
          <w:rFonts w:ascii="Arial" w:cs="Arial" w:eastAsia="Arial" w:hAnsi="Arial"/>
          <w:sz w:val="12"/>
          <w:szCs w:val="12"/>
          <w:i w:val="1"/>
          <w:iCs w:val="1"/>
          <w:color w:val="auto"/>
        </w:rPr>
        <w:t xml:space="preserve"> </w:t>
      </w:r>
      <w:r>
        <w:rPr>
          <w:rFonts w:ascii="Arial" w:cs="Arial" w:eastAsia="Arial" w:hAnsi="Arial"/>
          <w:sz w:val="12"/>
          <w:szCs w:val="12"/>
          <w:color w:val="auto"/>
        </w:rPr>
        <w:t>On February 19, 2019, the Company announced it had agreed to sell its Uniti Towers’ business in Latin America to an entity controlled by Phoenix Towers International (“PTI”) for cash</w:t>
      </w:r>
      <w:r>
        <w:rPr>
          <w:rFonts w:ascii="Arial" w:cs="Arial" w:eastAsia="Arial" w:hAnsi="Arial"/>
          <w:sz w:val="12"/>
          <w:szCs w:val="12"/>
          <w:i w:val="1"/>
          <w:iCs w:val="1"/>
          <w:color w:val="auto"/>
        </w:rPr>
        <w:t xml:space="preserve"> </w:t>
      </w:r>
      <w:r>
        <w:rPr>
          <w:rFonts w:ascii="Arial" w:cs="Arial" w:eastAsia="Arial" w:hAnsi="Arial"/>
          <w:sz w:val="12"/>
          <w:szCs w:val="12"/>
          <w:color w:val="auto"/>
        </w:rPr>
        <w:t>consideration of approximately $100 million. PTI will acquire approximately 500 towers located across Mexico, Colombia and Nicaragua. The transaction is subject to customary closing conditions and is expected to close by the end of the first quarter of 2019. This sale will realize value for our stockholders and allows us to focus on growth opportunities in the United States. Uniti Towers will continue to be a significant component of our strategy to provide a full suite of solutions to wireless carriers and other customers.</w:t>
      </w:r>
    </w:p>
    <w:p>
      <w:pPr>
        <w:spacing w:after="0" w:line="125" w:lineRule="exact"/>
        <w:rPr>
          <w:sz w:val="20"/>
          <w:szCs w:val="20"/>
          <w:color w:val="auto"/>
        </w:rPr>
      </w:pPr>
    </w:p>
    <w:p>
      <w:pPr>
        <w:spacing w:after="0" w:line="254" w:lineRule="auto"/>
        <w:rPr>
          <w:sz w:val="20"/>
          <w:szCs w:val="20"/>
          <w:color w:val="auto"/>
        </w:rPr>
      </w:pPr>
      <w:r>
        <w:rPr>
          <w:rFonts w:ascii="Arial" w:cs="Arial" w:eastAsia="Arial" w:hAnsi="Arial"/>
          <w:sz w:val="12"/>
          <w:szCs w:val="12"/>
          <w:i w:val="1"/>
          <w:iCs w:val="1"/>
          <w:u w:val="single" w:color="auto"/>
          <w:color w:val="auto"/>
        </w:rPr>
        <w:t>Bluebird Network, LLC Operating Company – Property Company Transaction.</w:t>
      </w:r>
      <w:r>
        <w:rPr>
          <w:rFonts w:ascii="Arial" w:cs="Arial" w:eastAsia="Arial" w:hAnsi="Arial"/>
          <w:sz w:val="12"/>
          <w:szCs w:val="12"/>
          <w:i w:val="1"/>
          <w:iCs w:val="1"/>
          <w:color w:val="auto"/>
        </w:rPr>
        <w:t xml:space="preserve"> </w:t>
      </w:r>
      <w:r>
        <w:rPr>
          <w:rFonts w:ascii="Arial" w:cs="Arial" w:eastAsia="Arial" w:hAnsi="Arial"/>
          <w:sz w:val="12"/>
          <w:szCs w:val="12"/>
          <w:color w:val="auto"/>
        </w:rPr>
        <w:t>On January 15, 2019, the Company entered into an OpCo-PropCo transaction with Macquarie Infrastructure Partners (“MIP”) to acquire Bluebird Network,</w:t>
      </w:r>
      <w:r>
        <w:rPr>
          <w:rFonts w:ascii="Arial" w:cs="Arial" w:eastAsia="Arial" w:hAnsi="Arial"/>
          <w:sz w:val="12"/>
          <w:szCs w:val="12"/>
          <w:i w:val="1"/>
          <w:iCs w:val="1"/>
          <w:color w:val="auto"/>
        </w:rPr>
        <w:t xml:space="preserve"> </w:t>
      </w:r>
      <w:r>
        <w:rPr>
          <w:rFonts w:ascii="Arial" w:cs="Arial" w:eastAsia="Arial" w:hAnsi="Arial"/>
          <w:sz w:val="12"/>
          <w:szCs w:val="12"/>
          <w:color w:val="auto"/>
        </w:rPr>
        <w:t>LLC (“Bluebird”). MIP operates within the Macquarie Infrastructure and Real Assets ("MIRA") division of Macquarie Group. Bluebird’s network consists of approximately 178,000 fiber strand miles in the Midwest across Missouri, Kansas, Illinois and Oklahoma. In the transaction, Uniti has agreed to purchase the Bluebird fiber network and MIP has agreed to purchase the Bluebird operations. In addition, Uniti has agreed to sell Uniti Fiber’s Midwest operations to MIP, while Uniti will retain its existing Midwest fiber network. Uniti is acquiring the fiber network of Bluebird for $319 million, of which $175 million will be funded by Uniti in cash and $144 million from pre-paid rent to be received from MIP at closing. In connection with the sale of the Company’s Midwest operations, we will receive total upfront cash of approximately $37 million, including related pre-paid rent to be received from MIP at closing. These transactions are subject to regulatory and other closing conditions and are expected to close by the end of the third quarter of 2019. Concurrently with the closing of these transactions, Uniti will lease the Bluebird fiber network and its Midwest fiber network on a combined basis to MIP, under a long-term triple net lease, with initial annual cash rents of approximately $20.3 million. The lease will be reported within the results of our Leasing segment. The Midwest operations that will be sold to MIP are currently reported in our Fiber Infrastructure segment.</w:t>
      </w:r>
    </w:p>
    <w:p>
      <w:pPr>
        <w:spacing w:after="0" w:line="129" w:lineRule="exact"/>
        <w:rPr>
          <w:sz w:val="20"/>
          <w:szCs w:val="20"/>
          <w:color w:val="auto"/>
        </w:rPr>
      </w:pPr>
    </w:p>
    <w:p>
      <w:pPr>
        <w:ind w:right="240"/>
        <w:spacing w:after="0" w:line="323" w:lineRule="auto"/>
        <w:rPr>
          <w:sz w:val="20"/>
          <w:szCs w:val="20"/>
          <w:color w:val="auto"/>
        </w:rPr>
      </w:pPr>
      <w:r>
        <w:rPr>
          <w:rFonts w:ascii="Arial" w:cs="Arial" w:eastAsia="Arial" w:hAnsi="Arial"/>
          <w:sz w:val="11"/>
          <w:szCs w:val="11"/>
          <w:i w:val="1"/>
          <w:iCs w:val="1"/>
          <w:u w:val="single" w:color="auto"/>
          <w:color w:val="auto"/>
        </w:rPr>
        <w:t>Acquisition of Information Transport Solutions, Inc.</w:t>
      </w:r>
      <w:r>
        <w:rPr>
          <w:rFonts w:ascii="Arial" w:cs="Arial" w:eastAsia="Arial" w:hAnsi="Arial"/>
          <w:sz w:val="11"/>
          <w:szCs w:val="11"/>
          <w:i w:val="1"/>
          <w:iCs w:val="1"/>
          <w:color w:val="auto"/>
        </w:rPr>
        <w:t xml:space="preserve"> </w:t>
      </w:r>
      <w:r>
        <w:rPr>
          <w:rFonts w:ascii="Arial" w:cs="Arial" w:eastAsia="Arial" w:hAnsi="Arial"/>
          <w:sz w:val="11"/>
          <w:szCs w:val="11"/>
          <w:color w:val="auto"/>
        </w:rPr>
        <w:t>On October 19, 2018, we completed the acquisition of Information Transport Solutions, Inc. (“ITS”). We acquired all the outstanding membership interests of ITS for approximately</w:t>
      </w:r>
      <w:r>
        <w:rPr>
          <w:rFonts w:ascii="Arial" w:cs="Arial" w:eastAsia="Arial" w:hAnsi="Arial"/>
          <w:sz w:val="11"/>
          <w:szCs w:val="11"/>
          <w:i w:val="1"/>
          <w:iCs w:val="1"/>
          <w:color w:val="auto"/>
        </w:rPr>
        <w:t xml:space="preserve"> </w:t>
      </w:r>
      <w:r>
        <w:rPr>
          <w:rFonts w:ascii="Arial" w:cs="Arial" w:eastAsia="Arial" w:hAnsi="Arial"/>
          <w:sz w:val="11"/>
          <w:szCs w:val="11"/>
          <w:color w:val="auto"/>
        </w:rPr>
        <w:t>$59.6 million in cash, including the payoff of existing indebtedness and unpaid transaction expenses. ITS is a full-service provider of technology solutions, primarily to educational institutions in Alabama and Florida.</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32" w:name="page33"/>
    <w:bookmarkEnd w:id="3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Over 30% of ITS’s total revenue is on Uniti Fiber’s network, which is expected to increase under Uniti Fiber’s ownership. The results of operations of ITS are reflected in the Fiber Infrastructure segment beginning October 19, 2018.</w:t>
      </w:r>
    </w:p>
    <w:p>
      <w:pPr>
        <w:spacing w:after="0" w:line="162" w:lineRule="exact"/>
        <w:rPr>
          <w:sz w:val="20"/>
          <w:szCs w:val="20"/>
          <w:color w:val="auto"/>
        </w:rPr>
      </w:pPr>
    </w:p>
    <w:p>
      <w:pPr>
        <w:ind w:right="60"/>
        <w:spacing w:after="0" w:line="298" w:lineRule="auto"/>
        <w:rPr>
          <w:sz w:val="20"/>
          <w:szCs w:val="20"/>
          <w:color w:val="auto"/>
        </w:rPr>
      </w:pPr>
      <w:r>
        <w:rPr>
          <w:rFonts w:ascii="Arial" w:cs="Arial" w:eastAsia="Arial" w:hAnsi="Arial"/>
          <w:sz w:val="11"/>
          <w:szCs w:val="11"/>
          <w:i w:val="1"/>
          <w:iCs w:val="1"/>
          <w:u w:val="single" w:color="auto"/>
          <w:color w:val="auto"/>
        </w:rPr>
        <w:t>Hurricane Michael.</w:t>
      </w:r>
      <w:r>
        <w:rPr>
          <w:rFonts w:ascii="Arial" w:cs="Arial" w:eastAsia="Arial" w:hAnsi="Arial"/>
          <w:sz w:val="11"/>
          <w:szCs w:val="11"/>
          <w:i w:val="1"/>
          <w:iCs w:val="1"/>
          <w:color w:val="auto"/>
        </w:rPr>
        <w:t xml:space="preserve"> </w:t>
      </w:r>
      <w:r>
        <w:rPr>
          <w:rFonts w:ascii="Arial" w:cs="Arial" w:eastAsia="Arial" w:hAnsi="Arial"/>
          <w:sz w:val="11"/>
          <w:szCs w:val="11"/>
          <w:color w:val="auto"/>
        </w:rPr>
        <w:t>During October 2018 Hurricane Michael made landfall as a Category 4 hurricane. The storm resulted in significant damage to the Uniti Fiber network in Florida’s Bay County and surrounding areas. Shortly after</w:t>
      </w:r>
      <w:r>
        <w:rPr>
          <w:rFonts w:ascii="Arial" w:cs="Arial" w:eastAsia="Arial" w:hAnsi="Arial"/>
          <w:sz w:val="11"/>
          <w:szCs w:val="11"/>
          <w:i w:val="1"/>
          <w:iCs w:val="1"/>
          <w:color w:val="auto"/>
        </w:rPr>
        <w:t xml:space="preserve"> </w:t>
      </w:r>
      <w:r>
        <w:rPr>
          <w:rFonts w:ascii="Arial" w:cs="Arial" w:eastAsia="Arial" w:hAnsi="Arial"/>
          <w:sz w:val="11"/>
          <w:szCs w:val="11"/>
          <w:color w:val="auto"/>
        </w:rPr>
        <w:t>landfall we dedicated substantial internal and third-party resources to repair and replace the damaged network, as well as to make enhancements to the network in the impacted areas. As of December 31, 2018, we incurred $3.0 million of costs associated with the restoration efforts and wrote off $3.7 million of network assets that were destroyed. We anticipate full recovery of these costs and expense through insurance proceeds.</w:t>
      </w:r>
    </w:p>
    <w:p>
      <w:pPr>
        <w:spacing w:after="0" w:line="105" w:lineRule="exact"/>
        <w:rPr>
          <w:sz w:val="20"/>
          <w:szCs w:val="20"/>
          <w:color w:val="auto"/>
        </w:rPr>
      </w:pPr>
    </w:p>
    <w:p>
      <w:pPr>
        <w:spacing w:after="0" w:line="259" w:lineRule="auto"/>
        <w:rPr>
          <w:sz w:val="20"/>
          <w:szCs w:val="20"/>
          <w:color w:val="auto"/>
        </w:rPr>
      </w:pPr>
      <w:r>
        <w:rPr>
          <w:rFonts w:ascii="Arial" w:cs="Arial" w:eastAsia="Arial" w:hAnsi="Arial"/>
          <w:sz w:val="12"/>
          <w:szCs w:val="12"/>
          <w:i w:val="1"/>
          <w:iCs w:val="1"/>
          <w:u w:val="single" w:color="auto"/>
          <w:color w:val="auto"/>
        </w:rPr>
        <w:t>Acquisition and Lease-back of CableSouth Media, LLC Fiber Assets.</w:t>
      </w:r>
      <w:r>
        <w:rPr>
          <w:rFonts w:ascii="Arial" w:cs="Arial" w:eastAsia="Arial" w:hAnsi="Arial"/>
          <w:sz w:val="12"/>
          <w:szCs w:val="12"/>
          <w:i w:val="1"/>
          <w:iCs w:val="1"/>
          <w:color w:val="auto"/>
        </w:rPr>
        <w:t xml:space="preserve"> </w:t>
      </w:r>
      <w:r>
        <w:rPr>
          <w:rFonts w:ascii="Arial" w:cs="Arial" w:eastAsia="Arial" w:hAnsi="Arial"/>
          <w:sz w:val="12"/>
          <w:szCs w:val="12"/>
          <w:color w:val="auto"/>
        </w:rPr>
        <w:t>On October 9, 2018, we completed the acquisition of fiber assets from CableSouth Media, LLC (“CableSouth”) for cash consideration of $31 million. In the transaction,</w:t>
      </w:r>
      <w:r>
        <w:rPr>
          <w:rFonts w:ascii="Arial" w:cs="Arial" w:eastAsia="Arial" w:hAnsi="Arial"/>
          <w:sz w:val="12"/>
          <w:szCs w:val="12"/>
          <w:i w:val="1"/>
          <w:iCs w:val="1"/>
          <w:color w:val="auto"/>
        </w:rPr>
        <w:t xml:space="preserve"> </w:t>
      </w:r>
      <w:r>
        <w:rPr>
          <w:rFonts w:ascii="Arial" w:cs="Arial" w:eastAsia="Arial" w:hAnsi="Arial"/>
          <w:sz w:val="12"/>
          <w:szCs w:val="12"/>
          <w:color w:val="auto"/>
        </w:rPr>
        <w:t>Uniti acquired 43,000 fiber strand miles located across Arkansas, Louisiana and Mississippi, of which 34,000 fiber strand miles were leased back to CableSouth on a triple-net basis. Uniti has exclusive use of 9,000 fiber strand miles, which are adjacent to Uniti Fiber’s southern network footprint. The initial lease term is 20 years with four 5-year renewal options at CableSouth’s discretion. Annual cash rent is initially $2.9 million with a fixed annual escalator of 2.0%. The results of this transaction are recorded within our Leasing segment.</w:t>
      </w:r>
    </w:p>
    <w:p>
      <w:pPr>
        <w:spacing w:after="0" w:line="125" w:lineRule="exact"/>
        <w:rPr>
          <w:sz w:val="20"/>
          <w:szCs w:val="20"/>
          <w:color w:val="auto"/>
        </w:rPr>
      </w:pPr>
    </w:p>
    <w:p>
      <w:pPr>
        <w:spacing w:after="0"/>
        <w:rPr>
          <w:sz w:val="20"/>
          <w:szCs w:val="20"/>
          <w:color w:val="auto"/>
        </w:rPr>
      </w:pPr>
      <w:r>
        <w:rPr>
          <w:rFonts w:ascii="Arial" w:cs="Arial" w:eastAsia="Arial" w:hAnsi="Arial"/>
          <w:sz w:val="11"/>
          <w:szCs w:val="11"/>
          <w:i w:val="1"/>
          <w:iCs w:val="1"/>
          <w:u w:val="single" w:color="auto"/>
          <w:color w:val="auto"/>
        </w:rPr>
        <w:t>Acquisition and Lease-back of U.S. TelePacific Holding Corp. Fiber Assets.</w:t>
      </w:r>
      <w:r>
        <w:rPr>
          <w:rFonts w:ascii="Arial" w:cs="Arial" w:eastAsia="Arial" w:hAnsi="Arial"/>
          <w:sz w:val="11"/>
          <w:szCs w:val="11"/>
          <w:i w:val="1"/>
          <w:iCs w:val="1"/>
          <w:color w:val="auto"/>
        </w:rPr>
        <w:t xml:space="preserve"> </w:t>
      </w:r>
      <w:r>
        <w:rPr>
          <w:rFonts w:ascii="Arial" w:cs="Arial" w:eastAsia="Arial" w:hAnsi="Arial"/>
          <w:sz w:val="11"/>
          <w:szCs w:val="11"/>
          <w:color w:val="auto"/>
        </w:rPr>
        <w:t>On September 19, 2018, we completed the acquisition and lease-back of the California fiber assets of U.S. Telepacific Holding Corp. (“TPx”), for total cash</w:t>
      </w:r>
    </w:p>
    <w:p>
      <w:pPr>
        <w:spacing w:after="0" w:line="26" w:lineRule="exact"/>
        <w:rPr>
          <w:sz w:val="20"/>
          <w:szCs w:val="20"/>
          <w:color w:val="auto"/>
        </w:rPr>
      </w:pPr>
    </w:p>
    <w:p>
      <w:pPr>
        <w:spacing w:after="0"/>
        <w:rPr>
          <w:sz w:val="20"/>
          <w:szCs w:val="20"/>
          <w:color w:val="auto"/>
        </w:rPr>
      </w:pPr>
      <w:r>
        <w:rPr>
          <w:rFonts w:ascii="Arial" w:cs="Arial" w:eastAsia="Arial" w:hAnsi="Arial"/>
          <w:sz w:val="11"/>
          <w:szCs w:val="11"/>
          <w:color w:val="auto"/>
        </w:rPr>
        <w:t>consideration of $70 million. On May 1, 2018, we completed the acquisition and lease-back of the non-California fiber assets of TPx, which included exclusive use fiber strand miles in Texas, for total cash consideration of $25</w:t>
      </w:r>
    </w:p>
    <w:p>
      <w:pPr>
        <w:spacing w:after="0" w:line="18" w:lineRule="exact"/>
        <w:rPr>
          <w:sz w:val="20"/>
          <w:szCs w:val="20"/>
          <w:color w:val="auto"/>
        </w:rPr>
      </w:pPr>
    </w:p>
    <w:p>
      <w:pPr>
        <w:spacing w:after="0"/>
        <w:rPr>
          <w:sz w:val="20"/>
          <w:szCs w:val="20"/>
          <w:color w:val="auto"/>
        </w:rPr>
      </w:pPr>
      <w:r>
        <w:rPr>
          <w:rFonts w:ascii="Arial" w:cs="Arial" w:eastAsia="Arial" w:hAnsi="Arial"/>
          <w:sz w:val="11"/>
          <w:szCs w:val="11"/>
          <w:color w:val="auto"/>
        </w:rPr>
        <w:t>million. The initial lease term is 15 years with five 5-year renewal options at TPx’s discretion. Initial annual cash rent related to the non-California and California assets is $8.8 million with a fixed annual escalator of 1.5%. The results of</w:t>
      </w:r>
    </w:p>
    <w:p>
      <w:pPr>
        <w:spacing w:after="0" w:line="18" w:lineRule="exact"/>
        <w:rPr>
          <w:sz w:val="20"/>
          <w:szCs w:val="20"/>
          <w:color w:val="auto"/>
        </w:rPr>
      </w:pPr>
    </w:p>
    <w:p>
      <w:pPr>
        <w:spacing w:after="0"/>
        <w:rPr>
          <w:sz w:val="20"/>
          <w:szCs w:val="20"/>
          <w:color w:val="auto"/>
        </w:rPr>
      </w:pPr>
      <w:r>
        <w:rPr>
          <w:rFonts w:ascii="Arial" w:cs="Arial" w:eastAsia="Arial" w:hAnsi="Arial"/>
          <w:sz w:val="12"/>
          <w:szCs w:val="12"/>
          <w:color w:val="auto"/>
        </w:rPr>
        <w:t>these transactions are recorded within our Leasing segment.</w:t>
      </w:r>
    </w:p>
    <w:p>
      <w:pPr>
        <w:spacing w:after="0" w:line="141" w:lineRule="exact"/>
        <w:rPr>
          <w:sz w:val="20"/>
          <w:szCs w:val="20"/>
          <w:color w:val="auto"/>
        </w:rPr>
      </w:pPr>
    </w:p>
    <w:p>
      <w:pPr>
        <w:ind w:right="200"/>
        <w:spacing w:after="0" w:line="263" w:lineRule="auto"/>
        <w:rPr>
          <w:sz w:val="20"/>
          <w:szCs w:val="20"/>
          <w:color w:val="auto"/>
        </w:rPr>
      </w:pPr>
      <w:r>
        <w:rPr>
          <w:rFonts w:ascii="Arial" w:cs="Arial" w:eastAsia="Arial" w:hAnsi="Arial"/>
          <w:sz w:val="12"/>
          <w:szCs w:val="12"/>
          <w:i w:val="1"/>
          <w:iCs w:val="1"/>
          <w:u w:val="single" w:color="auto"/>
          <w:color w:val="auto"/>
        </w:rPr>
        <w:t>IRS Private Letter Ruling.</w:t>
      </w:r>
      <w:r>
        <w:rPr>
          <w:rFonts w:ascii="Arial" w:cs="Arial" w:eastAsia="Arial" w:hAnsi="Arial"/>
          <w:sz w:val="12"/>
          <w:szCs w:val="12"/>
          <w:i w:val="1"/>
          <w:iCs w:val="1"/>
          <w:color w:val="auto"/>
        </w:rPr>
        <w:t xml:space="preserve"> </w:t>
      </w:r>
      <w:r>
        <w:rPr>
          <w:rFonts w:ascii="Arial" w:cs="Arial" w:eastAsia="Arial" w:hAnsi="Arial"/>
          <w:sz w:val="12"/>
          <w:szCs w:val="12"/>
          <w:color w:val="auto"/>
        </w:rPr>
        <w:t>During July 2018, we received a favorable private letter ruling (“PLR”) from the Internal Revenue Service (“IRS”) in connection with our request for guidance to clarify the treatment of income the Company</w:t>
      </w:r>
      <w:r>
        <w:rPr>
          <w:rFonts w:ascii="Arial" w:cs="Arial" w:eastAsia="Arial" w:hAnsi="Arial"/>
          <w:sz w:val="12"/>
          <w:szCs w:val="12"/>
          <w:i w:val="1"/>
          <w:iCs w:val="1"/>
          <w:color w:val="auto"/>
        </w:rPr>
        <w:t xml:space="preserve"> </w:t>
      </w:r>
      <w:r>
        <w:rPr>
          <w:rFonts w:ascii="Arial" w:cs="Arial" w:eastAsia="Arial" w:hAnsi="Arial"/>
          <w:sz w:val="12"/>
          <w:szCs w:val="12"/>
          <w:color w:val="auto"/>
        </w:rPr>
        <w:t>receives from certain communication infrastructure assets. In the PLR, the IRS addressed and favorably ruled that the revenues generated from certain communication infrastructure assets that presently are part of our TRSs would be considered rent from real property.</w:t>
      </w:r>
    </w:p>
    <w:p>
      <w:pPr>
        <w:spacing w:after="0" w:line="123" w:lineRule="exact"/>
        <w:rPr>
          <w:sz w:val="20"/>
          <w:szCs w:val="20"/>
          <w:color w:val="auto"/>
        </w:rPr>
      </w:pPr>
    </w:p>
    <w:p>
      <w:pPr>
        <w:ind w:right="60"/>
        <w:spacing w:after="0" w:line="290" w:lineRule="auto"/>
        <w:rPr>
          <w:sz w:val="20"/>
          <w:szCs w:val="20"/>
          <w:color w:val="auto"/>
        </w:rPr>
      </w:pPr>
      <w:r>
        <w:rPr>
          <w:rFonts w:ascii="Arial" w:cs="Arial" w:eastAsia="Arial" w:hAnsi="Arial"/>
          <w:sz w:val="11"/>
          <w:szCs w:val="11"/>
          <w:i w:val="1"/>
          <w:iCs w:val="1"/>
          <w:u w:val="single" w:color="auto"/>
          <w:color w:val="auto"/>
        </w:rPr>
        <w:t>Dark Fiber Acquisition and Anchor Tenant Lease.</w:t>
      </w:r>
      <w:r>
        <w:rPr>
          <w:rFonts w:ascii="Arial" w:cs="Arial" w:eastAsia="Arial" w:hAnsi="Arial"/>
          <w:sz w:val="11"/>
          <w:szCs w:val="11"/>
          <w:i w:val="1"/>
          <w:iCs w:val="1"/>
          <w:color w:val="auto"/>
        </w:rPr>
        <w:t xml:space="preserve"> </w:t>
      </w:r>
      <w:r>
        <w:rPr>
          <w:rFonts w:ascii="Arial" w:cs="Arial" w:eastAsia="Arial" w:hAnsi="Arial"/>
          <w:sz w:val="11"/>
          <w:szCs w:val="11"/>
          <w:color w:val="auto"/>
        </w:rPr>
        <w:t>On May 10, 2018, the Company acquired from CenturyLink, Inc. 30 long-haul intercity dark fiber routes totaling 11,000 route miles and 270,000 fiber strand miles across 25 states. This</w:t>
      </w:r>
      <w:r>
        <w:rPr>
          <w:rFonts w:ascii="Arial" w:cs="Arial" w:eastAsia="Arial" w:hAnsi="Arial"/>
          <w:sz w:val="11"/>
          <w:szCs w:val="11"/>
          <w:i w:val="1"/>
          <w:iCs w:val="1"/>
          <w:color w:val="auto"/>
        </w:rPr>
        <w:t xml:space="preserve"> </w:t>
      </w:r>
      <w:r>
        <w:rPr>
          <w:rFonts w:ascii="Arial" w:cs="Arial" w:eastAsia="Arial" w:hAnsi="Arial"/>
          <w:sz w:val="11"/>
          <w:szCs w:val="11"/>
          <w:color w:val="auto"/>
        </w:rPr>
        <w:t>transaction was approved by the U.S. Department of Justice as a condition of the merger between CenturyLink, Inc. and Level 3 Communications, Inc., and adds attractive, high demand assets to Uniti Leasing. Simultaneously with this purchase, the Company executed an anchor tenant lease with a Fortune 100 company for 11% of the fiber strand miles. During August 2018, the Company executed a lease agreement with a national multiple system operator (“MSO”) on existing Uniti Leasing fiber. The lease term will be 20 years covering approximately 9,900 route miles or 41,000 fiber strand miles. Annual results related to the agreements are reported within our Leasing segment.</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Comparison of the years ended December 31, 2018 and 2017</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tables sets forth, for the periods indicated, our results of operations expressed as dollars and as a percentage of total revenues:</w:t>
      </w:r>
    </w:p>
    <w:p>
      <w:pPr>
        <w:spacing w:after="0" w:line="294"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33" w:name="page34"/>
    <w:bookmarkEnd w:id="3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tbl>
      <w:tblPr>
        <w:tblLayout w:type="fixed"/>
        <w:tblInd w:w="0" w:type="dxa"/>
        <w:tblCellMar>
          <w:top w:w="0" w:type="dxa"/>
          <w:left w:w="0" w:type="dxa"/>
          <w:bottom w:w="0" w:type="dxa"/>
          <w:right w:w="0" w:type="dxa"/>
        </w:tblCellMar>
      </w:tblPr>
      <w:tr>
        <w:trPr>
          <w:trHeight w:val="109"/>
        </w:trPr>
        <w:tc>
          <w:tcPr>
            <w:tcW w:w="20" w:type="dxa"/>
            <w:vAlign w:val="bottom"/>
          </w:tcPr>
          <w:p>
            <w:pPr>
              <w:spacing w:after="0"/>
              <w:rPr>
                <w:sz w:val="9"/>
                <w:szCs w:val="9"/>
                <w:color w:val="auto"/>
              </w:rPr>
            </w:pPr>
          </w:p>
        </w:tc>
        <w:tc>
          <w:tcPr>
            <w:tcW w:w="4140" w:type="dxa"/>
            <w:vAlign w:val="bottom"/>
          </w:tcPr>
          <w:p>
            <w:pPr>
              <w:spacing w:after="0"/>
              <w:rPr>
                <w:sz w:val="9"/>
                <w:szCs w:val="9"/>
                <w:color w:val="auto"/>
              </w:rPr>
            </w:pPr>
          </w:p>
        </w:tc>
        <w:tc>
          <w:tcPr>
            <w:tcW w:w="180" w:type="dxa"/>
            <w:vAlign w:val="bottom"/>
          </w:tcPr>
          <w:p>
            <w:pPr>
              <w:spacing w:after="0"/>
              <w:rPr>
                <w:sz w:val="9"/>
                <w:szCs w:val="9"/>
                <w:color w:val="auto"/>
              </w:rPr>
            </w:pPr>
          </w:p>
        </w:tc>
        <w:tc>
          <w:tcPr>
            <w:tcW w:w="76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gridSpan w:val="3"/>
          </w:tcPr>
          <w:p>
            <w:pPr>
              <w:jc w:val="center"/>
              <w:ind w:left="471"/>
              <w:spacing w:after="0" w:line="109" w:lineRule="exact"/>
              <w:rPr>
                <w:sz w:val="20"/>
                <w:szCs w:val="20"/>
                <w:color w:val="auto"/>
              </w:rPr>
            </w:pPr>
            <w:r>
              <w:rPr>
                <w:rFonts w:ascii="Arial" w:cs="Arial" w:eastAsia="Arial" w:hAnsi="Arial"/>
                <w:sz w:val="10"/>
                <w:szCs w:val="10"/>
                <w:b w:val="1"/>
                <w:bCs w:val="1"/>
                <w:color w:val="auto"/>
                <w:w w:val="87"/>
              </w:rPr>
              <w:t>Year Ended</w:t>
            </w:r>
          </w:p>
        </w:tc>
        <w:tc>
          <w:tcPr>
            <w:tcW w:w="5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jc w:val="right"/>
              <w:ind w:right="102"/>
              <w:spacing w:after="0" w:line="109" w:lineRule="exact"/>
              <w:rPr>
                <w:sz w:val="20"/>
                <w:szCs w:val="20"/>
                <w:color w:val="auto"/>
              </w:rPr>
            </w:pPr>
            <w:r>
              <w:rPr>
                <w:rFonts w:ascii="Arial" w:cs="Arial" w:eastAsia="Arial" w:hAnsi="Arial"/>
                <w:sz w:val="10"/>
                <w:szCs w:val="10"/>
                <w:b w:val="1"/>
                <w:bCs w:val="1"/>
                <w:color w:val="auto"/>
              </w:rPr>
              <w:t>% of</w:t>
            </w: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jc w:val="right"/>
              <w:ind w:right="162"/>
              <w:spacing w:after="0" w:line="109" w:lineRule="exact"/>
              <w:rPr>
                <w:sz w:val="20"/>
                <w:szCs w:val="20"/>
                <w:color w:val="auto"/>
              </w:rPr>
            </w:pPr>
            <w:r>
              <w:rPr>
                <w:rFonts w:ascii="Arial" w:cs="Arial" w:eastAsia="Arial" w:hAnsi="Arial"/>
                <w:sz w:val="10"/>
                <w:szCs w:val="10"/>
                <w:b w:val="1"/>
                <w:bCs w:val="1"/>
                <w:color w:val="auto"/>
              </w:rPr>
              <w:t>Year Ended</w:t>
            </w: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80" w:type="dxa"/>
            <w:vAlign w:val="bottom"/>
            <w:gridSpan w:val="3"/>
          </w:tcPr>
          <w:p>
            <w:pPr>
              <w:jc w:val="right"/>
              <w:ind w:right="380"/>
              <w:spacing w:after="0" w:line="109" w:lineRule="exact"/>
              <w:rPr>
                <w:sz w:val="20"/>
                <w:szCs w:val="20"/>
                <w:color w:val="auto"/>
              </w:rPr>
            </w:pPr>
            <w:r>
              <w:rPr>
                <w:rFonts w:ascii="Arial" w:cs="Arial" w:eastAsia="Arial" w:hAnsi="Arial"/>
                <w:sz w:val="10"/>
                <w:szCs w:val="10"/>
                <w:b w:val="1"/>
                <w:bCs w:val="1"/>
                <w:color w:val="auto"/>
              </w:rPr>
              <w:t>% of</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4"/>
        </w:trPr>
        <w:tc>
          <w:tcPr>
            <w:tcW w:w="4160" w:type="dxa"/>
            <w:vAlign w:val="bottom"/>
            <w:gridSpan w:val="2"/>
          </w:tcPr>
          <w:p>
            <w:pPr>
              <w:spacing w:after="0" w:line="114" w:lineRule="exact"/>
              <w:rPr>
                <w:sz w:val="20"/>
                <w:szCs w:val="20"/>
                <w:color w:val="auto"/>
              </w:rPr>
            </w:pPr>
            <w:r>
              <w:rPr>
                <w:rFonts w:ascii="Arial" w:cs="Arial" w:eastAsia="Arial" w:hAnsi="Arial"/>
                <w:sz w:val="10"/>
                <w:szCs w:val="10"/>
                <w:color w:val="auto"/>
              </w:rPr>
              <w:t>(Thousands)</w:t>
            </w:r>
          </w:p>
        </w:tc>
        <w:tc>
          <w:tcPr>
            <w:tcW w:w="180" w:type="dxa"/>
            <w:vAlign w:val="bottom"/>
          </w:tcPr>
          <w:p>
            <w:pPr>
              <w:spacing w:after="0"/>
              <w:rPr>
                <w:sz w:val="9"/>
                <w:szCs w:val="9"/>
                <w:color w:val="auto"/>
              </w:rPr>
            </w:pPr>
          </w:p>
        </w:tc>
        <w:tc>
          <w:tcPr>
            <w:tcW w:w="76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20" w:type="dxa"/>
            <w:vAlign w:val="bottom"/>
            <w:gridSpan w:val="7"/>
          </w:tcPr>
          <w:p>
            <w:pPr>
              <w:jc w:val="center"/>
              <w:ind w:right="400"/>
              <w:spacing w:after="0" w:line="114" w:lineRule="exact"/>
              <w:rPr>
                <w:sz w:val="20"/>
                <w:szCs w:val="20"/>
                <w:color w:val="auto"/>
              </w:rPr>
            </w:pPr>
            <w:r>
              <w:rPr>
                <w:rFonts w:ascii="Arial" w:cs="Arial" w:eastAsia="Arial" w:hAnsi="Arial"/>
                <w:sz w:val="10"/>
                <w:szCs w:val="10"/>
                <w:b w:val="1"/>
                <w:bCs w:val="1"/>
                <w:color w:val="auto"/>
                <w:w w:val="86"/>
              </w:rPr>
              <w:t>December 31, 2018</w:t>
            </w:r>
          </w:p>
        </w:tc>
        <w:tc>
          <w:tcPr>
            <w:tcW w:w="500" w:type="dxa"/>
            <w:vAlign w:val="bottom"/>
          </w:tcPr>
          <w:p>
            <w:pPr>
              <w:jc w:val="right"/>
              <w:ind w:right="2"/>
              <w:spacing w:after="0" w:line="114" w:lineRule="exact"/>
              <w:rPr>
                <w:sz w:val="20"/>
                <w:szCs w:val="20"/>
                <w:color w:val="auto"/>
              </w:rPr>
            </w:pPr>
            <w:r>
              <w:rPr>
                <w:rFonts w:ascii="Arial" w:cs="Arial" w:eastAsia="Arial" w:hAnsi="Arial"/>
                <w:sz w:val="10"/>
                <w:szCs w:val="10"/>
                <w:b w:val="1"/>
                <w:bCs w:val="1"/>
                <w:color w:val="auto"/>
                <w:w w:val="88"/>
              </w:rPr>
              <w:t>Revenues</w:t>
            </w: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jc w:val="right"/>
              <w:ind w:right="22"/>
              <w:spacing w:after="0" w:line="114" w:lineRule="exact"/>
              <w:rPr>
                <w:sz w:val="20"/>
                <w:szCs w:val="20"/>
                <w:color w:val="auto"/>
              </w:rPr>
            </w:pPr>
            <w:r>
              <w:rPr>
                <w:rFonts w:ascii="Arial" w:cs="Arial" w:eastAsia="Arial" w:hAnsi="Arial"/>
                <w:sz w:val="10"/>
                <w:szCs w:val="10"/>
                <w:b w:val="1"/>
                <w:bCs w:val="1"/>
                <w:color w:val="auto"/>
                <w:w w:val="86"/>
              </w:rPr>
              <w:t>December 31, 2017</w:t>
            </w: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80" w:type="dxa"/>
            <w:vAlign w:val="bottom"/>
            <w:gridSpan w:val="3"/>
          </w:tcPr>
          <w:p>
            <w:pPr>
              <w:ind w:left="200"/>
              <w:spacing w:after="0" w:line="114" w:lineRule="exact"/>
              <w:rPr>
                <w:sz w:val="20"/>
                <w:szCs w:val="20"/>
                <w:color w:val="auto"/>
              </w:rPr>
            </w:pPr>
            <w:r>
              <w:rPr>
                <w:rFonts w:ascii="Arial" w:cs="Arial" w:eastAsia="Arial" w:hAnsi="Arial"/>
                <w:sz w:val="10"/>
                <w:szCs w:val="10"/>
                <w:b w:val="1"/>
                <w:bCs w:val="1"/>
                <w:color w:val="auto"/>
              </w:rPr>
              <w:t>Revenues</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tcBorders>
              <w:top w:val="single" w:sz="8" w:color="auto"/>
              <w:right w:val="single" w:sz="8" w:color="CFF0FC"/>
            </w:tcBorders>
            <w:shd w:val="clear" w:color="auto" w:fill="CFF0FC"/>
          </w:tcPr>
          <w:p>
            <w:pPr>
              <w:spacing w:after="0"/>
              <w:rPr>
                <w:sz w:val="20"/>
                <w:szCs w:val="20"/>
                <w:color w:val="auto"/>
              </w:rPr>
            </w:pPr>
            <w:r>
              <w:rPr>
                <w:rFonts w:ascii="Arial" w:cs="Arial" w:eastAsia="Arial" w:hAnsi="Arial"/>
                <w:sz w:val="12"/>
                <w:szCs w:val="12"/>
                <w:b w:val="1"/>
                <w:bCs w:val="1"/>
                <w:color w:val="auto"/>
              </w:rPr>
              <w:t>Revenues:</w:t>
            </w:r>
          </w:p>
        </w:tc>
        <w:tc>
          <w:tcPr>
            <w:tcW w:w="180" w:type="dxa"/>
            <w:vAlign w:val="bottom"/>
            <w:tcBorders>
              <w:top w:val="single" w:sz="8" w:color="auto"/>
            </w:tcBorders>
            <w:shd w:val="clear" w:color="auto" w:fill="CFF0FC"/>
          </w:tcPr>
          <w:p>
            <w:pPr>
              <w:spacing w:after="0"/>
              <w:rPr>
                <w:sz w:val="12"/>
                <w:szCs w:val="12"/>
                <w:color w:val="auto"/>
              </w:rPr>
            </w:pPr>
          </w:p>
        </w:tc>
        <w:tc>
          <w:tcPr>
            <w:tcW w:w="76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66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54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880" w:type="dxa"/>
            <w:vAlign w:val="bottom"/>
            <w:tcBorders>
              <w:top w:val="single" w:sz="8" w:color="auto"/>
              <w:right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auto"/>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66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140"/>
              <w:spacing w:after="0"/>
              <w:rPr>
                <w:sz w:val="20"/>
                <w:szCs w:val="20"/>
                <w:color w:val="auto"/>
              </w:rPr>
            </w:pPr>
            <w:r>
              <w:rPr>
                <w:rFonts w:ascii="Arial" w:cs="Arial" w:eastAsia="Arial" w:hAnsi="Arial"/>
                <w:sz w:val="12"/>
                <w:szCs w:val="12"/>
                <w:color w:val="auto"/>
              </w:rPr>
              <w:t>Leasing</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gridSpan w:val="3"/>
          </w:tcPr>
          <w:p>
            <w:pPr>
              <w:jc w:val="right"/>
              <w:ind w:right="551"/>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699,847</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88"/>
              </w:rPr>
              <w:t>68.8%</w:t>
            </w:r>
          </w:p>
        </w:tc>
        <w:tc>
          <w:tcPr>
            <w:tcW w:w="580" w:type="dxa"/>
            <w:vAlign w:val="bottom"/>
            <w:gridSpan w:val="3"/>
          </w:tcPr>
          <w:p>
            <w:pPr>
              <w:jc w:val="right"/>
              <w:ind w:right="16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20" w:type="dxa"/>
            <w:vAlign w:val="bottom"/>
            <w:gridSpan w:val="3"/>
          </w:tcPr>
          <w:p>
            <w:pPr>
              <w:jc w:val="right"/>
              <w:spacing w:after="0"/>
              <w:rPr>
                <w:sz w:val="20"/>
                <w:szCs w:val="20"/>
                <w:color w:val="auto"/>
              </w:rPr>
            </w:pPr>
            <w:r>
              <w:rPr>
                <w:rFonts w:ascii="Arial" w:cs="Arial" w:eastAsia="Arial" w:hAnsi="Arial"/>
                <w:sz w:val="12"/>
                <w:szCs w:val="12"/>
                <w:color w:val="auto"/>
              </w:rPr>
              <w:t>685,099</w:t>
            </w:r>
          </w:p>
        </w:tc>
        <w:tc>
          <w:tcPr>
            <w:tcW w:w="80" w:type="dxa"/>
            <w:vAlign w:val="bottom"/>
          </w:tcPr>
          <w:p>
            <w:pPr>
              <w:spacing w:after="0"/>
              <w:rPr>
                <w:sz w:val="13"/>
                <w:szCs w:val="13"/>
                <w:color w:val="auto"/>
              </w:rPr>
            </w:pP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88"/>
              </w:rPr>
              <w:t>74.8%</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Fiber Infrastructure</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289,239</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8"/>
              </w:rPr>
              <w:t>28.4%</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88"/>
              </w:rPr>
              <w:t>22.1%</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140"/>
              <w:spacing w:after="0"/>
              <w:rPr>
                <w:sz w:val="20"/>
                <w:szCs w:val="20"/>
                <w:color w:val="auto"/>
              </w:rPr>
            </w:pPr>
            <w:r>
              <w:rPr>
                <w:rFonts w:ascii="Arial" w:cs="Arial" w:eastAsia="Arial" w:hAnsi="Arial"/>
                <w:sz w:val="12"/>
                <w:szCs w:val="12"/>
                <w:color w:val="auto"/>
              </w:rPr>
              <w:t>Tower</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14,617</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1.4%</w:t>
            </w: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40" w:type="dxa"/>
            <w:vAlign w:val="bottom"/>
            <w:gridSpan w:val="2"/>
          </w:tcPr>
          <w:p>
            <w:pPr>
              <w:jc w:val="right"/>
              <w:spacing w:after="0"/>
              <w:rPr>
                <w:sz w:val="20"/>
                <w:szCs w:val="20"/>
                <w:color w:val="auto"/>
              </w:rPr>
            </w:pPr>
            <w:r>
              <w:rPr>
                <w:rFonts w:ascii="Arial" w:cs="Arial" w:eastAsia="Arial" w:hAnsi="Arial"/>
                <w:sz w:val="12"/>
                <w:szCs w:val="12"/>
                <w:color w:val="auto"/>
                <w:w w:val="81"/>
              </w:rPr>
              <w:t>10,055</w:t>
            </w:r>
          </w:p>
        </w:tc>
        <w:tc>
          <w:tcPr>
            <w:tcW w:w="80" w:type="dxa"/>
            <w:vAlign w:val="bottom"/>
          </w:tcPr>
          <w:p>
            <w:pPr>
              <w:spacing w:after="0"/>
              <w:rPr>
                <w:sz w:val="13"/>
                <w:szCs w:val="13"/>
                <w:color w:val="auto"/>
              </w:rPr>
            </w:pP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4"/>
              </w:rPr>
              <w:t>1.1%</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Consumer CLEC</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tcBorders>
              <w:bottom w:val="single" w:sz="8" w:color="auto"/>
            </w:tcBorders>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spacing w:after="0"/>
              <w:rPr>
                <w:sz w:val="13"/>
                <w:szCs w:val="13"/>
                <w:color w:val="auto"/>
              </w:rPr>
            </w:pP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13,931</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spacing w:after="0"/>
              <w:rPr>
                <w:sz w:val="13"/>
                <w:szCs w:val="13"/>
                <w:color w:val="auto"/>
              </w:rPr>
            </w:pPr>
          </w:p>
        </w:tc>
        <w:tc>
          <w:tcPr>
            <w:tcW w:w="50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94"/>
              </w:rPr>
              <w:t>1.4%</w:t>
            </w:r>
          </w:p>
        </w:tc>
        <w:tc>
          <w:tcPr>
            <w:tcW w:w="160" w:type="dxa"/>
            <w:vAlign w:val="bottom"/>
            <w:tcBorders>
              <w:bottom w:val="single" w:sz="8" w:color="auto"/>
            </w:tcBorders>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tcBorders>
              <w:bottom w:val="single" w:sz="8" w:color="auto"/>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spacing w:after="0"/>
              <w:rPr>
                <w:sz w:val="13"/>
                <w:szCs w:val="13"/>
                <w:color w:val="auto"/>
              </w:rPr>
            </w:pPr>
          </w:p>
        </w:tc>
        <w:tc>
          <w:tcPr>
            <w:tcW w:w="880" w:type="dxa"/>
            <w:vAlign w:val="bottom"/>
            <w:tcBorders>
              <w:bottom w:val="single" w:sz="8" w:color="auto"/>
              <w:right w:val="single" w:sz="8" w:color="CFF0FC"/>
            </w:tcBorders>
            <w:shd w:val="clear" w:color="auto" w:fill="CFF0FC"/>
          </w:tcPr>
          <w:p>
            <w:pPr>
              <w:spacing w:after="0"/>
              <w:rPr>
                <w:sz w:val="13"/>
                <w:szCs w:val="13"/>
                <w:color w:val="auto"/>
              </w:rPr>
            </w:pPr>
          </w:p>
        </w:tc>
        <w:tc>
          <w:tcPr>
            <w:tcW w:w="3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2"/>
                <w:szCs w:val="12"/>
                <w:color w:val="auto"/>
                <w:w w:val="81"/>
              </w:rPr>
              <w:t>18,087</w:t>
            </w:r>
          </w:p>
        </w:tc>
        <w:tc>
          <w:tcPr>
            <w:tcW w:w="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tcBorders>
              <w:bottom w:val="single" w:sz="8" w:color="auto"/>
            </w:tcBorders>
            <w:shd w:val="clear" w:color="auto" w:fill="CFF0FC"/>
          </w:tcPr>
          <w:p>
            <w:pPr>
              <w:jc w:val="center"/>
              <w:ind w:left="65"/>
              <w:spacing w:after="0"/>
              <w:rPr>
                <w:sz w:val="20"/>
                <w:szCs w:val="20"/>
                <w:color w:val="auto"/>
              </w:rPr>
            </w:pPr>
            <w:r>
              <w:rPr>
                <w:rFonts w:ascii="Arial" w:cs="Arial" w:eastAsia="Arial" w:hAnsi="Arial"/>
                <w:sz w:val="12"/>
                <w:szCs w:val="12"/>
                <w:color w:val="auto"/>
                <w:w w:val="94"/>
              </w:rPr>
              <w:t>2.0%</w:t>
            </w:r>
          </w:p>
        </w:tc>
        <w:tc>
          <w:tcPr>
            <w:tcW w:w="140" w:type="dxa"/>
            <w:vAlign w:val="bottom"/>
            <w:tcBorders>
              <w:bottom w:val="single" w:sz="8" w:color="auto"/>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tcPr>
          <w:p>
            <w:pPr>
              <w:ind w:left="300"/>
              <w:spacing w:after="0"/>
              <w:rPr>
                <w:sz w:val="20"/>
                <w:szCs w:val="20"/>
                <w:color w:val="auto"/>
              </w:rPr>
            </w:pPr>
            <w:r>
              <w:rPr>
                <w:rFonts w:ascii="Arial" w:cs="Arial" w:eastAsia="Arial" w:hAnsi="Arial"/>
                <w:sz w:val="12"/>
                <w:szCs w:val="12"/>
                <w:color w:val="auto"/>
              </w:rPr>
              <w:t>Total revenues</w:t>
            </w: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w w:val="97"/>
              </w:rPr>
              <w:t>1,017,634</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3"/>
              </w:rPr>
              <w:t>100.0%</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gridSpan w:val="3"/>
          </w:tcPr>
          <w:p>
            <w:pPr>
              <w:jc w:val="right"/>
              <w:spacing w:after="0"/>
              <w:rPr>
                <w:sz w:val="20"/>
                <w:szCs w:val="20"/>
                <w:color w:val="auto"/>
              </w:rPr>
            </w:pPr>
            <w:r>
              <w:rPr>
                <w:rFonts w:ascii="Arial" w:cs="Arial" w:eastAsia="Arial" w:hAnsi="Arial"/>
                <w:sz w:val="12"/>
                <w:szCs w:val="12"/>
                <w:color w:val="auto"/>
              </w:rPr>
              <w:t>916,032</w:t>
            </w:r>
          </w:p>
        </w:tc>
        <w:tc>
          <w:tcPr>
            <w:tcW w:w="80" w:type="dxa"/>
            <w:vAlign w:val="bottom"/>
          </w:tcPr>
          <w:p>
            <w:pPr>
              <w:spacing w:after="0"/>
              <w:rPr>
                <w:sz w:val="12"/>
                <w:szCs w:val="12"/>
                <w:color w:val="auto"/>
              </w:rPr>
            </w:pP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3"/>
              </w:rPr>
              <w:t>100.0%</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140" w:type="dxa"/>
            <w:vAlign w:val="bottom"/>
            <w:tcBorders>
              <w:right w:val="single" w:sz="8" w:color="CFF0FC"/>
            </w:tcBorders>
            <w:shd w:val="clear" w:color="auto" w:fill="CFF0FC"/>
          </w:tcPr>
          <w:p>
            <w:pPr>
              <w:spacing w:after="0"/>
              <w:rPr>
                <w:sz w:val="20"/>
                <w:szCs w:val="20"/>
                <w:color w:val="auto"/>
              </w:rPr>
            </w:pPr>
            <w:r>
              <w:rPr>
                <w:rFonts w:ascii="Arial" w:cs="Arial" w:eastAsia="Arial" w:hAnsi="Arial"/>
                <w:sz w:val="12"/>
                <w:szCs w:val="12"/>
                <w:b w:val="1"/>
                <w:bCs w:val="1"/>
                <w:color w:val="auto"/>
              </w:rPr>
              <w:t>Costs and Expenses:</w:t>
            </w:r>
          </w:p>
        </w:tc>
        <w:tc>
          <w:tcPr>
            <w:tcW w:w="1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8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140"/>
              <w:spacing w:after="0"/>
              <w:rPr>
                <w:sz w:val="20"/>
                <w:szCs w:val="20"/>
                <w:color w:val="auto"/>
              </w:rPr>
            </w:pPr>
            <w:r>
              <w:rPr>
                <w:rFonts w:ascii="Arial" w:cs="Arial" w:eastAsia="Arial" w:hAnsi="Arial"/>
                <w:sz w:val="12"/>
                <w:szCs w:val="12"/>
                <w:color w:val="auto"/>
              </w:rPr>
              <w:t>Interest expense, net</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319,591</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88"/>
              </w:rPr>
              <w:t>31.4%</w:t>
            </w: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20" w:type="dxa"/>
            <w:vAlign w:val="bottom"/>
            <w:gridSpan w:val="3"/>
          </w:tcPr>
          <w:p>
            <w:pPr>
              <w:jc w:val="right"/>
              <w:spacing w:after="0"/>
              <w:rPr>
                <w:sz w:val="20"/>
                <w:szCs w:val="20"/>
                <w:color w:val="auto"/>
              </w:rPr>
            </w:pPr>
            <w:r>
              <w:rPr>
                <w:rFonts w:ascii="Arial" w:cs="Arial" w:eastAsia="Arial" w:hAnsi="Arial"/>
                <w:sz w:val="12"/>
                <w:szCs w:val="12"/>
                <w:color w:val="auto"/>
              </w:rPr>
              <w:t>305,994</w:t>
            </w:r>
          </w:p>
        </w:tc>
        <w:tc>
          <w:tcPr>
            <w:tcW w:w="80" w:type="dxa"/>
            <w:vAlign w:val="bottom"/>
          </w:tcPr>
          <w:p>
            <w:pPr>
              <w:spacing w:after="0"/>
              <w:rPr>
                <w:sz w:val="13"/>
                <w:szCs w:val="13"/>
                <w:color w:val="auto"/>
              </w:rPr>
            </w:pP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88"/>
              </w:rPr>
              <w:t>33.4%</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Depreciation and amortization</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451,750</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8"/>
              </w:rPr>
              <w:t>44.4%</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434,205</w:t>
            </w: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88"/>
              </w:rPr>
              <w:t>47.4%</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140"/>
              <w:spacing w:after="0"/>
              <w:rPr>
                <w:sz w:val="20"/>
                <w:szCs w:val="20"/>
                <w:color w:val="auto"/>
              </w:rPr>
            </w:pPr>
            <w:r>
              <w:rPr>
                <w:rFonts w:ascii="Arial" w:cs="Arial" w:eastAsia="Arial" w:hAnsi="Arial"/>
                <w:sz w:val="12"/>
                <w:szCs w:val="12"/>
                <w:color w:val="auto"/>
              </w:rPr>
              <w:t>General and administrative expense</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85,198</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8.4%</w:t>
            </w: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40" w:type="dxa"/>
            <w:vAlign w:val="bottom"/>
            <w:gridSpan w:val="2"/>
          </w:tcPr>
          <w:p>
            <w:pPr>
              <w:jc w:val="right"/>
              <w:spacing w:after="0"/>
              <w:rPr>
                <w:sz w:val="20"/>
                <w:szCs w:val="20"/>
                <w:color w:val="auto"/>
              </w:rPr>
            </w:pPr>
            <w:r>
              <w:rPr>
                <w:rFonts w:ascii="Arial" w:cs="Arial" w:eastAsia="Arial" w:hAnsi="Arial"/>
                <w:sz w:val="12"/>
                <w:szCs w:val="12"/>
                <w:color w:val="auto"/>
                <w:w w:val="81"/>
              </w:rPr>
              <w:t>72,045</w:t>
            </w:r>
          </w:p>
        </w:tc>
        <w:tc>
          <w:tcPr>
            <w:tcW w:w="80" w:type="dxa"/>
            <w:vAlign w:val="bottom"/>
          </w:tcPr>
          <w:p>
            <w:pPr>
              <w:spacing w:after="0"/>
              <w:rPr>
                <w:sz w:val="13"/>
                <w:szCs w:val="13"/>
                <w:color w:val="auto"/>
              </w:rPr>
            </w:pP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4"/>
              </w:rPr>
              <w:t>7.9%</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Operating expense (exclusive of depreciation and amortization)</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137,065</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8"/>
              </w:rPr>
              <w:t>13.4%</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102,176</w:t>
            </w: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88"/>
              </w:rPr>
              <w:t>11.2%</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140"/>
              <w:spacing w:after="0"/>
              <w:rPr>
                <w:sz w:val="20"/>
                <w:szCs w:val="20"/>
                <w:color w:val="auto"/>
              </w:rPr>
            </w:pPr>
            <w:r>
              <w:rPr>
                <w:rFonts w:ascii="Arial" w:cs="Arial" w:eastAsia="Arial" w:hAnsi="Arial"/>
                <w:sz w:val="12"/>
                <w:szCs w:val="12"/>
                <w:color w:val="auto"/>
              </w:rPr>
              <w:t>Transaction related costs</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17,410</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1.7%</w:t>
            </w: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40" w:type="dxa"/>
            <w:vAlign w:val="bottom"/>
            <w:gridSpan w:val="2"/>
          </w:tcPr>
          <w:p>
            <w:pPr>
              <w:jc w:val="right"/>
              <w:spacing w:after="0"/>
              <w:rPr>
                <w:sz w:val="20"/>
                <w:szCs w:val="20"/>
                <w:color w:val="auto"/>
              </w:rPr>
            </w:pPr>
            <w:r>
              <w:rPr>
                <w:rFonts w:ascii="Arial" w:cs="Arial" w:eastAsia="Arial" w:hAnsi="Arial"/>
                <w:sz w:val="12"/>
                <w:szCs w:val="12"/>
                <w:color w:val="auto"/>
                <w:w w:val="81"/>
              </w:rPr>
              <w:t>38,005</w:t>
            </w:r>
          </w:p>
        </w:tc>
        <w:tc>
          <w:tcPr>
            <w:tcW w:w="80" w:type="dxa"/>
            <w:vAlign w:val="bottom"/>
          </w:tcPr>
          <w:p>
            <w:pPr>
              <w:spacing w:after="0"/>
              <w:rPr>
                <w:sz w:val="13"/>
                <w:szCs w:val="13"/>
                <w:color w:val="auto"/>
              </w:rPr>
            </w:pP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4"/>
              </w:rPr>
              <w:t>4.1%</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Other (income) expense</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(4,504)</w:t>
            </w: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6"/>
              </w:rPr>
              <w:t>(0.4%)</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spacing w:after="0"/>
              <w:rPr>
                <w:sz w:val="13"/>
                <w:szCs w:val="13"/>
                <w:color w:val="auto"/>
              </w:rPr>
            </w:pP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w w:val="81"/>
              </w:rPr>
              <w:t>11,284</w:t>
            </w: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94"/>
              </w:rPr>
              <w:t>1.2%</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tcBorders>
              <w:bottom w:val="single" w:sz="8" w:color="CFF0FC"/>
            </w:tcBorders>
          </w:tcPr>
          <w:p>
            <w:pPr>
              <w:ind w:left="300"/>
              <w:spacing w:after="0"/>
              <w:rPr>
                <w:sz w:val="20"/>
                <w:szCs w:val="20"/>
                <w:color w:val="auto"/>
              </w:rPr>
            </w:pPr>
            <w:r>
              <w:rPr>
                <w:rFonts w:ascii="Arial" w:cs="Arial" w:eastAsia="Arial" w:hAnsi="Arial"/>
                <w:sz w:val="12"/>
                <w:szCs w:val="12"/>
                <w:color w:val="auto"/>
              </w:rPr>
              <w:t>Total costs and expenses</w:t>
            </w:r>
          </w:p>
        </w:tc>
        <w:tc>
          <w:tcPr>
            <w:tcW w:w="180" w:type="dxa"/>
            <w:vAlign w:val="bottom"/>
            <w:tcBorders>
              <w:bottom w:val="single" w:sz="8" w:color="CFF0FC"/>
            </w:tcBorders>
          </w:tcPr>
          <w:p>
            <w:pPr>
              <w:spacing w:after="0"/>
              <w:rPr>
                <w:sz w:val="12"/>
                <w:szCs w:val="12"/>
                <w:color w:val="auto"/>
              </w:rPr>
            </w:pPr>
          </w:p>
        </w:tc>
        <w:tc>
          <w:tcPr>
            <w:tcW w:w="760" w:type="dxa"/>
            <w:vAlign w:val="bottom"/>
            <w:tcBorders>
              <w:bottom w:val="single" w:sz="8" w:color="CFF0FC"/>
            </w:tcBorders>
          </w:tcPr>
          <w:p>
            <w:pPr>
              <w:spacing w:after="0"/>
              <w:rPr>
                <w:sz w:val="12"/>
                <w:szCs w:val="12"/>
                <w:color w:val="auto"/>
              </w:rPr>
            </w:pPr>
          </w:p>
        </w:tc>
        <w:tc>
          <w:tcPr>
            <w:tcW w:w="180" w:type="dxa"/>
            <w:vAlign w:val="bottom"/>
            <w:tcBorders>
              <w:bottom w:val="single" w:sz="8" w:color="CFF0FC"/>
            </w:tcBorders>
          </w:tcPr>
          <w:p>
            <w:pPr>
              <w:spacing w:after="0"/>
              <w:rPr>
                <w:sz w:val="12"/>
                <w:szCs w:val="12"/>
                <w:color w:val="auto"/>
              </w:rPr>
            </w:pPr>
          </w:p>
        </w:tc>
        <w:tc>
          <w:tcPr>
            <w:tcW w:w="80" w:type="dxa"/>
            <w:vAlign w:val="bottom"/>
            <w:tcBorders>
              <w:bottom w:val="single" w:sz="8" w:color="CFF0FC"/>
            </w:tcBorders>
          </w:tcPr>
          <w:p>
            <w:pPr>
              <w:spacing w:after="0"/>
              <w:rPr>
                <w:sz w:val="12"/>
                <w:szCs w:val="12"/>
                <w:color w:val="auto"/>
              </w:rPr>
            </w:pPr>
          </w:p>
        </w:tc>
        <w:tc>
          <w:tcPr>
            <w:tcW w:w="120" w:type="dxa"/>
            <w:vAlign w:val="bottom"/>
            <w:tcBorders>
              <w:bottom w:val="single" w:sz="8" w:color="CFF0FC"/>
            </w:tcBorders>
          </w:tcPr>
          <w:p>
            <w:pPr>
              <w:spacing w:after="0"/>
              <w:rPr>
                <w:sz w:val="12"/>
                <w:szCs w:val="12"/>
                <w:color w:val="auto"/>
              </w:rPr>
            </w:pPr>
          </w:p>
        </w:tc>
        <w:tc>
          <w:tcPr>
            <w:tcW w:w="280" w:type="dxa"/>
            <w:vAlign w:val="bottom"/>
            <w:tcBorders>
              <w:bottom w:val="single" w:sz="8" w:color="CFF0FC"/>
            </w:tcBorders>
          </w:tcPr>
          <w:p>
            <w:pPr>
              <w:spacing w:after="0"/>
              <w:rPr>
                <w:sz w:val="12"/>
                <w:szCs w:val="12"/>
                <w:color w:val="auto"/>
              </w:rPr>
            </w:pPr>
          </w:p>
        </w:tc>
        <w:tc>
          <w:tcPr>
            <w:tcW w:w="140" w:type="dxa"/>
            <w:vAlign w:val="bottom"/>
            <w:tcBorders>
              <w:bottom w:val="single" w:sz="8" w:color="CFF0FC"/>
            </w:tcBorders>
          </w:tcPr>
          <w:p>
            <w:pPr>
              <w:spacing w:after="0"/>
              <w:rPr>
                <w:sz w:val="12"/>
                <w:szCs w:val="12"/>
                <w:color w:val="auto"/>
              </w:rPr>
            </w:pPr>
          </w:p>
        </w:tc>
        <w:tc>
          <w:tcPr>
            <w:tcW w:w="660" w:type="dxa"/>
            <w:vAlign w:val="bottom"/>
            <w:tcBorders>
              <w:top w:val="single" w:sz="8" w:color="auto"/>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w w:val="97"/>
              </w:rPr>
              <w:t>1,006,510</w:t>
            </w:r>
          </w:p>
        </w:tc>
        <w:tc>
          <w:tcPr>
            <w:tcW w:w="140" w:type="dxa"/>
            <w:vAlign w:val="bottom"/>
            <w:tcBorders>
              <w:bottom w:val="single" w:sz="8" w:color="CFF0FC"/>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2"/>
                <w:szCs w:val="12"/>
                <w:color w:val="auto"/>
                <w:w w:val="88"/>
              </w:rPr>
              <w:t>98.9%</w:t>
            </w:r>
          </w:p>
        </w:tc>
        <w:tc>
          <w:tcPr>
            <w:tcW w:w="160" w:type="dxa"/>
            <w:vAlign w:val="bottom"/>
            <w:tcBorders>
              <w:top w:val="single" w:sz="8" w:color="auto"/>
              <w:bottom w:val="single" w:sz="8" w:color="auto"/>
            </w:tcBorders>
          </w:tcPr>
          <w:p>
            <w:pPr>
              <w:spacing w:after="0"/>
              <w:rPr>
                <w:sz w:val="12"/>
                <w:szCs w:val="12"/>
                <w:color w:val="auto"/>
              </w:rPr>
            </w:pPr>
          </w:p>
        </w:tc>
        <w:tc>
          <w:tcPr>
            <w:tcW w:w="240" w:type="dxa"/>
            <w:vAlign w:val="bottom"/>
            <w:tcBorders>
              <w:bottom w:val="single" w:sz="8" w:color="CFF0FC"/>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2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2"/>
                <w:szCs w:val="12"/>
                <w:color w:val="auto"/>
              </w:rPr>
              <w:t>963,709</w:t>
            </w:r>
          </w:p>
        </w:tc>
        <w:tc>
          <w:tcPr>
            <w:tcW w:w="80" w:type="dxa"/>
            <w:vAlign w:val="bottom"/>
            <w:tcBorders>
              <w:bottom w:val="single" w:sz="8" w:color="CFF0FC"/>
            </w:tcBorders>
          </w:tcPr>
          <w:p>
            <w:pPr>
              <w:spacing w:after="0"/>
              <w:rPr>
                <w:sz w:val="12"/>
                <w:szCs w:val="12"/>
                <w:color w:val="auto"/>
              </w:rPr>
            </w:pPr>
          </w:p>
        </w:tc>
        <w:tc>
          <w:tcPr>
            <w:tcW w:w="140" w:type="dxa"/>
            <w:vAlign w:val="bottom"/>
            <w:tcBorders>
              <w:bottom w:val="single" w:sz="8" w:color="CFF0FC"/>
            </w:tcBorders>
          </w:tcPr>
          <w:p>
            <w:pPr>
              <w:spacing w:after="0"/>
              <w:rPr>
                <w:sz w:val="12"/>
                <w:szCs w:val="12"/>
                <w:color w:val="auto"/>
              </w:rPr>
            </w:pPr>
          </w:p>
        </w:tc>
        <w:tc>
          <w:tcPr>
            <w:tcW w:w="660" w:type="dxa"/>
            <w:vAlign w:val="bottom"/>
            <w:tcBorders>
              <w:top w:val="single" w:sz="8" w:color="auto"/>
              <w:bottom w:val="single" w:sz="8" w:color="auto"/>
            </w:tcBorders>
          </w:tcPr>
          <w:p>
            <w:pPr>
              <w:jc w:val="center"/>
              <w:ind w:left="65"/>
              <w:spacing w:after="0"/>
              <w:rPr>
                <w:sz w:val="20"/>
                <w:szCs w:val="20"/>
                <w:color w:val="auto"/>
              </w:rPr>
            </w:pPr>
            <w:r>
              <w:rPr>
                <w:rFonts w:ascii="Arial" w:cs="Arial" w:eastAsia="Arial" w:hAnsi="Arial"/>
                <w:sz w:val="12"/>
                <w:szCs w:val="12"/>
                <w:color w:val="auto"/>
                <w:w w:val="93"/>
              </w:rPr>
              <w:t>105.2%</w:t>
            </w:r>
          </w:p>
        </w:tc>
        <w:tc>
          <w:tcPr>
            <w:tcW w:w="140" w:type="dxa"/>
            <w:vAlign w:val="bottom"/>
            <w:tcBorders>
              <w:top w:val="single" w:sz="8" w:color="auto"/>
              <w:bottom w:val="single" w:sz="8" w:color="auto"/>
            </w:tcBorders>
          </w:tcPr>
          <w:p>
            <w:pPr>
              <w:spacing w:after="0"/>
              <w:rPr>
                <w:sz w:val="12"/>
                <w:szCs w:val="12"/>
                <w:color w:val="auto"/>
              </w:rPr>
            </w:pPr>
          </w:p>
        </w:tc>
        <w:tc>
          <w:tcPr>
            <w:tcW w:w="80" w:type="dxa"/>
            <w:vAlign w:val="bottom"/>
            <w:tcBorders>
              <w:bottom w:val="single" w:sz="8" w:color="CFF0F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4140" w:type="dxa"/>
            <w:vAlign w:val="bottom"/>
            <w:tcBorders>
              <w:right w:val="single" w:sz="8" w:color="CFF0FC"/>
            </w:tcBorders>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40" w:type="dxa"/>
            <w:vAlign w:val="bottom"/>
            <w:tcBorders>
              <w:right w:val="single" w:sz="8" w:color="CFF0FC"/>
            </w:tcBorders>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tcBorders>
              <w:right w:val="single" w:sz="8" w:color="CFF0FC"/>
            </w:tcBorders>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4140" w:type="dxa"/>
            <w:vAlign w:val="bottom"/>
          </w:tcPr>
          <w:p>
            <w:pPr>
              <w:spacing w:after="0"/>
              <w:rPr>
                <w:sz w:val="20"/>
                <w:szCs w:val="20"/>
                <w:color w:val="auto"/>
              </w:rPr>
            </w:pPr>
            <w:r>
              <w:rPr>
                <w:rFonts w:ascii="Arial" w:cs="Arial" w:eastAsia="Arial" w:hAnsi="Arial"/>
                <w:sz w:val="12"/>
                <w:szCs w:val="12"/>
                <w:b w:val="1"/>
                <w:bCs w:val="1"/>
                <w:color w:val="auto"/>
              </w:rPr>
              <w:t>Income (loss) before income taxes</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11,124</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1.1%</w:t>
            </w: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300" w:type="dxa"/>
            <w:vAlign w:val="bottom"/>
            <w:gridSpan w:val="4"/>
          </w:tcPr>
          <w:p>
            <w:pPr>
              <w:jc w:val="right"/>
              <w:ind w:right="40"/>
              <w:spacing w:after="0"/>
              <w:rPr>
                <w:sz w:val="20"/>
                <w:szCs w:val="20"/>
                <w:color w:val="auto"/>
              </w:rPr>
            </w:pPr>
            <w:r>
              <w:rPr>
                <w:rFonts w:ascii="Arial" w:cs="Arial" w:eastAsia="Arial" w:hAnsi="Arial"/>
                <w:sz w:val="12"/>
                <w:szCs w:val="12"/>
                <w:color w:val="auto"/>
              </w:rPr>
              <w:t>(47,677)</w:t>
            </w: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6"/>
              </w:rPr>
              <w:t>(5.2%)</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Income tax benefit</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(5,421)</w:t>
            </w: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6"/>
              </w:rPr>
              <w:t>(0.5%)</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300" w:type="dxa"/>
            <w:vAlign w:val="bottom"/>
            <w:gridSpan w:val="4"/>
            <w:shd w:val="clear" w:color="auto" w:fill="CFF0FC"/>
          </w:tcPr>
          <w:p>
            <w:pPr>
              <w:jc w:val="right"/>
              <w:ind w:right="40"/>
              <w:spacing w:after="0"/>
              <w:rPr>
                <w:sz w:val="20"/>
                <w:szCs w:val="20"/>
                <w:color w:val="auto"/>
              </w:rPr>
            </w:pPr>
            <w:r>
              <w:rPr>
                <w:rFonts w:ascii="Arial" w:cs="Arial" w:eastAsia="Arial" w:hAnsi="Arial"/>
                <w:sz w:val="12"/>
                <w:szCs w:val="12"/>
                <w:color w:val="auto"/>
              </w:rPr>
              <w:t>(38,849)</w:t>
            </w: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96"/>
              </w:rPr>
              <w:t>(4.2%)</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1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Net income (loss)</w:t>
            </w: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1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16,545</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1.6%</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20" w:type="dxa"/>
            <w:vAlign w:val="bottom"/>
            <w:gridSpan w:val="3"/>
          </w:tcPr>
          <w:p>
            <w:pPr>
              <w:jc w:val="right"/>
              <w:ind w:right="40"/>
              <w:spacing w:after="0"/>
              <w:rPr>
                <w:sz w:val="20"/>
                <w:szCs w:val="20"/>
                <w:color w:val="auto"/>
              </w:rPr>
            </w:pPr>
            <w:r>
              <w:rPr>
                <w:rFonts w:ascii="Arial" w:cs="Arial" w:eastAsia="Arial" w:hAnsi="Arial"/>
                <w:sz w:val="12"/>
                <w:szCs w:val="12"/>
                <w:color w:val="auto"/>
                <w:w w:val="94"/>
              </w:rPr>
              <w:t>(8,828)</w:t>
            </w: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6"/>
              </w:rPr>
              <w:t>(1.0%)</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spacing w:after="0"/>
              <w:rPr>
                <w:sz w:val="20"/>
                <w:szCs w:val="20"/>
                <w:color w:val="auto"/>
              </w:rPr>
            </w:pPr>
            <w:r>
              <w:rPr>
                <w:rFonts w:ascii="Arial" w:cs="Arial" w:eastAsia="Arial" w:hAnsi="Arial"/>
                <w:sz w:val="12"/>
                <w:szCs w:val="12"/>
                <w:color w:val="auto"/>
              </w:rPr>
              <w:t>Net income attributable to noncontrolling interests</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tcBorders>
              <w:bottom w:val="single" w:sz="8" w:color="auto"/>
            </w:tcBorders>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spacing w:after="0"/>
              <w:rPr>
                <w:sz w:val="13"/>
                <w:szCs w:val="13"/>
                <w:color w:val="auto"/>
              </w:rPr>
            </w:pP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358</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spacing w:after="0"/>
              <w:rPr>
                <w:sz w:val="13"/>
                <w:szCs w:val="13"/>
                <w:color w:val="auto"/>
              </w:rPr>
            </w:pPr>
          </w:p>
        </w:tc>
        <w:tc>
          <w:tcPr>
            <w:tcW w:w="50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94"/>
              </w:rPr>
              <w:t>0.0%</w:t>
            </w:r>
          </w:p>
        </w:tc>
        <w:tc>
          <w:tcPr>
            <w:tcW w:w="160" w:type="dxa"/>
            <w:vAlign w:val="bottom"/>
            <w:tcBorders>
              <w:bottom w:val="single" w:sz="8" w:color="auto"/>
            </w:tcBorders>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tcBorders>
              <w:bottom w:val="single" w:sz="8" w:color="auto"/>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spacing w:after="0"/>
              <w:rPr>
                <w:sz w:val="13"/>
                <w:szCs w:val="13"/>
                <w:color w:val="auto"/>
              </w:rPr>
            </w:pPr>
          </w:p>
        </w:tc>
        <w:tc>
          <w:tcPr>
            <w:tcW w:w="880" w:type="dxa"/>
            <w:vAlign w:val="bottom"/>
            <w:tcBorders>
              <w:bottom w:val="single" w:sz="8" w:color="auto"/>
              <w:right w:val="single" w:sz="8" w:color="CFF0FC"/>
            </w:tcBorders>
            <w:shd w:val="clear" w:color="auto" w:fill="CFF0FC"/>
          </w:tcPr>
          <w:p>
            <w:pPr>
              <w:spacing w:after="0"/>
              <w:rPr>
                <w:sz w:val="13"/>
                <w:szCs w:val="13"/>
                <w:color w:val="auto"/>
              </w:rPr>
            </w:pPr>
          </w:p>
        </w:tc>
        <w:tc>
          <w:tcPr>
            <w:tcW w:w="3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2"/>
                <w:szCs w:val="12"/>
                <w:color w:val="auto"/>
              </w:rPr>
              <w:t>611</w:t>
            </w:r>
          </w:p>
        </w:tc>
        <w:tc>
          <w:tcPr>
            <w:tcW w:w="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tcBorders>
              <w:bottom w:val="single" w:sz="8" w:color="auto"/>
            </w:tcBorders>
            <w:shd w:val="clear" w:color="auto" w:fill="CFF0FC"/>
          </w:tcPr>
          <w:p>
            <w:pPr>
              <w:jc w:val="center"/>
              <w:ind w:left="65"/>
              <w:spacing w:after="0"/>
              <w:rPr>
                <w:sz w:val="20"/>
                <w:szCs w:val="20"/>
                <w:color w:val="auto"/>
              </w:rPr>
            </w:pPr>
            <w:r>
              <w:rPr>
                <w:rFonts w:ascii="Arial" w:cs="Arial" w:eastAsia="Arial" w:hAnsi="Arial"/>
                <w:sz w:val="12"/>
                <w:szCs w:val="12"/>
                <w:color w:val="auto"/>
                <w:w w:val="94"/>
              </w:rPr>
              <w:t>0.1%</w:t>
            </w:r>
          </w:p>
        </w:tc>
        <w:tc>
          <w:tcPr>
            <w:tcW w:w="140" w:type="dxa"/>
            <w:vAlign w:val="bottom"/>
            <w:tcBorders>
              <w:bottom w:val="single" w:sz="8" w:color="auto"/>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4160" w:type="dxa"/>
            <w:vAlign w:val="bottom"/>
            <w:gridSpan w:val="2"/>
          </w:tcPr>
          <w:p>
            <w:pPr>
              <w:spacing w:after="0"/>
              <w:rPr>
                <w:sz w:val="20"/>
                <w:szCs w:val="20"/>
                <w:color w:val="auto"/>
              </w:rPr>
            </w:pPr>
            <w:r>
              <w:rPr>
                <w:rFonts w:ascii="Arial" w:cs="Arial" w:eastAsia="Arial" w:hAnsi="Arial"/>
                <w:sz w:val="12"/>
                <w:szCs w:val="12"/>
                <w:b w:val="1"/>
                <w:bCs w:val="1"/>
                <w:color w:val="auto"/>
              </w:rPr>
              <w:t>Net income (loss) attributable to shareholders</w:t>
            </w: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16,187</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1.6%</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20" w:type="dxa"/>
            <w:vAlign w:val="bottom"/>
            <w:gridSpan w:val="3"/>
          </w:tcPr>
          <w:p>
            <w:pPr>
              <w:jc w:val="right"/>
              <w:ind w:right="40"/>
              <w:spacing w:after="0"/>
              <w:rPr>
                <w:sz w:val="20"/>
                <w:szCs w:val="20"/>
                <w:color w:val="auto"/>
              </w:rPr>
            </w:pPr>
            <w:r>
              <w:rPr>
                <w:rFonts w:ascii="Arial" w:cs="Arial" w:eastAsia="Arial" w:hAnsi="Arial"/>
                <w:sz w:val="12"/>
                <w:szCs w:val="12"/>
                <w:color w:val="auto"/>
                <w:w w:val="94"/>
              </w:rPr>
              <w:t>(9,439)</w:t>
            </w: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6"/>
              </w:rPr>
              <w:t>(1.0%)</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Participating securities' share in earnings</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(2,594)</w:t>
            </w: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6"/>
              </w:rPr>
              <w:t>(0.2%)</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spacing w:after="0"/>
              <w:rPr>
                <w:sz w:val="13"/>
                <w:szCs w:val="13"/>
                <w:color w:val="auto"/>
              </w:rPr>
            </w:pPr>
          </w:p>
        </w:tc>
        <w:tc>
          <w:tcPr>
            <w:tcW w:w="420" w:type="dxa"/>
            <w:vAlign w:val="bottom"/>
            <w:gridSpan w:val="3"/>
            <w:shd w:val="clear" w:color="auto" w:fill="CFF0FC"/>
          </w:tcPr>
          <w:p>
            <w:pPr>
              <w:jc w:val="right"/>
              <w:ind w:right="40"/>
              <w:spacing w:after="0"/>
              <w:rPr>
                <w:sz w:val="20"/>
                <w:szCs w:val="20"/>
                <w:color w:val="auto"/>
              </w:rPr>
            </w:pPr>
            <w:r>
              <w:rPr>
                <w:rFonts w:ascii="Arial" w:cs="Arial" w:eastAsia="Arial" w:hAnsi="Arial"/>
                <w:sz w:val="12"/>
                <w:szCs w:val="12"/>
                <w:color w:val="auto"/>
                <w:w w:val="94"/>
              </w:rPr>
              <w:t>(1,509)</w:t>
            </w: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96"/>
              </w:rPr>
              <w:t>(0.2%)</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140"/>
              <w:spacing w:after="0"/>
              <w:rPr>
                <w:sz w:val="20"/>
                <w:szCs w:val="20"/>
                <w:color w:val="auto"/>
              </w:rPr>
            </w:pPr>
            <w:r>
              <w:rPr>
                <w:rFonts w:ascii="Arial" w:cs="Arial" w:eastAsia="Arial" w:hAnsi="Arial"/>
                <w:sz w:val="12"/>
                <w:szCs w:val="12"/>
                <w:color w:val="auto"/>
              </w:rPr>
              <w:t>Dividends declared on convertible preferred stock</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2"/>
                <w:szCs w:val="12"/>
                <w:color w:val="auto"/>
              </w:rPr>
              <w:t>(2,624)</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6"/>
              </w:rPr>
              <w:t>(0.3%)</w:t>
            </w: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20" w:type="dxa"/>
            <w:vAlign w:val="bottom"/>
            <w:gridSpan w:val="3"/>
          </w:tcPr>
          <w:p>
            <w:pPr>
              <w:jc w:val="right"/>
              <w:ind w:right="40"/>
              <w:spacing w:after="0"/>
              <w:rPr>
                <w:sz w:val="20"/>
                <w:szCs w:val="20"/>
                <w:color w:val="auto"/>
              </w:rPr>
            </w:pPr>
            <w:r>
              <w:rPr>
                <w:rFonts w:ascii="Arial" w:cs="Arial" w:eastAsia="Arial" w:hAnsi="Arial"/>
                <w:sz w:val="12"/>
                <w:szCs w:val="12"/>
                <w:color w:val="auto"/>
                <w:w w:val="94"/>
              </w:rPr>
              <w:t>(2,624)</w:t>
            </w: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6"/>
              </w:rPr>
              <w:t>(0.3%)</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140"/>
              <w:spacing w:after="0"/>
              <w:rPr>
                <w:sz w:val="20"/>
                <w:szCs w:val="20"/>
                <w:color w:val="auto"/>
              </w:rPr>
            </w:pPr>
            <w:r>
              <w:rPr>
                <w:rFonts w:ascii="Arial" w:cs="Arial" w:eastAsia="Arial" w:hAnsi="Arial"/>
                <w:sz w:val="12"/>
                <w:szCs w:val="12"/>
                <w:color w:val="auto"/>
              </w:rPr>
              <w:t>Amortization of discount on convertible preferred stock</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(2,980)</w:t>
            </w: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6"/>
              </w:rPr>
              <w:t>(0.3%)</w:t>
            </w: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spacing w:after="0"/>
              <w:rPr>
                <w:sz w:val="13"/>
                <w:szCs w:val="13"/>
                <w:color w:val="auto"/>
              </w:rPr>
            </w:pPr>
          </w:p>
        </w:tc>
        <w:tc>
          <w:tcPr>
            <w:tcW w:w="420" w:type="dxa"/>
            <w:vAlign w:val="bottom"/>
            <w:gridSpan w:val="3"/>
            <w:shd w:val="clear" w:color="auto" w:fill="CFF0FC"/>
          </w:tcPr>
          <w:p>
            <w:pPr>
              <w:jc w:val="right"/>
              <w:ind w:right="40"/>
              <w:spacing w:after="0"/>
              <w:rPr>
                <w:sz w:val="20"/>
                <w:szCs w:val="20"/>
                <w:color w:val="auto"/>
              </w:rPr>
            </w:pPr>
            <w:r>
              <w:rPr>
                <w:rFonts w:ascii="Arial" w:cs="Arial" w:eastAsia="Arial" w:hAnsi="Arial"/>
                <w:sz w:val="12"/>
                <w:szCs w:val="12"/>
                <w:color w:val="auto"/>
                <w:w w:val="94"/>
              </w:rPr>
              <w:t>(2,980)</w:t>
            </w:r>
          </w:p>
        </w:tc>
        <w:tc>
          <w:tcPr>
            <w:tcW w:w="800" w:type="dxa"/>
            <w:vAlign w:val="bottom"/>
            <w:gridSpan w:val="2"/>
            <w:shd w:val="clear" w:color="auto" w:fill="CFF0FC"/>
          </w:tcPr>
          <w:p>
            <w:pPr>
              <w:jc w:val="center"/>
              <w:ind w:left="200"/>
              <w:spacing w:after="0"/>
              <w:rPr>
                <w:sz w:val="20"/>
                <w:szCs w:val="20"/>
                <w:color w:val="auto"/>
              </w:rPr>
            </w:pPr>
            <w:r>
              <w:rPr>
                <w:rFonts w:ascii="Arial" w:cs="Arial" w:eastAsia="Arial" w:hAnsi="Arial"/>
                <w:sz w:val="12"/>
                <w:szCs w:val="12"/>
                <w:color w:val="auto"/>
                <w:w w:val="96"/>
              </w:rPr>
              <w:t>(0.3%)</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1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Net income (loss) attributable to common shareholders</w:t>
            </w: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1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gridSpan w:val="2"/>
          </w:tcPr>
          <w:p>
            <w:pPr>
              <w:spacing w:after="0"/>
              <w:rPr>
                <w:sz w:val="12"/>
                <w:szCs w:val="12"/>
                <w:color w:val="auto"/>
              </w:rPr>
            </w:pPr>
          </w:p>
        </w:tc>
        <w:tc>
          <w:tcPr>
            <w:tcW w:w="660" w:type="dxa"/>
            <w:vAlign w:val="bottom"/>
          </w:tcPr>
          <w:p>
            <w:pPr>
              <w:jc w:val="right"/>
              <w:ind w:right="551"/>
              <w:spacing w:after="0"/>
              <w:rPr>
                <w:sz w:val="20"/>
                <w:szCs w:val="20"/>
                <w:color w:val="auto"/>
              </w:rPr>
            </w:pPr>
            <w:r>
              <w:rPr>
                <w:rFonts w:ascii="Arial" w:cs="Arial" w:eastAsia="Arial" w:hAnsi="Arial"/>
                <w:sz w:val="10"/>
                <w:szCs w:val="10"/>
                <w:color w:val="auto"/>
                <w:w w:val="71"/>
              </w:rPr>
              <w:t>$</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spacing w:after="0"/>
              <w:rPr>
                <w:sz w:val="20"/>
                <w:szCs w:val="20"/>
                <w:color w:val="auto"/>
              </w:rPr>
            </w:pPr>
            <w:r>
              <w:rPr>
                <w:rFonts w:ascii="Arial" w:cs="Arial" w:eastAsia="Arial" w:hAnsi="Arial"/>
                <w:sz w:val="12"/>
                <w:szCs w:val="12"/>
                <w:color w:val="auto"/>
              </w:rPr>
              <w:t>7,989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center"/>
              <w:spacing w:after="0"/>
              <w:rPr>
                <w:sz w:val="20"/>
                <w:szCs w:val="20"/>
                <w:color w:val="auto"/>
              </w:rPr>
            </w:pPr>
            <w:r>
              <w:rPr>
                <w:rFonts w:ascii="Arial" w:cs="Arial" w:eastAsia="Arial" w:hAnsi="Arial"/>
                <w:sz w:val="12"/>
                <w:szCs w:val="12"/>
                <w:color w:val="auto"/>
                <w:w w:val="94"/>
              </w:rPr>
              <w:t>0.8%</w:t>
            </w:r>
          </w:p>
        </w:tc>
        <w:tc>
          <w:tcPr>
            <w:tcW w:w="160" w:type="dxa"/>
            <w:vAlign w:val="bottom"/>
          </w:tcPr>
          <w:p>
            <w:pPr>
              <w:spacing w:after="0"/>
              <w:rPr>
                <w:sz w:val="12"/>
                <w:szCs w:val="12"/>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4"/>
          </w:tcPr>
          <w:p>
            <w:pPr>
              <w:jc w:val="right"/>
              <w:ind w:right="40"/>
              <w:spacing w:after="0"/>
              <w:rPr>
                <w:sz w:val="20"/>
                <w:szCs w:val="20"/>
                <w:color w:val="auto"/>
              </w:rPr>
            </w:pPr>
            <w:r>
              <w:rPr>
                <w:rFonts w:ascii="Arial" w:cs="Arial" w:eastAsia="Arial" w:hAnsi="Arial"/>
                <w:sz w:val="12"/>
                <w:szCs w:val="12"/>
                <w:color w:val="auto"/>
              </w:rPr>
              <w:t>(16,552)</w:t>
            </w:r>
          </w:p>
        </w:tc>
        <w:tc>
          <w:tcPr>
            <w:tcW w:w="800" w:type="dxa"/>
            <w:vAlign w:val="bottom"/>
            <w:gridSpan w:val="2"/>
          </w:tcPr>
          <w:p>
            <w:pPr>
              <w:jc w:val="center"/>
              <w:ind w:left="200"/>
              <w:spacing w:after="0"/>
              <w:rPr>
                <w:sz w:val="20"/>
                <w:szCs w:val="20"/>
                <w:color w:val="auto"/>
              </w:rPr>
            </w:pPr>
            <w:r>
              <w:rPr>
                <w:rFonts w:ascii="Arial" w:cs="Arial" w:eastAsia="Arial" w:hAnsi="Arial"/>
                <w:sz w:val="12"/>
                <w:szCs w:val="12"/>
                <w:color w:val="auto"/>
                <w:w w:val="96"/>
              </w:rPr>
              <w:t>(1.8%)</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4160" w:type="dxa"/>
            <w:vAlign w:val="bottom"/>
            <w:gridSpan w:val="2"/>
          </w:tcPr>
          <w:p>
            <w:pPr>
              <w:spacing w:after="0"/>
              <w:rPr>
                <w:sz w:val="2"/>
                <w:szCs w:val="2"/>
                <w:color w:val="auto"/>
              </w:rPr>
            </w:pPr>
          </w:p>
        </w:tc>
        <w:tc>
          <w:tcPr>
            <w:tcW w:w="940" w:type="dxa"/>
            <w:vAlign w:val="bottom"/>
            <w:gridSpan w:val="2"/>
          </w:tcPr>
          <w:p>
            <w:pPr>
              <w:spacing w:after="0"/>
              <w:rPr>
                <w:sz w:val="2"/>
                <w:szCs w:val="2"/>
                <w:color w:val="auto"/>
              </w:rPr>
            </w:pPr>
          </w:p>
        </w:tc>
        <w:tc>
          <w:tcPr>
            <w:tcW w:w="260" w:type="dxa"/>
            <w:vAlign w:val="bottom"/>
            <w:gridSpan w:val="2"/>
          </w:tcPr>
          <w:p>
            <w:pPr>
              <w:spacing w:after="0"/>
              <w:rPr>
                <w:sz w:val="2"/>
                <w:szCs w:val="2"/>
                <w:color w:val="auto"/>
              </w:rPr>
            </w:pPr>
          </w:p>
        </w:tc>
        <w:tc>
          <w:tcPr>
            <w:tcW w:w="4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80" w:type="dxa"/>
            <w:vAlign w:val="bottom"/>
            <w:tcBorders>
              <w:right w:val="single" w:sz="8" w:color="auto"/>
            </w:tcBorders>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8"/>
        </w:trPr>
        <w:tc>
          <w:tcPr>
            <w:tcW w:w="6820" w:type="dxa"/>
            <w:vAlign w:val="bottom"/>
            <w:gridSpan w:val="11"/>
          </w:tcPr>
          <w:p>
            <w:pPr>
              <w:spacing w:after="0"/>
              <w:rPr>
                <w:sz w:val="20"/>
                <w:szCs w:val="20"/>
                <w:color w:val="auto"/>
              </w:rPr>
            </w:pPr>
            <w:r>
              <w:rPr>
                <w:rFonts w:ascii="Arial" w:cs="Arial" w:eastAsia="Arial" w:hAnsi="Arial"/>
                <w:sz w:val="12"/>
                <w:szCs w:val="12"/>
                <w:color w:val="auto"/>
                <w:w w:val="90"/>
              </w:rPr>
              <w:t>The following table sets forth, for the years ended December 31, 2018 and 2017, revenues and Adjusted EBITDA of our reportable segments:</w:t>
            </w: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5"/>
          </w:tcPr>
          <w:p>
            <w:pPr>
              <w:jc w:val="right"/>
              <w:ind w:right="22"/>
              <w:spacing w:after="0"/>
              <w:rPr>
                <w:sz w:val="20"/>
                <w:szCs w:val="20"/>
                <w:color w:val="auto"/>
              </w:rPr>
            </w:pPr>
            <w:r>
              <w:rPr>
                <w:rFonts w:ascii="Arial" w:cs="Arial" w:eastAsia="Arial" w:hAnsi="Arial"/>
                <w:sz w:val="10"/>
                <w:szCs w:val="10"/>
                <w:b w:val="1"/>
                <w:bCs w:val="1"/>
                <w:color w:val="auto"/>
                <w:w w:val="90"/>
              </w:rPr>
              <w:t>Year Ended December 31, 2018</w:t>
            </w:r>
          </w:p>
        </w:tc>
        <w:tc>
          <w:tcPr>
            <w:tcW w:w="1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4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500" w:type="dxa"/>
            <w:vAlign w:val="bottom"/>
          </w:tcPr>
          <w:p>
            <w:pPr>
              <w:spacing w:after="0"/>
              <w:rPr>
                <w:sz w:val="7"/>
                <w:szCs w:val="7"/>
                <w:color w:val="auto"/>
              </w:rPr>
            </w:pPr>
          </w:p>
        </w:tc>
        <w:tc>
          <w:tcPr>
            <w:tcW w:w="1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gridSpan w:val="4"/>
          </w:tcPr>
          <w:p>
            <w:pPr>
              <w:jc w:val="right"/>
              <w:ind w:right="105"/>
              <w:spacing w:after="0" w:line="83" w:lineRule="exact"/>
              <w:rPr>
                <w:sz w:val="20"/>
                <w:szCs w:val="20"/>
                <w:color w:val="auto"/>
              </w:rPr>
            </w:pPr>
            <w:r>
              <w:rPr>
                <w:rFonts w:ascii="Arial" w:cs="Arial" w:eastAsia="Arial" w:hAnsi="Arial"/>
                <w:sz w:val="8"/>
                <w:szCs w:val="8"/>
                <w:b w:val="1"/>
                <w:bCs w:val="1"/>
                <w:color w:val="auto"/>
              </w:rPr>
              <w:t>Total of Reportable</w:t>
            </w:r>
          </w:p>
        </w:tc>
        <w:tc>
          <w:tcPr>
            <w:tcW w:w="220" w:type="dxa"/>
            <w:vAlign w:val="bottom"/>
            <w:gridSpan w:val="2"/>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160" w:type="dxa"/>
            <w:vAlign w:val="bottom"/>
            <w:gridSpan w:val="2"/>
          </w:tcPr>
          <w:p>
            <w:pPr>
              <w:spacing w:after="0" w:line="114" w:lineRule="exact"/>
              <w:rPr>
                <w:sz w:val="20"/>
                <w:szCs w:val="20"/>
                <w:color w:val="auto"/>
              </w:rPr>
            </w:pPr>
            <w:r>
              <w:rPr>
                <w:rFonts w:ascii="Arial" w:cs="Arial" w:eastAsia="Arial" w:hAnsi="Arial"/>
                <w:sz w:val="10"/>
                <w:szCs w:val="10"/>
                <w:color w:val="auto"/>
              </w:rPr>
              <w:t>(Thousands)</w:t>
            </w:r>
          </w:p>
        </w:tc>
        <w:tc>
          <w:tcPr>
            <w:tcW w:w="180" w:type="dxa"/>
            <w:vAlign w:val="bottom"/>
          </w:tcPr>
          <w:p>
            <w:pPr>
              <w:spacing w:after="0"/>
              <w:rPr>
                <w:sz w:val="9"/>
                <w:szCs w:val="9"/>
                <w:color w:val="auto"/>
              </w:rPr>
            </w:pPr>
          </w:p>
        </w:tc>
        <w:tc>
          <w:tcPr>
            <w:tcW w:w="940" w:type="dxa"/>
            <w:vAlign w:val="bottom"/>
            <w:gridSpan w:val="2"/>
          </w:tcPr>
          <w:p>
            <w:pPr>
              <w:jc w:val="right"/>
              <w:ind w:right="500"/>
              <w:spacing w:after="0" w:line="114" w:lineRule="exact"/>
              <w:rPr>
                <w:sz w:val="20"/>
                <w:szCs w:val="20"/>
                <w:color w:val="auto"/>
              </w:rPr>
            </w:pPr>
            <w:r>
              <w:rPr>
                <w:rFonts w:ascii="Arial" w:cs="Arial" w:eastAsia="Arial" w:hAnsi="Arial"/>
                <w:sz w:val="10"/>
                <w:szCs w:val="10"/>
                <w:b w:val="1"/>
                <w:bCs w:val="1"/>
                <w:color w:val="auto"/>
              </w:rPr>
              <w:t>Leasing</w:t>
            </w: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40" w:type="dxa"/>
            <w:vAlign w:val="bottom"/>
            <w:gridSpan w:val="4"/>
          </w:tcPr>
          <w:p>
            <w:pPr>
              <w:jc w:val="right"/>
              <w:ind w:right="440"/>
              <w:spacing w:after="0" w:line="114" w:lineRule="exact"/>
              <w:rPr>
                <w:sz w:val="20"/>
                <w:szCs w:val="20"/>
                <w:color w:val="auto"/>
              </w:rPr>
            </w:pPr>
            <w:r>
              <w:rPr>
                <w:rFonts w:ascii="Arial" w:cs="Arial" w:eastAsia="Arial" w:hAnsi="Arial"/>
                <w:sz w:val="10"/>
                <w:szCs w:val="10"/>
                <w:b w:val="1"/>
                <w:bCs w:val="1"/>
                <w:color w:val="auto"/>
                <w:w w:val="95"/>
              </w:rPr>
              <w:t>Fiber Infrastructure</w:t>
            </w:r>
          </w:p>
        </w:tc>
        <w:tc>
          <w:tcPr>
            <w:tcW w:w="160" w:type="dxa"/>
            <w:vAlign w:val="bottom"/>
          </w:tcPr>
          <w:p>
            <w:pPr>
              <w:spacing w:after="0"/>
              <w:rPr>
                <w:sz w:val="9"/>
                <w:szCs w:val="9"/>
                <w:color w:val="auto"/>
              </w:rPr>
            </w:pPr>
          </w:p>
        </w:tc>
        <w:tc>
          <w:tcPr>
            <w:tcW w:w="940" w:type="dxa"/>
            <w:vAlign w:val="bottom"/>
            <w:gridSpan w:val="4"/>
          </w:tcPr>
          <w:p>
            <w:pPr>
              <w:ind w:left="120"/>
              <w:spacing w:after="0" w:line="114" w:lineRule="exact"/>
              <w:rPr>
                <w:sz w:val="20"/>
                <w:szCs w:val="20"/>
                <w:color w:val="auto"/>
              </w:rPr>
            </w:pPr>
            <w:r>
              <w:rPr>
                <w:rFonts w:ascii="Arial" w:cs="Arial" w:eastAsia="Arial" w:hAnsi="Arial"/>
                <w:sz w:val="10"/>
                <w:szCs w:val="10"/>
                <w:b w:val="1"/>
                <w:bCs w:val="1"/>
                <w:color w:val="auto"/>
              </w:rPr>
              <w:t>Towers</w:t>
            </w:r>
          </w:p>
        </w:tc>
        <w:tc>
          <w:tcPr>
            <w:tcW w:w="1080" w:type="dxa"/>
            <w:vAlign w:val="bottom"/>
            <w:gridSpan w:val="4"/>
          </w:tcPr>
          <w:p>
            <w:pPr>
              <w:jc w:val="right"/>
              <w:ind w:right="280"/>
              <w:spacing w:after="0" w:line="114" w:lineRule="exact"/>
              <w:rPr>
                <w:sz w:val="20"/>
                <w:szCs w:val="20"/>
                <w:color w:val="auto"/>
              </w:rPr>
            </w:pPr>
            <w:r>
              <w:rPr>
                <w:rFonts w:ascii="Arial" w:cs="Arial" w:eastAsia="Arial" w:hAnsi="Arial"/>
                <w:sz w:val="10"/>
                <w:szCs w:val="10"/>
                <w:b w:val="1"/>
                <w:bCs w:val="1"/>
                <w:color w:val="auto"/>
                <w:w w:val="98"/>
              </w:rPr>
              <w:t>Consumer CLEC</w:t>
            </w: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jc w:val="right"/>
              <w:ind w:right="242"/>
              <w:spacing w:after="0" w:line="114" w:lineRule="exact"/>
              <w:rPr>
                <w:sz w:val="20"/>
                <w:szCs w:val="20"/>
                <w:color w:val="auto"/>
              </w:rPr>
            </w:pPr>
            <w:r>
              <w:rPr>
                <w:rFonts w:ascii="Arial" w:cs="Arial" w:eastAsia="Arial" w:hAnsi="Arial"/>
                <w:sz w:val="10"/>
                <w:szCs w:val="10"/>
                <w:b w:val="1"/>
                <w:bCs w:val="1"/>
                <w:color w:val="auto"/>
              </w:rPr>
              <w:t>Corporate</w:t>
            </w: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20" w:type="dxa"/>
            <w:vAlign w:val="bottom"/>
            <w:gridSpan w:val="4"/>
          </w:tcPr>
          <w:p>
            <w:pPr>
              <w:ind w:left="40"/>
              <w:spacing w:after="0" w:line="114" w:lineRule="exact"/>
              <w:rPr>
                <w:sz w:val="20"/>
                <w:szCs w:val="20"/>
                <w:color w:val="auto"/>
              </w:rPr>
            </w:pPr>
            <w:r>
              <w:rPr>
                <w:rFonts w:ascii="Arial" w:cs="Arial" w:eastAsia="Arial" w:hAnsi="Arial"/>
                <w:sz w:val="10"/>
                <w:szCs w:val="10"/>
                <w:b w:val="1"/>
                <w:bCs w:val="1"/>
                <w:color w:val="auto"/>
              </w:rPr>
              <w:t>Segments</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40" w:type="dxa"/>
            <w:vAlign w:val="bottom"/>
            <w:tcBorders>
              <w:right w:val="single" w:sz="8" w:color="CFF0FC"/>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80" w:type="dxa"/>
            <w:vAlign w:val="bottom"/>
            <w:gridSpan w:val="3"/>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Borders>
              <w:right w:val="single" w:sz="8" w:color="auto"/>
            </w:tcBorders>
            <w:gridSpan w:val="2"/>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tcBorders>
              <w:right w:val="single" w:sz="8" w:color="CFF0FC"/>
            </w:tcBorders>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gridSpan w:val="2"/>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4140" w:type="dxa"/>
            <w:vAlign w:val="bottom"/>
            <w:tcBorders>
              <w:right w:val="single" w:sz="8" w:color="CFF0FC"/>
            </w:tcBorders>
            <w:shd w:val="clear" w:color="auto" w:fill="CFF0FC"/>
          </w:tcPr>
          <w:p>
            <w:pPr>
              <w:spacing w:after="0"/>
              <w:rPr>
                <w:sz w:val="20"/>
                <w:szCs w:val="20"/>
                <w:color w:val="auto"/>
              </w:rPr>
            </w:pPr>
            <w:r>
              <w:rPr>
                <w:rFonts w:ascii="Arial" w:cs="Arial" w:eastAsia="Arial" w:hAnsi="Arial"/>
                <w:sz w:val="12"/>
                <w:szCs w:val="12"/>
                <w:color w:val="auto"/>
              </w:rPr>
              <w:t>Revenues</w:t>
            </w:r>
          </w:p>
        </w:tc>
        <w:tc>
          <w:tcPr>
            <w:tcW w:w="180" w:type="dxa"/>
            <w:vAlign w:val="bottom"/>
            <w:shd w:val="clear" w:color="auto" w:fill="CFF0FC"/>
          </w:tcPr>
          <w:p>
            <w:pPr>
              <w:jc w:val="right"/>
              <w:ind w:right="70"/>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699,847</w:t>
            </w:r>
          </w:p>
        </w:tc>
        <w:tc>
          <w:tcPr>
            <w:tcW w:w="180" w:type="dxa"/>
            <w:vAlign w:val="bottom"/>
            <w:shd w:val="clear" w:color="auto" w:fill="CFF0FC"/>
          </w:tcPr>
          <w:p>
            <w:pPr>
              <w:spacing w:after="0"/>
              <w:rPr>
                <w:sz w:val="12"/>
                <w:szCs w:val="12"/>
                <w:color w:val="auto"/>
              </w:rPr>
            </w:pPr>
          </w:p>
        </w:tc>
        <w:tc>
          <w:tcPr>
            <w:tcW w:w="200" w:type="dxa"/>
            <w:vAlign w:val="bottom"/>
            <w:gridSpan w:val="2"/>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108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289,239</w:t>
            </w:r>
          </w:p>
        </w:tc>
        <w:tc>
          <w:tcPr>
            <w:tcW w:w="260" w:type="dxa"/>
            <w:vAlign w:val="bottom"/>
            <w:shd w:val="clear" w:color="auto" w:fill="CFF0FC"/>
          </w:tcPr>
          <w:p>
            <w:pPr>
              <w:spacing w:after="0"/>
              <w:rPr>
                <w:sz w:val="12"/>
                <w:szCs w:val="12"/>
                <w:color w:val="auto"/>
              </w:rPr>
            </w:pPr>
          </w:p>
        </w:tc>
        <w:tc>
          <w:tcPr>
            <w:tcW w:w="160" w:type="dxa"/>
            <w:vAlign w:val="bottom"/>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14,617</w:t>
            </w:r>
          </w:p>
        </w:tc>
        <w:tc>
          <w:tcPr>
            <w:tcW w:w="10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shd w:val="clear" w:color="auto" w:fill="CFF0FC"/>
          </w:tcPr>
          <w:p>
            <w:pPr>
              <w:jc w:val="right"/>
              <w:ind w:right="382"/>
              <w:spacing w:after="0"/>
              <w:rPr>
                <w:sz w:val="20"/>
                <w:szCs w:val="20"/>
                <w:color w:val="auto"/>
              </w:rPr>
            </w:pPr>
            <w:r>
              <w:rPr>
                <w:rFonts w:ascii="Arial" w:cs="Arial" w:eastAsia="Arial" w:hAnsi="Arial"/>
                <w:sz w:val="10"/>
                <w:szCs w:val="10"/>
                <w:color w:val="auto"/>
                <w:w w:val="71"/>
              </w:rPr>
              <w:t>$</w:t>
            </w:r>
          </w:p>
        </w:tc>
        <w:tc>
          <w:tcPr>
            <w:tcW w:w="40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2"/>
                <w:szCs w:val="12"/>
                <w:color w:val="auto"/>
              </w:rPr>
              <w:t>13,931</w:t>
            </w:r>
          </w:p>
        </w:tc>
        <w:tc>
          <w:tcPr>
            <w:tcW w:w="180" w:type="dxa"/>
            <w:vAlign w:val="bottom"/>
            <w:shd w:val="clear" w:color="auto" w:fill="CFF0FC"/>
          </w:tcPr>
          <w:p>
            <w:pPr>
              <w:spacing w:after="0"/>
              <w:rPr>
                <w:sz w:val="12"/>
                <w:szCs w:val="12"/>
                <w:color w:val="auto"/>
              </w:rPr>
            </w:pP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880" w:type="dxa"/>
            <w:vAlign w:val="bottom"/>
            <w:tcBorders>
              <w:right w:val="single" w:sz="8" w:color="CFF0FC"/>
            </w:tcBorders>
            <w:shd w:val="clear" w:color="auto" w:fill="CFF0FC"/>
          </w:tcPr>
          <w:p>
            <w:pPr>
              <w:jc w:val="right"/>
              <w:ind w:right="2"/>
              <w:spacing w:after="0"/>
              <w:rPr>
                <w:sz w:val="20"/>
                <w:szCs w:val="20"/>
                <w:color w:val="auto"/>
              </w:rPr>
            </w:pPr>
            <w:r>
              <w:rPr>
                <w:rFonts w:ascii="Arial" w:cs="Arial" w:eastAsia="Arial" w:hAnsi="Arial"/>
                <w:sz w:val="12"/>
                <w:szCs w:val="12"/>
                <w:color w:val="auto"/>
              </w:rPr>
              <w:t>-</w:t>
            </w:r>
          </w:p>
        </w:tc>
        <w:tc>
          <w:tcPr>
            <w:tcW w:w="340" w:type="dxa"/>
            <w:vAlign w:val="bottom"/>
            <w:gridSpan w:val="2"/>
            <w:shd w:val="clear" w:color="auto" w:fill="CFF0FC"/>
          </w:tcPr>
          <w:p>
            <w:pPr>
              <w:jc w:val="right"/>
              <w:ind w:right="138"/>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1,017,634</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160" w:type="dxa"/>
            <w:vAlign w:val="bottom"/>
            <w:gridSpan w:val="2"/>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gridSpan w:val="3"/>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80" w:type="dxa"/>
            <w:vAlign w:val="bottom"/>
            <w:gridSpan w:val="2"/>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00" w:type="dxa"/>
            <w:vAlign w:val="bottom"/>
            <w:gridSpan w:val="2"/>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gridSpan w:val="2"/>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180" w:type="dxa"/>
            <w:vAlign w:val="bottom"/>
            <w:shd w:val="clear" w:color="auto" w:fill="CFF0FC"/>
          </w:tcPr>
          <w:p>
            <w:pPr>
              <w:jc w:val="right"/>
              <w:ind w:right="70"/>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697,545</w:t>
            </w:r>
          </w:p>
        </w:tc>
        <w:tc>
          <w:tcPr>
            <w:tcW w:w="180" w:type="dxa"/>
            <w:vAlign w:val="bottom"/>
            <w:shd w:val="clear" w:color="auto" w:fill="CFF0FC"/>
          </w:tcPr>
          <w:p>
            <w:pPr>
              <w:spacing w:after="0"/>
              <w:rPr>
                <w:sz w:val="13"/>
                <w:szCs w:val="13"/>
                <w:color w:val="auto"/>
              </w:rPr>
            </w:pPr>
          </w:p>
        </w:tc>
        <w:tc>
          <w:tcPr>
            <w:tcW w:w="200" w:type="dxa"/>
            <w:vAlign w:val="bottom"/>
            <w:gridSpan w:val="2"/>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108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123,389</w:t>
            </w: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355</w:t>
            </w: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jc w:val="right"/>
              <w:ind w:right="382"/>
              <w:spacing w:after="0"/>
              <w:rPr>
                <w:sz w:val="20"/>
                <w:szCs w:val="20"/>
                <w:color w:val="auto"/>
              </w:rPr>
            </w:pPr>
            <w:r>
              <w:rPr>
                <w:rFonts w:ascii="Arial" w:cs="Arial" w:eastAsia="Arial" w:hAnsi="Arial"/>
                <w:sz w:val="10"/>
                <w:szCs w:val="10"/>
                <w:color w:val="auto"/>
                <w:w w:val="71"/>
              </w:rPr>
              <w:t>$</w:t>
            </w:r>
          </w:p>
        </w:tc>
        <w:tc>
          <w:tcPr>
            <w:tcW w:w="40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2"/>
                <w:szCs w:val="12"/>
                <w:color w:val="auto"/>
              </w:rPr>
              <w:t>3,353</w:t>
            </w:r>
          </w:p>
        </w:tc>
        <w:tc>
          <w:tcPr>
            <w:tcW w:w="180" w:type="dxa"/>
            <w:vAlign w:val="bottom"/>
            <w:shd w:val="clear" w:color="auto" w:fill="CFF0FC"/>
          </w:tcPr>
          <w:p>
            <w:pPr>
              <w:spacing w:after="0"/>
              <w:rPr>
                <w:sz w:val="13"/>
                <w:szCs w:val="13"/>
                <w:color w:val="auto"/>
              </w:rPr>
            </w:pP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(21,759)</w:t>
            </w:r>
          </w:p>
        </w:tc>
        <w:tc>
          <w:tcPr>
            <w:tcW w:w="340" w:type="dxa"/>
            <w:vAlign w:val="bottom"/>
            <w:gridSpan w:val="2"/>
            <w:shd w:val="clear" w:color="auto" w:fill="CFF0FC"/>
          </w:tcPr>
          <w:p>
            <w:pPr>
              <w:jc w:val="right"/>
              <w:ind w:right="138"/>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802,883</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60" w:type="dxa"/>
            <w:vAlign w:val="bottom"/>
            <w:gridSpan w:val="2"/>
          </w:tcPr>
          <w:p>
            <w:pPr>
              <w:spacing w:after="0"/>
              <w:rPr>
                <w:sz w:val="20"/>
                <w:szCs w:val="20"/>
                <w:color w:val="auto"/>
              </w:rPr>
            </w:pPr>
            <w:r>
              <w:rPr>
                <w:rFonts w:ascii="Arial" w:cs="Arial" w:eastAsia="Arial" w:hAnsi="Arial"/>
                <w:sz w:val="12"/>
                <w:szCs w:val="12"/>
                <w:color w:val="auto"/>
              </w:rPr>
              <w:t>Adjusted EBITDA margin</w:t>
            </w:r>
          </w:p>
        </w:tc>
        <w:tc>
          <w:tcPr>
            <w:tcW w:w="180" w:type="dxa"/>
            <w:vAlign w:val="bottom"/>
          </w:tcPr>
          <w:p>
            <w:pPr>
              <w:spacing w:after="0"/>
              <w:rPr>
                <w:sz w:val="13"/>
                <w:szCs w:val="13"/>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2"/>
                <w:szCs w:val="12"/>
                <w:color w:val="auto"/>
              </w:rPr>
              <w:t>99.7%</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4"/>
          </w:tcPr>
          <w:p>
            <w:pPr>
              <w:jc w:val="right"/>
              <w:ind w:right="160"/>
              <w:spacing w:after="0"/>
              <w:rPr>
                <w:sz w:val="20"/>
                <w:szCs w:val="20"/>
                <w:color w:val="auto"/>
              </w:rPr>
            </w:pPr>
            <w:r>
              <w:rPr>
                <w:rFonts w:ascii="Arial" w:cs="Arial" w:eastAsia="Arial" w:hAnsi="Arial"/>
                <w:sz w:val="12"/>
                <w:szCs w:val="12"/>
                <w:color w:val="auto"/>
              </w:rPr>
              <w:t>42.7%</w:t>
            </w:r>
          </w:p>
        </w:tc>
        <w:tc>
          <w:tcPr>
            <w:tcW w:w="160" w:type="dxa"/>
            <w:vAlign w:val="bottom"/>
          </w:tcPr>
          <w:p>
            <w:pPr>
              <w:spacing w:after="0"/>
              <w:rPr>
                <w:sz w:val="13"/>
                <w:szCs w:val="13"/>
                <w:color w:val="auto"/>
              </w:rPr>
            </w:pPr>
          </w:p>
        </w:tc>
        <w:tc>
          <w:tcPr>
            <w:tcW w:w="940" w:type="dxa"/>
            <w:vAlign w:val="bottom"/>
            <w:gridSpan w:val="4"/>
          </w:tcPr>
          <w:p>
            <w:pPr>
              <w:jc w:val="right"/>
              <w:ind w:right="160"/>
              <w:spacing w:after="0"/>
              <w:rPr>
                <w:sz w:val="20"/>
                <w:szCs w:val="20"/>
                <w:color w:val="auto"/>
              </w:rPr>
            </w:pPr>
            <w:r>
              <w:rPr>
                <w:rFonts w:ascii="Arial" w:cs="Arial" w:eastAsia="Arial" w:hAnsi="Arial"/>
                <w:sz w:val="12"/>
                <w:szCs w:val="12"/>
                <w:color w:val="auto"/>
              </w:rPr>
              <w:t>2.4%</w:t>
            </w:r>
          </w:p>
        </w:tc>
        <w:tc>
          <w:tcPr>
            <w:tcW w:w="500" w:type="dxa"/>
            <w:vAlign w:val="bottom"/>
          </w:tcPr>
          <w:p>
            <w:pPr>
              <w:spacing w:after="0"/>
              <w:rPr>
                <w:sz w:val="13"/>
                <w:szCs w:val="13"/>
                <w:color w:val="auto"/>
              </w:rPr>
            </w:pPr>
          </w:p>
        </w:tc>
        <w:tc>
          <w:tcPr>
            <w:tcW w:w="580" w:type="dxa"/>
            <w:vAlign w:val="bottom"/>
            <w:gridSpan w:val="3"/>
          </w:tcPr>
          <w:p>
            <w:pPr>
              <w:jc w:val="right"/>
              <w:ind w:right="80"/>
              <w:spacing w:after="0"/>
              <w:rPr>
                <w:sz w:val="20"/>
                <w:szCs w:val="20"/>
                <w:color w:val="auto"/>
              </w:rPr>
            </w:pPr>
            <w:r>
              <w:rPr>
                <w:rFonts w:ascii="Arial" w:cs="Arial" w:eastAsia="Arial" w:hAnsi="Arial"/>
                <w:sz w:val="12"/>
                <w:szCs w:val="12"/>
                <w:color w:val="auto"/>
              </w:rPr>
              <w:t>24.1%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gridSpan w:val="3"/>
          </w:tcPr>
          <w:p>
            <w:pPr>
              <w:jc w:val="right"/>
              <w:ind w:right="40"/>
              <w:spacing w:after="0"/>
              <w:rPr>
                <w:sz w:val="20"/>
                <w:szCs w:val="20"/>
                <w:color w:val="auto"/>
              </w:rPr>
            </w:pPr>
            <w:r>
              <w:rPr>
                <w:rFonts w:ascii="Arial" w:cs="Arial" w:eastAsia="Arial" w:hAnsi="Arial"/>
                <w:sz w:val="12"/>
                <w:szCs w:val="12"/>
                <w:color w:val="auto"/>
              </w:rPr>
              <w:t>78.9%</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spacing w:after="0"/>
              <w:rPr>
                <w:sz w:val="20"/>
                <w:szCs w:val="20"/>
                <w:color w:val="auto"/>
              </w:rPr>
            </w:pPr>
            <w:r>
              <w:rPr>
                <w:rFonts w:ascii="Arial" w:cs="Arial" w:eastAsia="Arial" w:hAnsi="Arial"/>
                <w:sz w:val="12"/>
                <w:szCs w:val="12"/>
                <w:color w:val="auto"/>
              </w:rPr>
              <w:t>Less:</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60"/>
              <w:spacing w:after="0"/>
              <w:rPr>
                <w:sz w:val="20"/>
                <w:szCs w:val="20"/>
                <w:color w:val="auto"/>
              </w:rPr>
            </w:pPr>
            <w:r>
              <w:rPr>
                <w:rFonts w:ascii="Arial" w:cs="Arial" w:eastAsia="Arial" w:hAnsi="Arial"/>
                <w:sz w:val="12"/>
                <w:szCs w:val="12"/>
                <w:color w:val="auto"/>
              </w:rPr>
              <w:t>Interest expense, net</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gridSpan w:val="2"/>
          </w:tcPr>
          <w:p>
            <w:pPr>
              <w:jc w:val="right"/>
              <w:spacing w:after="0"/>
              <w:rPr>
                <w:sz w:val="20"/>
                <w:szCs w:val="20"/>
                <w:color w:val="auto"/>
              </w:rPr>
            </w:pPr>
            <w:r>
              <w:rPr>
                <w:rFonts w:ascii="Arial" w:cs="Arial" w:eastAsia="Arial" w:hAnsi="Arial"/>
                <w:sz w:val="12"/>
                <w:szCs w:val="12"/>
                <w:color w:val="auto"/>
              </w:rPr>
              <w:t>319,591</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60"/>
              <w:spacing w:after="0"/>
              <w:rPr>
                <w:sz w:val="20"/>
                <w:szCs w:val="20"/>
                <w:color w:val="auto"/>
              </w:rPr>
            </w:pPr>
            <w:r>
              <w:rPr>
                <w:rFonts w:ascii="Arial" w:cs="Arial" w:eastAsia="Arial" w:hAnsi="Arial"/>
                <w:sz w:val="12"/>
                <w:szCs w:val="12"/>
                <w:color w:val="auto"/>
              </w:rPr>
              <w:t>Depreciation and amortization</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337,126</w:t>
            </w: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08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105,651</w:t>
            </w: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6,704</w:t>
            </w: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40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2"/>
                <w:szCs w:val="12"/>
                <w:color w:val="auto"/>
              </w:rPr>
              <w:t>1,994</w:t>
            </w: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jc w:val="right"/>
              <w:ind w:right="2"/>
              <w:spacing w:after="0"/>
              <w:rPr>
                <w:sz w:val="20"/>
                <w:szCs w:val="20"/>
                <w:color w:val="auto"/>
              </w:rPr>
            </w:pPr>
            <w:r>
              <w:rPr>
                <w:rFonts w:ascii="Arial" w:cs="Arial" w:eastAsia="Arial" w:hAnsi="Arial"/>
                <w:sz w:val="12"/>
                <w:szCs w:val="12"/>
                <w:color w:val="auto"/>
              </w:rPr>
              <w:t>275</w:t>
            </w:r>
          </w:p>
        </w:tc>
        <w:tc>
          <w:tcPr>
            <w:tcW w:w="1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451,750</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60"/>
              <w:spacing w:after="0"/>
              <w:rPr>
                <w:sz w:val="20"/>
                <w:szCs w:val="20"/>
                <w:color w:val="auto"/>
              </w:rPr>
            </w:pPr>
            <w:r>
              <w:rPr>
                <w:rFonts w:ascii="Arial" w:cs="Arial" w:eastAsia="Arial" w:hAnsi="Arial"/>
                <w:sz w:val="12"/>
                <w:szCs w:val="12"/>
                <w:color w:val="auto"/>
              </w:rPr>
              <w:t>Other income</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gridSpan w:val="3"/>
          </w:tcPr>
          <w:p>
            <w:pPr>
              <w:jc w:val="right"/>
              <w:ind w:right="100"/>
              <w:spacing w:after="0"/>
              <w:rPr>
                <w:sz w:val="20"/>
                <w:szCs w:val="20"/>
                <w:color w:val="auto"/>
              </w:rPr>
            </w:pPr>
            <w:r>
              <w:rPr>
                <w:rFonts w:ascii="Arial" w:cs="Arial" w:eastAsia="Arial" w:hAnsi="Arial"/>
                <w:sz w:val="12"/>
                <w:szCs w:val="12"/>
                <w:color w:val="auto"/>
              </w:rPr>
              <w:t>(4,504)</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60"/>
              <w:spacing w:after="0"/>
              <w:rPr>
                <w:sz w:val="20"/>
                <w:szCs w:val="20"/>
                <w:color w:val="auto"/>
              </w:rPr>
            </w:pPr>
            <w:r>
              <w:rPr>
                <w:rFonts w:ascii="Arial" w:cs="Arial" w:eastAsia="Arial" w:hAnsi="Arial"/>
                <w:sz w:val="12"/>
                <w:szCs w:val="12"/>
                <w:color w:val="auto"/>
              </w:rPr>
              <w:t>Transaction related costs</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17,410</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60"/>
              <w:spacing w:after="0"/>
              <w:rPr>
                <w:sz w:val="20"/>
                <w:szCs w:val="20"/>
                <w:color w:val="auto"/>
              </w:rPr>
            </w:pPr>
            <w:r>
              <w:rPr>
                <w:rFonts w:ascii="Arial" w:cs="Arial" w:eastAsia="Arial" w:hAnsi="Arial"/>
                <w:sz w:val="12"/>
                <w:szCs w:val="12"/>
                <w:color w:val="auto"/>
              </w:rPr>
              <w:t>Stock-based compensation</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gridSpan w:val="2"/>
          </w:tcPr>
          <w:p>
            <w:pPr>
              <w:jc w:val="right"/>
              <w:spacing w:after="0"/>
              <w:rPr>
                <w:sz w:val="20"/>
                <w:szCs w:val="20"/>
                <w:color w:val="auto"/>
              </w:rPr>
            </w:pPr>
            <w:r>
              <w:rPr>
                <w:rFonts w:ascii="Arial" w:cs="Arial" w:eastAsia="Arial" w:hAnsi="Arial"/>
                <w:sz w:val="12"/>
                <w:szCs w:val="12"/>
                <w:color w:val="auto"/>
              </w:rPr>
              <w:t>8,064</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Borders>
              <w:right w:val="single" w:sz="8" w:color="CFF0FC"/>
            </w:tcBorders>
            <w:shd w:val="clear" w:color="auto" w:fill="CFF0FC"/>
          </w:tcPr>
          <w:p>
            <w:pPr>
              <w:ind w:left="60"/>
              <w:spacing w:after="0"/>
              <w:rPr>
                <w:sz w:val="20"/>
                <w:szCs w:val="20"/>
                <w:color w:val="auto"/>
              </w:rPr>
            </w:pPr>
            <w:r>
              <w:rPr>
                <w:rFonts w:ascii="Arial" w:cs="Arial" w:eastAsia="Arial" w:hAnsi="Arial"/>
                <w:sz w:val="12"/>
                <w:szCs w:val="12"/>
                <w:color w:val="auto"/>
              </w:rPr>
              <w:t>Income tax benefit</w:t>
            </w: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40" w:type="dxa"/>
            <w:vAlign w:val="bottom"/>
            <w:tcBorders>
              <w:right w:val="single" w:sz="8" w:color="CFF0FC"/>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80" w:type="dxa"/>
            <w:vAlign w:val="bottom"/>
            <w:tcBorders>
              <w:right w:val="single" w:sz="8" w:color="CFF0FC"/>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940" w:type="dxa"/>
            <w:vAlign w:val="bottom"/>
            <w:gridSpan w:val="3"/>
            <w:shd w:val="clear" w:color="auto" w:fill="CFF0FC"/>
          </w:tcPr>
          <w:p>
            <w:pPr>
              <w:jc w:val="right"/>
              <w:ind w:right="100"/>
              <w:spacing w:after="0"/>
              <w:rPr>
                <w:sz w:val="20"/>
                <w:szCs w:val="20"/>
                <w:color w:val="auto"/>
              </w:rPr>
            </w:pPr>
            <w:r>
              <w:rPr>
                <w:rFonts w:ascii="Arial" w:cs="Arial" w:eastAsia="Arial" w:hAnsi="Arial"/>
                <w:sz w:val="12"/>
                <w:szCs w:val="12"/>
                <w:color w:val="auto"/>
              </w:rPr>
              <w:t>(5,421)</w:t>
            </w:r>
          </w:p>
        </w:tc>
        <w:tc>
          <w:tcPr>
            <w:tcW w:w="8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4140" w:type="dxa"/>
            <w:vAlign w:val="bottom"/>
          </w:tcPr>
          <w:p>
            <w:pPr>
              <w:ind w:left="60"/>
              <w:spacing w:after="0"/>
              <w:rPr>
                <w:sz w:val="20"/>
                <w:szCs w:val="20"/>
                <w:color w:val="auto"/>
              </w:rPr>
            </w:pPr>
            <w:r>
              <w:rPr>
                <w:rFonts w:ascii="Arial" w:cs="Arial" w:eastAsia="Arial" w:hAnsi="Arial"/>
                <w:sz w:val="12"/>
                <w:szCs w:val="12"/>
                <w:color w:val="auto"/>
              </w:rPr>
              <w:t>Other</w:t>
            </w: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gridSpan w:val="3"/>
          </w:tcPr>
          <w:p>
            <w:pPr>
              <w:jc w:val="right"/>
              <w:ind w:right="100"/>
              <w:spacing w:after="0"/>
              <w:rPr>
                <w:sz w:val="20"/>
                <w:szCs w:val="20"/>
                <w:color w:val="auto"/>
              </w:rPr>
            </w:pPr>
            <w:r>
              <w:rPr>
                <w:rFonts w:ascii="Arial" w:cs="Arial" w:eastAsia="Arial" w:hAnsi="Arial"/>
                <w:sz w:val="12"/>
                <w:szCs w:val="12"/>
                <w:color w:val="auto"/>
              </w:rPr>
              <w:t>(552)</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40" w:type="dxa"/>
            <w:vAlign w:val="bottom"/>
            <w:tcBorders>
              <w:right w:val="single" w:sz="8" w:color="CFF0FC"/>
            </w:tcBorders>
            <w:vMerge w:val="restart"/>
            <w:shd w:val="clear" w:color="auto" w:fill="CFF0FC"/>
          </w:tcPr>
          <w:p>
            <w:pPr>
              <w:spacing w:after="0"/>
              <w:rPr>
                <w:sz w:val="20"/>
                <w:szCs w:val="20"/>
                <w:color w:val="auto"/>
              </w:rPr>
            </w:pPr>
            <w:r>
              <w:rPr>
                <w:rFonts w:ascii="Arial" w:cs="Arial" w:eastAsia="Arial" w:hAnsi="Arial"/>
                <w:sz w:val="12"/>
                <w:szCs w:val="12"/>
                <w:color w:val="auto"/>
              </w:rPr>
              <w:t>Net income</w:t>
            </w:r>
          </w:p>
        </w:tc>
        <w:tc>
          <w:tcPr>
            <w:tcW w:w="180" w:type="dxa"/>
            <w:vAlign w:val="bottom"/>
            <w:shd w:val="clear" w:color="auto" w:fill="CFF0FC"/>
          </w:tcPr>
          <w:p>
            <w:pPr>
              <w:spacing w:after="0" w:line="20" w:lineRule="exact"/>
              <w:rPr>
                <w:sz w:val="1"/>
                <w:szCs w:val="1"/>
                <w:color w:val="auto"/>
              </w:rPr>
            </w:pPr>
          </w:p>
        </w:tc>
        <w:tc>
          <w:tcPr>
            <w:tcW w:w="760" w:type="dxa"/>
            <w:vAlign w:val="bottom"/>
            <w:shd w:val="clear" w:color="auto" w:fill="CFF0FC"/>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660" w:type="dxa"/>
            <w:vAlign w:val="bottom"/>
            <w:shd w:val="clear" w:color="auto" w:fill="CFF0FC"/>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5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50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240" w:type="dxa"/>
            <w:vAlign w:val="bottom"/>
            <w:tcBorders>
              <w:right w:val="single" w:sz="8" w:color="CFF0FC"/>
            </w:tcBorders>
            <w:shd w:val="clear" w:color="auto" w:fill="CFF0FC"/>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880" w:type="dxa"/>
            <w:vAlign w:val="bottom"/>
            <w:tcBorders>
              <w:right w:val="single" w:sz="8" w:color="CFF0FC"/>
            </w:tcBorders>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gridSpan w:val="2"/>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20" w:type="dxa"/>
            <w:vAlign w:val="bottom"/>
          </w:tcPr>
          <w:p>
            <w:pPr>
              <w:spacing w:after="0"/>
              <w:rPr>
                <w:sz w:val="14"/>
                <w:szCs w:val="14"/>
                <w:color w:val="auto"/>
              </w:rPr>
            </w:pPr>
          </w:p>
        </w:tc>
        <w:tc>
          <w:tcPr>
            <w:tcW w:w="4140" w:type="dxa"/>
            <w:vAlign w:val="bottom"/>
            <w:tcBorders>
              <w:right w:val="single" w:sz="8" w:color="CFF0FC"/>
            </w:tcBorders>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80" w:type="dxa"/>
            <w:vAlign w:val="bottom"/>
            <w:tcBorders>
              <w:right w:val="single" w:sz="8" w:color="CFF0FC"/>
            </w:tcBorders>
            <w:shd w:val="clear" w:color="auto" w:fill="CFF0FC"/>
          </w:tcPr>
          <w:p>
            <w:pPr>
              <w:spacing w:after="0"/>
              <w:rPr>
                <w:sz w:val="14"/>
                <w:szCs w:val="14"/>
                <w:color w:val="auto"/>
              </w:rPr>
            </w:pPr>
          </w:p>
        </w:tc>
        <w:tc>
          <w:tcPr>
            <w:tcW w:w="340" w:type="dxa"/>
            <w:vAlign w:val="bottom"/>
            <w:gridSpan w:val="2"/>
            <w:shd w:val="clear" w:color="auto" w:fill="CFF0FC"/>
          </w:tcPr>
          <w:p>
            <w:pPr>
              <w:jc w:val="right"/>
              <w:ind w:right="138"/>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4"/>
                <w:szCs w:val="14"/>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16,545</w:t>
            </w: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5"/>
        </w:trPr>
        <w:tc>
          <w:tcPr>
            <w:tcW w:w="20" w:type="dxa"/>
            <w:vAlign w:val="bottom"/>
          </w:tcPr>
          <w:p>
            <w:pPr>
              <w:spacing w:after="0"/>
              <w:rPr>
                <w:sz w:val="23"/>
                <w:szCs w:val="23"/>
                <w:color w:val="auto"/>
              </w:rPr>
            </w:pPr>
          </w:p>
        </w:tc>
        <w:tc>
          <w:tcPr>
            <w:tcW w:w="4140" w:type="dxa"/>
            <w:vAlign w:val="bottom"/>
            <w:tcBorders>
              <w:top w:val="single" w:sz="8" w:color="CFF0FC"/>
            </w:tcBorders>
          </w:tcPr>
          <w:p>
            <w:pPr>
              <w:spacing w:after="0"/>
              <w:rPr>
                <w:sz w:val="23"/>
                <w:szCs w:val="23"/>
                <w:color w:val="auto"/>
              </w:rPr>
            </w:pPr>
          </w:p>
        </w:tc>
        <w:tc>
          <w:tcPr>
            <w:tcW w:w="180" w:type="dxa"/>
            <w:vAlign w:val="bottom"/>
            <w:tcBorders>
              <w:top w:val="single" w:sz="8" w:color="CFF0FC"/>
            </w:tcBorders>
          </w:tcPr>
          <w:p>
            <w:pPr>
              <w:spacing w:after="0"/>
              <w:rPr>
                <w:sz w:val="23"/>
                <w:szCs w:val="23"/>
                <w:color w:val="auto"/>
              </w:rPr>
            </w:pPr>
          </w:p>
        </w:tc>
        <w:tc>
          <w:tcPr>
            <w:tcW w:w="760" w:type="dxa"/>
            <w:vAlign w:val="bottom"/>
            <w:tcBorders>
              <w:top w:val="single" w:sz="8" w:color="CFF0FC"/>
            </w:tcBorders>
          </w:tcPr>
          <w:p>
            <w:pPr>
              <w:spacing w:after="0"/>
              <w:rPr>
                <w:sz w:val="23"/>
                <w:szCs w:val="23"/>
                <w:color w:val="auto"/>
              </w:rPr>
            </w:pPr>
          </w:p>
        </w:tc>
        <w:tc>
          <w:tcPr>
            <w:tcW w:w="180" w:type="dxa"/>
            <w:vAlign w:val="bottom"/>
            <w:tcBorders>
              <w:top w:val="single" w:sz="8" w:color="CFF0FC"/>
            </w:tcBorders>
          </w:tcPr>
          <w:p>
            <w:pPr>
              <w:spacing w:after="0"/>
              <w:rPr>
                <w:sz w:val="23"/>
                <w:szCs w:val="23"/>
                <w:color w:val="auto"/>
              </w:rPr>
            </w:pPr>
          </w:p>
        </w:tc>
        <w:tc>
          <w:tcPr>
            <w:tcW w:w="80" w:type="dxa"/>
            <w:vAlign w:val="bottom"/>
            <w:tcBorders>
              <w:top w:val="single" w:sz="8" w:color="CFF0FC"/>
            </w:tcBorders>
          </w:tcPr>
          <w:p>
            <w:pPr>
              <w:spacing w:after="0"/>
              <w:rPr>
                <w:sz w:val="23"/>
                <w:szCs w:val="23"/>
                <w:color w:val="auto"/>
              </w:rPr>
            </w:pPr>
          </w:p>
        </w:tc>
        <w:tc>
          <w:tcPr>
            <w:tcW w:w="120" w:type="dxa"/>
            <w:vAlign w:val="bottom"/>
            <w:tcBorders>
              <w:top w:val="single" w:sz="8" w:color="CFF0FC"/>
            </w:tcBorders>
          </w:tcPr>
          <w:p>
            <w:pPr>
              <w:spacing w:after="0"/>
              <w:rPr>
                <w:sz w:val="23"/>
                <w:szCs w:val="23"/>
                <w:color w:val="auto"/>
              </w:rPr>
            </w:pPr>
          </w:p>
        </w:tc>
        <w:tc>
          <w:tcPr>
            <w:tcW w:w="420" w:type="dxa"/>
            <w:vAlign w:val="bottom"/>
            <w:tcBorders>
              <w:top w:val="single" w:sz="8" w:color="CFF0FC"/>
            </w:tcBorders>
            <w:gridSpan w:val="2"/>
          </w:tcPr>
          <w:p>
            <w:pPr>
              <w:jc w:val="right"/>
              <w:ind w:right="100"/>
              <w:spacing w:after="0"/>
              <w:rPr>
                <w:sz w:val="20"/>
                <w:szCs w:val="20"/>
                <w:color w:val="auto"/>
              </w:rPr>
            </w:pPr>
            <w:r>
              <w:rPr>
                <w:rFonts w:ascii="Arial" w:cs="Arial" w:eastAsia="Arial" w:hAnsi="Arial"/>
                <w:sz w:val="12"/>
                <w:szCs w:val="12"/>
                <w:color w:val="auto"/>
              </w:rPr>
              <w:t>34</w:t>
            </w:r>
          </w:p>
        </w:tc>
        <w:tc>
          <w:tcPr>
            <w:tcW w:w="660" w:type="dxa"/>
            <w:vAlign w:val="bottom"/>
            <w:tcBorders>
              <w:top w:val="single" w:sz="8" w:color="CFF0FC"/>
            </w:tcBorders>
          </w:tcPr>
          <w:p>
            <w:pPr>
              <w:spacing w:after="0"/>
              <w:rPr>
                <w:sz w:val="23"/>
                <w:szCs w:val="23"/>
                <w:color w:val="auto"/>
              </w:rPr>
            </w:pPr>
          </w:p>
        </w:tc>
        <w:tc>
          <w:tcPr>
            <w:tcW w:w="260" w:type="dxa"/>
            <w:vAlign w:val="bottom"/>
            <w:tcBorders>
              <w:top w:val="single" w:sz="8" w:color="CFF0FC"/>
            </w:tcBorders>
          </w:tcPr>
          <w:p>
            <w:pPr>
              <w:spacing w:after="0"/>
              <w:rPr>
                <w:sz w:val="23"/>
                <w:szCs w:val="23"/>
                <w:color w:val="auto"/>
              </w:rPr>
            </w:pPr>
          </w:p>
        </w:tc>
        <w:tc>
          <w:tcPr>
            <w:tcW w:w="160" w:type="dxa"/>
            <w:vAlign w:val="bottom"/>
            <w:tcBorders>
              <w:top w:val="single" w:sz="8" w:color="CFF0FC"/>
            </w:tcBorders>
          </w:tcPr>
          <w:p>
            <w:pPr>
              <w:spacing w:after="0"/>
              <w:rPr>
                <w:sz w:val="23"/>
                <w:szCs w:val="23"/>
                <w:color w:val="auto"/>
              </w:rPr>
            </w:pPr>
          </w:p>
        </w:tc>
        <w:tc>
          <w:tcPr>
            <w:tcW w:w="540" w:type="dxa"/>
            <w:vAlign w:val="bottom"/>
            <w:tcBorders>
              <w:top w:val="single" w:sz="8" w:color="CFF0FC"/>
            </w:tcBorders>
          </w:tcPr>
          <w:p>
            <w:pPr>
              <w:spacing w:after="0"/>
              <w:rPr>
                <w:sz w:val="23"/>
                <w:szCs w:val="23"/>
                <w:color w:val="auto"/>
              </w:rPr>
            </w:pPr>
          </w:p>
        </w:tc>
        <w:tc>
          <w:tcPr>
            <w:tcW w:w="140" w:type="dxa"/>
            <w:vAlign w:val="bottom"/>
            <w:tcBorders>
              <w:top w:val="single" w:sz="8" w:color="CFF0FC"/>
            </w:tcBorders>
          </w:tcPr>
          <w:p>
            <w:pPr>
              <w:spacing w:after="0"/>
              <w:rPr>
                <w:sz w:val="23"/>
                <w:szCs w:val="23"/>
                <w:color w:val="auto"/>
              </w:rPr>
            </w:pPr>
          </w:p>
        </w:tc>
        <w:tc>
          <w:tcPr>
            <w:tcW w:w="100" w:type="dxa"/>
            <w:vAlign w:val="bottom"/>
            <w:tcBorders>
              <w:top w:val="single" w:sz="8" w:color="CFF0FC"/>
            </w:tcBorders>
          </w:tcPr>
          <w:p>
            <w:pPr>
              <w:spacing w:after="0"/>
              <w:rPr>
                <w:sz w:val="23"/>
                <w:szCs w:val="23"/>
                <w:color w:val="auto"/>
              </w:rPr>
            </w:pPr>
          </w:p>
        </w:tc>
        <w:tc>
          <w:tcPr>
            <w:tcW w:w="160" w:type="dxa"/>
            <w:vAlign w:val="bottom"/>
            <w:tcBorders>
              <w:top w:val="single" w:sz="8" w:color="CFF0FC"/>
            </w:tcBorders>
          </w:tcPr>
          <w:p>
            <w:pPr>
              <w:spacing w:after="0"/>
              <w:rPr>
                <w:sz w:val="23"/>
                <w:szCs w:val="23"/>
                <w:color w:val="auto"/>
              </w:rPr>
            </w:pPr>
          </w:p>
        </w:tc>
        <w:tc>
          <w:tcPr>
            <w:tcW w:w="500" w:type="dxa"/>
            <w:vAlign w:val="bottom"/>
            <w:tcBorders>
              <w:top w:val="single" w:sz="8" w:color="CFF0FC"/>
            </w:tcBorders>
          </w:tcPr>
          <w:p>
            <w:pPr>
              <w:spacing w:after="0"/>
              <w:rPr>
                <w:sz w:val="23"/>
                <w:szCs w:val="23"/>
                <w:color w:val="auto"/>
              </w:rPr>
            </w:pPr>
          </w:p>
        </w:tc>
        <w:tc>
          <w:tcPr>
            <w:tcW w:w="160" w:type="dxa"/>
            <w:vAlign w:val="bottom"/>
            <w:tcBorders>
              <w:top w:val="single" w:sz="8" w:color="CFF0FC"/>
            </w:tcBorders>
          </w:tcPr>
          <w:p>
            <w:pPr>
              <w:spacing w:after="0"/>
              <w:rPr>
                <w:sz w:val="23"/>
                <w:szCs w:val="23"/>
                <w:color w:val="auto"/>
              </w:rPr>
            </w:pPr>
          </w:p>
        </w:tc>
        <w:tc>
          <w:tcPr>
            <w:tcW w:w="240" w:type="dxa"/>
            <w:vAlign w:val="bottom"/>
            <w:tcBorders>
              <w:top w:val="single" w:sz="8" w:color="CFF0FC"/>
            </w:tcBorders>
          </w:tcPr>
          <w:p>
            <w:pPr>
              <w:spacing w:after="0"/>
              <w:rPr>
                <w:sz w:val="23"/>
                <w:szCs w:val="23"/>
                <w:color w:val="auto"/>
              </w:rPr>
            </w:pPr>
          </w:p>
        </w:tc>
        <w:tc>
          <w:tcPr>
            <w:tcW w:w="180" w:type="dxa"/>
            <w:vAlign w:val="bottom"/>
            <w:tcBorders>
              <w:top w:val="single" w:sz="8" w:color="CFF0FC"/>
            </w:tcBorders>
          </w:tcPr>
          <w:p>
            <w:pPr>
              <w:spacing w:after="0"/>
              <w:rPr>
                <w:sz w:val="23"/>
                <w:szCs w:val="23"/>
                <w:color w:val="auto"/>
              </w:rPr>
            </w:pPr>
          </w:p>
        </w:tc>
        <w:tc>
          <w:tcPr>
            <w:tcW w:w="80" w:type="dxa"/>
            <w:vAlign w:val="bottom"/>
            <w:tcBorders>
              <w:top w:val="single" w:sz="8" w:color="CFF0FC"/>
            </w:tcBorders>
          </w:tcPr>
          <w:p>
            <w:pPr>
              <w:spacing w:after="0"/>
              <w:rPr>
                <w:sz w:val="23"/>
                <w:szCs w:val="23"/>
                <w:color w:val="auto"/>
              </w:rPr>
            </w:pPr>
          </w:p>
        </w:tc>
        <w:tc>
          <w:tcPr>
            <w:tcW w:w="80" w:type="dxa"/>
            <w:vAlign w:val="bottom"/>
            <w:tcBorders>
              <w:top w:val="single" w:sz="8" w:color="CFF0FC"/>
            </w:tcBorders>
          </w:tcPr>
          <w:p>
            <w:pPr>
              <w:spacing w:after="0"/>
              <w:rPr>
                <w:sz w:val="23"/>
                <w:szCs w:val="23"/>
                <w:color w:val="auto"/>
              </w:rPr>
            </w:pPr>
          </w:p>
        </w:tc>
        <w:tc>
          <w:tcPr>
            <w:tcW w:w="880" w:type="dxa"/>
            <w:vAlign w:val="bottom"/>
            <w:tcBorders>
              <w:top w:val="single" w:sz="8" w:color="CFF0FC"/>
            </w:tcBorders>
          </w:tcPr>
          <w:p>
            <w:pPr>
              <w:spacing w:after="0"/>
              <w:rPr>
                <w:sz w:val="23"/>
                <w:szCs w:val="23"/>
                <w:color w:val="auto"/>
              </w:rPr>
            </w:pPr>
          </w:p>
        </w:tc>
        <w:tc>
          <w:tcPr>
            <w:tcW w:w="100" w:type="dxa"/>
            <w:vAlign w:val="bottom"/>
            <w:tcBorders>
              <w:top w:val="single" w:sz="8" w:color="CFF0FC"/>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660" w:type="dxa"/>
            <w:vAlign w:val="bottom"/>
            <w:tcBorders>
              <w:top w:val="single" w:sz="8" w:color="auto"/>
            </w:tcBorders>
          </w:tcPr>
          <w:p>
            <w:pPr>
              <w:spacing w:after="0"/>
              <w:rPr>
                <w:sz w:val="23"/>
                <w:szCs w:val="23"/>
                <w:color w:val="auto"/>
              </w:rPr>
            </w:pPr>
          </w:p>
        </w:tc>
        <w:tc>
          <w:tcPr>
            <w:tcW w:w="140" w:type="dxa"/>
            <w:vAlign w:val="bottom"/>
            <w:tcBorders>
              <w:top w:val="single" w:sz="8" w:color="CFF0FC"/>
            </w:tcBorders>
          </w:tcPr>
          <w:p>
            <w:pPr>
              <w:spacing w:after="0"/>
              <w:rPr>
                <w:sz w:val="23"/>
                <w:szCs w:val="23"/>
                <w:color w:val="auto"/>
              </w:rPr>
            </w:pPr>
          </w:p>
        </w:tc>
        <w:tc>
          <w:tcPr>
            <w:tcW w:w="80" w:type="dxa"/>
            <w:vAlign w:val="bottom"/>
            <w:tcBorders>
              <w:top w:val="single" w:sz="8" w:color="CFF0FC"/>
            </w:tcBorders>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414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50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34" w:name="page35"/>
    <w:bookmarkEnd w:id="3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1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180" w:type="dxa"/>
            <w:vAlign w:val="bottom"/>
            <w:tcBorders>
              <w:bottom w:val="single" w:sz="8" w:color="auto"/>
            </w:tcBorders>
            <w:gridSpan w:val="5"/>
          </w:tcPr>
          <w:p>
            <w:pPr>
              <w:jc w:val="right"/>
              <w:ind w:right="820"/>
              <w:spacing w:after="0"/>
              <w:rPr>
                <w:sz w:val="20"/>
                <w:szCs w:val="20"/>
                <w:color w:val="auto"/>
              </w:rPr>
            </w:pPr>
            <w:r>
              <w:rPr>
                <w:rFonts w:ascii="Arial" w:cs="Arial" w:eastAsia="Arial" w:hAnsi="Arial"/>
                <w:sz w:val="10"/>
                <w:szCs w:val="10"/>
                <w:b w:val="1"/>
                <w:bCs w:val="1"/>
                <w:color w:val="auto"/>
                <w:w w:val="90"/>
              </w:rPr>
              <w:t>Year Ended December 31, 2017</w:t>
            </w:r>
          </w:p>
        </w:tc>
        <w:tc>
          <w:tcPr>
            <w:tcW w:w="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3"/>
        </w:trPr>
        <w:tc>
          <w:tcPr>
            <w:tcW w:w="41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80" w:type="dxa"/>
            <w:vAlign w:val="bottom"/>
          </w:tcPr>
          <w:p>
            <w:pPr>
              <w:jc w:val="right"/>
              <w:ind w:right="22"/>
              <w:spacing w:after="0" w:line="83" w:lineRule="exact"/>
              <w:rPr>
                <w:sz w:val="20"/>
                <w:szCs w:val="20"/>
                <w:color w:val="auto"/>
              </w:rPr>
            </w:pPr>
            <w:r>
              <w:rPr>
                <w:rFonts w:ascii="Arial" w:cs="Arial" w:eastAsia="Arial" w:hAnsi="Arial"/>
                <w:sz w:val="8"/>
                <w:szCs w:val="8"/>
                <w:b w:val="1"/>
                <w:bCs w:val="1"/>
                <w:color w:val="auto"/>
              </w:rPr>
              <w:t>Total of Reportable</w:t>
            </w: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14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40" w:type="dxa"/>
            <w:vAlign w:val="bottom"/>
            <w:tcBorders>
              <w:bottom w:val="single" w:sz="8" w:color="CFF0FC"/>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jc w:val="right"/>
              <w:ind w:right="262"/>
              <w:spacing w:after="0" w:line="114" w:lineRule="exact"/>
              <w:rPr>
                <w:sz w:val="20"/>
                <w:szCs w:val="20"/>
                <w:color w:val="auto"/>
              </w:rPr>
            </w:pPr>
            <w:r>
              <w:rPr>
                <w:rFonts w:ascii="Arial" w:cs="Arial" w:eastAsia="Arial" w:hAnsi="Arial"/>
                <w:sz w:val="10"/>
                <w:szCs w:val="10"/>
                <w:b w:val="1"/>
                <w:bCs w:val="1"/>
                <w:color w:val="auto"/>
              </w:rPr>
              <w:t>Leasing</w:t>
            </w:r>
          </w:p>
        </w:tc>
        <w:tc>
          <w:tcPr>
            <w:tcW w:w="180" w:type="dxa"/>
            <w:vAlign w:val="bottom"/>
            <w:tcBorders>
              <w:bottom w:val="single" w:sz="8" w:color="CFF0FC"/>
            </w:tcBorders>
          </w:tcPr>
          <w:p>
            <w:pPr>
              <w:spacing w:after="0"/>
              <w:rPr>
                <w:sz w:val="9"/>
                <w:szCs w:val="9"/>
                <w:color w:val="auto"/>
              </w:rPr>
            </w:pPr>
          </w:p>
        </w:tc>
        <w:tc>
          <w:tcPr>
            <w:tcW w:w="80" w:type="dxa"/>
            <w:vAlign w:val="bottom"/>
            <w:tcBorders>
              <w:bottom w:val="single" w:sz="8" w:color="CFF0FC"/>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100" w:type="dxa"/>
            <w:vAlign w:val="bottom"/>
            <w:tcBorders>
              <w:bottom w:val="single" w:sz="8" w:color="auto"/>
            </w:tcBorders>
          </w:tcPr>
          <w:p>
            <w:pPr>
              <w:jc w:val="right"/>
              <w:ind w:right="142"/>
              <w:spacing w:after="0" w:line="114" w:lineRule="exact"/>
              <w:rPr>
                <w:sz w:val="20"/>
                <w:szCs w:val="20"/>
                <w:color w:val="auto"/>
              </w:rPr>
            </w:pPr>
            <w:r>
              <w:rPr>
                <w:rFonts w:ascii="Arial" w:cs="Arial" w:eastAsia="Arial" w:hAnsi="Arial"/>
                <w:sz w:val="10"/>
                <w:szCs w:val="10"/>
                <w:b w:val="1"/>
                <w:bCs w:val="1"/>
                <w:color w:val="auto"/>
                <w:w w:val="95"/>
              </w:rPr>
              <w:t>Fiber Infrastructure</w:t>
            </w:r>
          </w:p>
        </w:tc>
        <w:tc>
          <w:tcPr>
            <w:tcW w:w="260" w:type="dxa"/>
            <w:vAlign w:val="bottom"/>
            <w:tcBorders>
              <w:bottom w:val="single" w:sz="8" w:color="CFF0FC"/>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jc w:val="right"/>
              <w:ind w:right="244"/>
              <w:spacing w:after="0" w:line="114" w:lineRule="exact"/>
              <w:rPr>
                <w:sz w:val="20"/>
                <w:szCs w:val="20"/>
                <w:color w:val="auto"/>
              </w:rPr>
            </w:pPr>
            <w:r>
              <w:rPr>
                <w:rFonts w:ascii="Arial" w:cs="Arial" w:eastAsia="Arial" w:hAnsi="Arial"/>
                <w:sz w:val="10"/>
                <w:szCs w:val="10"/>
                <w:b w:val="1"/>
                <w:bCs w:val="1"/>
                <w:color w:val="auto"/>
              </w:rPr>
              <w:t>Towers</w:t>
            </w:r>
          </w:p>
        </w:tc>
        <w:tc>
          <w:tcPr>
            <w:tcW w:w="340" w:type="dxa"/>
            <w:vAlign w:val="bottom"/>
            <w:tcBorders>
              <w:bottom w:val="single" w:sz="8" w:color="CFF0FC"/>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jc w:val="right"/>
              <w:ind w:right="42"/>
              <w:spacing w:after="0" w:line="114" w:lineRule="exact"/>
              <w:rPr>
                <w:sz w:val="20"/>
                <w:szCs w:val="20"/>
                <w:color w:val="auto"/>
              </w:rPr>
            </w:pPr>
            <w:r>
              <w:rPr>
                <w:rFonts w:ascii="Arial" w:cs="Arial" w:eastAsia="Arial" w:hAnsi="Arial"/>
                <w:sz w:val="10"/>
                <w:szCs w:val="10"/>
                <w:b w:val="1"/>
                <w:bCs w:val="1"/>
                <w:color w:val="auto"/>
                <w:w w:val="88"/>
              </w:rPr>
              <w:t>Consumer CLEC</w:t>
            </w:r>
          </w:p>
        </w:tc>
        <w:tc>
          <w:tcPr>
            <w:tcW w:w="180" w:type="dxa"/>
            <w:vAlign w:val="bottom"/>
            <w:tcBorders>
              <w:bottom w:val="single" w:sz="8" w:color="CFF0FC"/>
            </w:tcBorders>
          </w:tcPr>
          <w:p>
            <w:pPr>
              <w:spacing w:after="0"/>
              <w:rPr>
                <w:sz w:val="9"/>
                <w:szCs w:val="9"/>
                <w:color w:val="auto"/>
              </w:rPr>
            </w:pPr>
          </w:p>
        </w:tc>
        <w:tc>
          <w:tcPr>
            <w:tcW w:w="80" w:type="dxa"/>
            <w:vAlign w:val="bottom"/>
            <w:tcBorders>
              <w:bottom w:val="single" w:sz="8" w:color="CFF0FC"/>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right"/>
              <w:ind w:right="182"/>
              <w:spacing w:after="0" w:line="114" w:lineRule="exact"/>
              <w:rPr>
                <w:sz w:val="20"/>
                <w:szCs w:val="20"/>
                <w:color w:val="auto"/>
              </w:rPr>
            </w:pPr>
            <w:r>
              <w:rPr>
                <w:rFonts w:ascii="Arial" w:cs="Arial" w:eastAsia="Arial" w:hAnsi="Arial"/>
                <w:sz w:val="10"/>
                <w:szCs w:val="10"/>
                <w:b w:val="1"/>
                <w:bCs w:val="1"/>
                <w:color w:val="auto"/>
              </w:rPr>
              <w:t>Corporate</w:t>
            </w:r>
          </w:p>
        </w:tc>
        <w:tc>
          <w:tcPr>
            <w:tcW w:w="16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jc w:val="right"/>
              <w:ind w:right="222"/>
              <w:spacing w:after="0" w:line="114" w:lineRule="exact"/>
              <w:rPr>
                <w:sz w:val="20"/>
                <w:szCs w:val="20"/>
                <w:color w:val="auto"/>
              </w:rPr>
            </w:pPr>
            <w:r>
              <w:rPr>
                <w:rFonts w:ascii="Arial" w:cs="Arial" w:eastAsia="Arial" w:hAnsi="Arial"/>
                <w:sz w:val="10"/>
                <w:szCs w:val="10"/>
                <w:b w:val="1"/>
                <w:bCs w:val="1"/>
                <w:color w:val="auto"/>
              </w:rPr>
              <w:t>Segments</w:t>
            </w:r>
          </w:p>
        </w:tc>
        <w:tc>
          <w:tcPr>
            <w:tcW w:w="220" w:type="dxa"/>
            <w:vAlign w:val="bottom"/>
            <w:tcBorders>
              <w:bottom w:val="single" w:sz="8" w:color="CFF0FC"/>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1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Revenues</w:t>
            </w: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685,099</w:t>
            </w:r>
          </w:p>
        </w:tc>
        <w:tc>
          <w:tcPr>
            <w:tcW w:w="180" w:type="dxa"/>
            <w:vAlign w:val="bottom"/>
            <w:shd w:val="clear" w:color="auto" w:fill="CFF0FC"/>
          </w:tcPr>
          <w:p>
            <w:pPr>
              <w:spacing w:after="0"/>
              <w:rPr>
                <w:sz w:val="12"/>
                <w:szCs w:val="12"/>
                <w:color w:val="auto"/>
              </w:rPr>
            </w:pPr>
          </w:p>
        </w:tc>
        <w:tc>
          <w:tcPr>
            <w:tcW w:w="200" w:type="dxa"/>
            <w:vAlign w:val="bottom"/>
            <w:gridSpan w:val="2"/>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260" w:type="dxa"/>
            <w:vAlign w:val="bottom"/>
            <w:shd w:val="clear" w:color="auto" w:fill="CFF0FC"/>
          </w:tcPr>
          <w:p>
            <w:pPr>
              <w:spacing w:after="0"/>
              <w:rPr>
                <w:sz w:val="12"/>
                <w:szCs w:val="12"/>
                <w:color w:val="auto"/>
              </w:rPr>
            </w:pPr>
          </w:p>
        </w:tc>
        <w:tc>
          <w:tcPr>
            <w:tcW w:w="120" w:type="dxa"/>
            <w:vAlign w:val="bottom"/>
            <w:shd w:val="clear" w:color="auto" w:fill="CFF0FC"/>
          </w:tcPr>
          <w:p>
            <w:pPr>
              <w:jc w:val="right"/>
              <w:ind w:right="10"/>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10,055</w:t>
            </w:r>
          </w:p>
        </w:tc>
        <w:tc>
          <w:tcPr>
            <w:tcW w:w="340" w:type="dxa"/>
            <w:vAlign w:val="bottom"/>
            <w:shd w:val="clear" w:color="auto" w:fill="CFF0FC"/>
          </w:tcPr>
          <w:p>
            <w:pPr>
              <w:spacing w:after="0"/>
              <w:rPr>
                <w:sz w:val="12"/>
                <w:szCs w:val="12"/>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18,087</w:t>
            </w:r>
          </w:p>
        </w:tc>
        <w:tc>
          <w:tcPr>
            <w:tcW w:w="180" w:type="dxa"/>
            <w:vAlign w:val="bottom"/>
            <w:shd w:val="clear" w:color="auto" w:fill="CFF0FC"/>
          </w:tcPr>
          <w:p>
            <w:pPr>
              <w:spacing w:after="0"/>
              <w:rPr>
                <w:sz w:val="12"/>
                <w:szCs w:val="12"/>
                <w:color w:val="auto"/>
              </w:rPr>
            </w:pPr>
          </w:p>
        </w:tc>
        <w:tc>
          <w:tcPr>
            <w:tcW w:w="2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60" w:type="dxa"/>
            <w:vAlign w:val="bottom"/>
            <w:shd w:val="clear" w:color="auto" w:fill="CFF0FC"/>
          </w:tcPr>
          <w:p>
            <w:pPr>
              <w:spacing w:after="0"/>
              <w:rPr>
                <w:sz w:val="12"/>
                <w:szCs w:val="12"/>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916,032</w:t>
            </w:r>
          </w:p>
        </w:tc>
        <w:tc>
          <w:tcPr>
            <w:tcW w:w="2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683,651</w:t>
            </w:r>
          </w:p>
        </w:tc>
        <w:tc>
          <w:tcPr>
            <w:tcW w:w="180" w:type="dxa"/>
            <w:vAlign w:val="bottom"/>
            <w:shd w:val="clear" w:color="auto" w:fill="CFF0FC"/>
          </w:tcPr>
          <w:p>
            <w:pPr>
              <w:spacing w:after="0"/>
              <w:rPr>
                <w:sz w:val="13"/>
                <w:szCs w:val="13"/>
                <w:color w:val="auto"/>
              </w:rPr>
            </w:pPr>
          </w:p>
        </w:tc>
        <w:tc>
          <w:tcPr>
            <w:tcW w:w="200" w:type="dxa"/>
            <w:vAlign w:val="bottom"/>
            <w:gridSpan w:val="2"/>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83,987</w:t>
            </w:r>
          </w:p>
        </w:tc>
        <w:tc>
          <w:tcPr>
            <w:tcW w:w="260" w:type="dxa"/>
            <w:vAlign w:val="bottom"/>
            <w:shd w:val="clear" w:color="auto" w:fill="CFF0FC"/>
          </w:tcPr>
          <w:p>
            <w:pPr>
              <w:spacing w:after="0"/>
              <w:rPr>
                <w:sz w:val="13"/>
                <w:szCs w:val="13"/>
                <w:color w:val="auto"/>
              </w:rPr>
            </w:pPr>
          </w:p>
        </w:tc>
        <w:tc>
          <w:tcPr>
            <w:tcW w:w="120" w:type="dxa"/>
            <w:vAlign w:val="bottom"/>
            <w:shd w:val="clear" w:color="auto" w:fill="CFF0FC"/>
          </w:tcPr>
          <w:p>
            <w:pPr>
              <w:jc w:val="right"/>
              <w:ind w:right="10"/>
              <w:spacing w:after="0"/>
              <w:rPr>
                <w:sz w:val="20"/>
                <w:szCs w:val="20"/>
                <w:color w:val="auto"/>
              </w:rPr>
            </w:pPr>
            <w:r>
              <w:rPr>
                <w:rFonts w:ascii="Arial" w:cs="Arial" w:eastAsia="Arial" w:hAnsi="Arial"/>
                <w:sz w:val="10"/>
                <w:szCs w:val="10"/>
                <w:color w:val="auto"/>
                <w:w w:val="71"/>
              </w:rPr>
              <w:t>$</w:t>
            </w:r>
          </w:p>
        </w:tc>
        <w:tc>
          <w:tcPr>
            <w:tcW w:w="1100" w:type="dxa"/>
            <w:vAlign w:val="bottom"/>
            <w:gridSpan w:val="2"/>
            <w:shd w:val="clear" w:color="auto" w:fill="CFF0FC"/>
          </w:tcPr>
          <w:p>
            <w:pPr>
              <w:jc w:val="right"/>
              <w:ind w:right="300"/>
              <w:spacing w:after="0"/>
              <w:rPr>
                <w:sz w:val="20"/>
                <w:szCs w:val="20"/>
                <w:color w:val="auto"/>
              </w:rPr>
            </w:pPr>
            <w:r>
              <w:rPr>
                <w:rFonts w:ascii="Arial" w:cs="Arial" w:eastAsia="Arial" w:hAnsi="Arial"/>
                <w:sz w:val="12"/>
                <w:szCs w:val="12"/>
                <w:color w:val="auto"/>
              </w:rPr>
              <w:t>(831)</w:t>
            </w: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4,556</w:t>
            </w:r>
          </w:p>
        </w:tc>
        <w:tc>
          <w:tcPr>
            <w:tcW w:w="180" w:type="dxa"/>
            <w:vAlign w:val="bottom"/>
            <w:shd w:val="clear" w:color="auto" w:fill="CFF0FC"/>
          </w:tcPr>
          <w:p>
            <w:pPr>
              <w:spacing w:after="0"/>
              <w:rPr>
                <w:sz w:val="13"/>
                <w:szCs w:val="13"/>
                <w:color w:val="auto"/>
              </w:rPr>
            </w:pPr>
          </w:p>
        </w:tc>
        <w:tc>
          <w:tcPr>
            <w:tcW w:w="2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90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(21,839)</w:t>
            </w: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749,524</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tcPr>
          <w:p>
            <w:pPr>
              <w:spacing w:after="0"/>
              <w:rPr>
                <w:sz w:val="20"/>
                <w:szCs w:val="20"/>
                <w:color w:val="auto"/>
              </w:rPr>
            </w:pPr>
            <w:r>
              <w:rPr>
                <w:rFonts w:ascii="Arial" w:cs="Arial" w:eastAsia="Arial" w:hAnsi="Arial"/>
                <w:sz w:val="12"/>
                <w:szCs w:val="12"/>
                <w:color w:val="auto"/>
              </w:rPr>
              <w:t>Adjusted EBITDA margin</w:t>
            </w:r>
          </w:p>
        </w:tc>
        <w:tc>
          <w:tcPr>
            <w:tcW w:w="200" w:type="dxa"/>
            <w:vAlign w:val="bottom"/>
          </w:tcPr>
          <w:p>
            <w:pPr>
              <w:spacing w:after="0"/>
              <w:rPr>
                <w:sz w:val="13"/>
                <w:szCs w:val="13"/>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2"/>
                <w:szCs w:val="12"/>
                <w:color w:val="auto"/>
              </w:rPr>
              <w:t>99.8%</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2"/>
                <w:szCs w:val="12"/>
                <w:color w:val="auto"/>
              </w:rPr>
              <w:t>41.4%</w:t>
            </w:r>
          </w:p>
        </w:tc>
        <w:tc>
          <w:tcPr>
            <w:tcW w:w="120" w:type="dxa"/>
            <w:vAlign w:val="bottom"/>
          </w:tcPr>
          <w:p>
            <w:pPr>
              <w:spacing w:after="0"/>
              <w:rPr>
                <w:sz w:val="13"/>
                <w:szCs w:val="13"/>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2"/>
                <w:szCs w:val="12"/>
                <w:color w:val="auto"/>
              </w:rPr>
              <w:t>(8.3%)</w:t>
            </w:r>
          </w:p>
        </w:tc>
        <w:tc>
          <w:tcPr>
            <w:tcW w:w="80" w:type="dxa"/>
            <w:vAlign w:val="bottom"/>
          </w:tcPr>
          <w:p>
            <w:pPr>
              <w:spacing w:after="0"/>
              <w:rPr>
                <w:sz w:val="13"/>
                <w:szCs w:val="13"/>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2"/>
                <w:szCs w:val="12"/>
                <w:color w:val="auto"/>
              </w:rPr>
              <w:t>25.2%</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2"/>
                <w:szCs w:val="12"/>
                <w:color w:val="auto"/>
              </w:rPr>
              <w:t>81.8%</w:t>
            </w:r>
          </w:p>
        </w:tc>
        <w:tc>
          <w:tcPr>
            <w:tcW w:w="0" w:type="dxa"/>
            <w:vAlign w:val="bottom"/>
          </w:tcPr>
          <w:p>
            <w:pPr>
              <w:spacing w:after="0"/>
              <w:rPr>
                <w:sz w:val="1"/>
                <w:szCs w:val="1"/>
                <w:color w:val="auto"/>
              </w:rPr>
            </w:pPr>
          </w:p>
        </w:tc>
      </w:tr>
      <w:tr>
        <w:trPr>
          <w:trHeight w:val="153"/>
        </w:trPr>
        <w:tc>
          <w:tcPr>
            <w:tcW w:w="41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Less:</w:t>
            </w: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1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tcPr>
          <w:p>
            <w:pPr>
              <w:ind w:left="80"/>
              <w:spacing w:after="0"/>
              <w:rPr>
                <w:sz w:val="20"/>
                <w:szCs w:val="20"/>
                <w:color w:val="auto"/>
              </w:rPr>
            </w:pPr>
            <w:r>
              <w:rPr>
                <w:rFonts w:ascii="Arial" w:cs="Arial" w:eastAsia="Arial" w:hAnsi="Arial"/>
                <w:sz w:val="12"/>
                <w:szCs w:val="12"/>
                <w:color w:val="auto"/>
              </w:rPr>
              <w:t>Interest expense, net</w:t>
            </w: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305,994</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shd w:val="clear" w:color="auto" w:fill="CFF0FC"/>
          </w:tcPr>
          <w:p>
            <w:pPr>
              <w:ind w:left="80"/>
              <w:spacing w:after="0"/>
              <w:rPr>
                <w:sz w:val="20"/>
                <w:szCs w:val="20"/>
                <w:color w:val="auto"/>
              </w:rPr>
            </w:pPr>
            <w:r>
              <w:rPr>
                <w:rFonts w:ascii="Arial" w:cs="Arial" w:eastAsia="Arial" w:hAnsi="Arial"/>
                <w:sz w:val="12"/>
                <w:szCs w:val="12"/>
                <w:color w:val="auto"/>
              </w:rPr>
              <w:t>Depreciation and amortization</w:t>
            </w: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347,999</w:t>
            </w: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78,307</w:t>
            </w:r>
          </w:p>
        </w:tc>
        <w:tc>
          <w:tcPr>
            <w:tcW w:w="2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4,907</w:t>
            </w:r>
          </w:p>
        </w:tc>
        <w:tc>
          <w:tcPr>
            <w:tcW w:w="3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2,607</w:t>
            </w: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385</w:t>
            </w: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434,205</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tcPr>
          <w:p>
            <w:pPr>
              <w:ind w:left="80"/>
              <w:spacing w:after="0"/>
              <w:rPr>
                <w:sz w:val="20"/>
                <w:szCs w:val="20"/>
                <w:color w:val="auto"/>
              </w:rPr>
            </w:pPr>
            <w:r>
              <w:rPr>
                <w:rFonts w:ascii="Arial" w:cs="Arial" w:eastAsia="Arial" w:hAnsi="Arial"/>
                <w:sz w:val="12"/>
                <w:szCs w:val="12"/>
                <w:color w:val="auto"/>
              </w:rPr>
              <w:t>Other expense</w:t>
            </w: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11,284</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1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38,005</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tcPr>
          <w:p>
            <w:pPr>
              <w:ind w:left="80"/>
              <w:spacing w:after="0"/>
              <w:rPr>
                <w:sz w:val="20"/>
                <w:szCs w:val="20"/>
                <w:color w:val="auto"/>
              </w:rPr>
            </w:pPr>
            <w:r>
              <w:rPr>
                <w:rFonts w:ascii="Arial" w:cs="Arial" w:eastAsia="Arial" w:hAnsi="Arial"/>
                <w:sz w:val="12"/>
                <w:szCs w:val="12"/>
                <w:color w:val="auto"/>
              </w:rPr>
              <w:t>Stock-based compensation</w:t>
            </w: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7,713</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80" w:type="dxa"/>
            <w:vAlign w:val="bottom"/>
            <w:gridSpan w:val="2"/>
            <w:shd w:val="clear" w:color="auto" w:fill="CFF0FC"/>
          </w:tcPr>
          <w:p>
            <w:pPr>
              <w:ind w:left="80"/>
              <w:spacing w:after="0"/>
              <w:rPr>
                <w:sz w:val="20"/>
                <w:szCs w:val="20"/>
                <w:color w:val="auto"/>
              </w:rPr>
            </w:pPr>
            <w:r>
              <w:rPr>
                <w:rFonts w:ascii="Arial" w:cs="Arial" w:eastAsia="Arial" w:hAnsi="Arial"/>
                <w:sz w:val="12"/>
                <w:szCs w:val="12"/>
                <w:color w:val="auto"/>
              </w:rPr>
              <w:t>Income tax benefit</w:t>
            </w: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1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10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(38,849)</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2"/>
                <w:szCs w:val="12"/>
                <w:color w:val="auto"/>
              </w:rPr>
              <w:t>Net loss</w:t>
            </w: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1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gridSpan w:val="2"/>
          </w:tcPr>
          <w:p>
            <w:pPr>
              <w:jc w:val="right"/>
              <w:ind w:right="180"/>
              <w:spacing w:after="0"/>
              <w:rPr>
                <w:sz w:val="20"/>
                <w:szCs w:val="20"/>
                <w:color w:val="auto"/>
              </w:rPr>
            </w:pPr>
            <w:r>
              <w:rPr>
                <w:rFonts w:ascii="Arial" w:cs="Arial" w:eastAsia="Arial" w:hAnsi="Arial"/>
                <w:sz w:val="12"/>
                <w:szCs w:val="12"/>
                <w:color w:val="auto"/>
              </w:rPr>
              <w:t>(8,828)</w:t>
            </w:r>
          </w:p>
        </w:tc>
        <w:tc>
          <w:tcPr>
            <w:tcW w:w="0" w:type="dxa"/>
            <w:vAlign w:val="bottom"/>
          </w:tcPr>
          <w:p>
            <w:pPr>
              <w:spacing w:after="0"/>
              <w:rPr>
                <w:sz w:val="1"/>
                <w:szCs w:val="1"/>
                <w:color w:val="auto"/>
              </w:rPr>
            </w:pPr>
          </w:p>
        </w:tc>
      </w:tr>
      <w:tr>
        <w:trPr>
          <w:trHeight w:val="27"/>
        </w:trPr>
        <w:tc>
          <w:tcPr>
            <w:tcW w:w="4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3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Revenues</w:t>
      </w:r>
    </w:p>
    <w:p>
      <w:pPr>
        <w:spacing w:after="0" w:line="150" w:lineRule="exact"/>
        <w:rPr>
          <w:sz w:val="20"/>
          <w:szCs w:val="20"/>
          <w:color w:val="auto"/>
        </w:rPr>
      </w:pPr>
    </w:p>
    <w:p>
      <w:pPr>
        <w:ind w:right="200"/>
        <w:spacing w:after="0" w:line="257" w:lineRule="auto"/>
        <w:rPr>
          <w:sz w:val="20"/>
          <w:szCs w:val="20"/>
          <w:color w:val="auto"/>
        </w:rPr>
      </w:pPr>
      <w:r>
        <w:rPr>
          <w:rFonts w:ascii="Arial" w:cs="Arial" w:eastAsia="Arial" w:hAnsi="Arial"/>
          <w:sz w:val="12"/>
          <w:szCs w:val="12"/>
          <w:i w:val="1"/>
          <w:iCs w:val="1"/>
          <w:u w:val="single" w:color="auto"/>
          <w:color w:val="auto"/>
        </w:rPr>
        <w:t>Leasing</w:t>
      </w:r>
      <w:r>
        <w:rPr>
          <w:rFonts w:ascii="Arial" w:cs="Arial" w:eastAsia="Arial" w:hAnsi="Arial"/>
          <w:sz w:val="12"/>
          <w:szCs w:val="12"/>
          <w:i w:val="1"/>
          <w:iCs w:val="1"/>
          <w:color w:val="auto"/>
        </w:rPr>
        <w:t xml:space="preserve"> </w:t>
      </w:r>
      <w:r>
        <w:rPr>
          <w:rFonts w:ascii="Arial" w:cs="Arial" w:eastAsia="Arial" w:hAnsi="Arial"/>
          <w:sz w:val="12"/>
          <w:szCs w:val="12"/>
          <w:color w:val="auto"/>
        </w:rPr>
        <w:t>– Leasing revenues are primarily attributable to rental revenue from leasing our Distribution Systems to Windstream Holdings pursuant to the Master Lease. Under the Master Lease, Windstream Holdings is responsible for the</w:t>
      </w:r>
      <w:r>
        <w:rPr>
          <w:rFonts w:ascii="Arial" w:cs="Arial" w:eastAsia="Arial" w:hAnsi="Arial"/>
          <w:sz w:val="12"/>
          <w:szCs w:val="12"/>
          <w:i w:val="1"/>
          <w:iCs w:val="1"/>
          <w:color w:val="auto"/>
        </w:rPr>
        <w:t xml:space="preserve"> </w:t>
      </w:r>
      <w:r>
        <w:rPr>
          <w:rFonts w:ascii="Arial" w:cs="Arial" w:eastAsia="Arial" w:hAnsi="Arial"/>
          <w:sz w:val="12"/>
          <w:szCs w:val="12"/>
          <w:color w:val="auto"/>
        </w:rPr>
        <w:t>costs related to operating the Distribution Systems, including property taxes, insurance, and maintenance and repair costs. As a result, we do not record an obligation related to the payment of property taxes, as Windstream makes direct payments to the taxing authorities. The Master Lease has an initial term of 15 years with four 5-year renewal options and encompasses properties located in 29 states. Cash rent under the Master Lease is currently $657 million and is subject to an annual escalation of 0.5% each May through the initial term. Rental revenues over the initial term of the Master Lease are recognized in the financial statements on a straight-line basis, representing approximately $670.8 million per year.</w:t>
      </w:r>
    </w:p>
    <w:p>
      <w:pPr>
        <w:spacing w:after="0" w:line="126" w:lineRule="exact"/>
        <w:rPr>
          <w:sz w:val="20"/>
          <w:szCs w:val="20"/>
          <w:color w:val="auto"/>
        </w:rPr>
      </w:pPr>
    </w:p>
    <w:p>
      <w:pPr>
        <w:ind w:right="60"/>
        <w:spacing w:after="0" w:line="259" w:lineRule="auto"/>
        <w:rPr>
          <w:sz w:val="20"/>
          <w:szCs w:val="20"/>
          <w:color w:val="auto"/>
        </w:rPr>
      </w:pPr>
      <w:r>
        <w:rPr>
          <w:rFonts w:ascii="Arial" w:cs="Arial" w:eastAsia="Arial" w:hAnsi="Arial"/>
          <w:sz w:val="12"/>
          <w:szCs w:val="12"/>
          <w:color w:val="auto"/>
        </w:rPr>
        <w:t>The Master Lease provides that tenant funded capital improvements (“TCIs”), defined as maintenance, repair, overbuild, upgrade or replacement to the leased network, including without limitation, the replacement of copper distribution systems with fiber distribution systems, automatically become property of Uniti upon their construction by Windstream. We receive non-monetary consideration related to TCIs as they automatically become our property, and we recognize the cost basis of TCIs that are capital in nature as real estate investments and deferred revenue. We depreciate the real estate investments over their estimated useful lives and amortize the deferred revenue as additional leasing revenues over the same depreciable life of the TCI assets.</w:t>
      </w:r>
    </w:p>
    <w:p>
      <w:pPr>
        <w:spacing w:after="0" w:line="125"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For the year ended December 31, 2018, we recognized $693.9 million of revenue under the Master Lease, which included $23.1 million of non-cash TCI revenue and $15.1 million of non-cash straight-line rental revenue. For the year ended December 31, 2017, we recognized $685.1 million of revenue under the Master Lease, which included $14.3 million of non-cash TCI revenue and $17.3 million of non-cash straight-line rental revenue. The increase in TCI revenue is attributable to continued investment by Windstream in TCIs. Windstream invested $153.6 million in TCIs during the year ended December 31, 2018, a decrease from $228.0 million it invested in TCIs during the year ended December 31, 2017. Since the inception of the Master Lease, Windstream has invested a total of $607.1 million in such improvements.</w:t>
      </w:r>
    </w:p>
    <w:p>
      <w:pPr>
        <w:spacing w:after="0" w:line="125" w:lineRule="exact"/>
        <w:rPr>
          <w:sz w:val="20"/>
          <w:szCs w:val="20"/>
          <w:color w:val="auto"/>
        </w:rPr>
      </w:pPr>
    </w:p>
    <w:p>
      <w:pPr>
        <w:ind w:right="40"/>
        <w:spacing w:after="0" w:line="290" w:lineRule="auto"/>
        <w:rPr>
          <w:sz w:val="20"/>
          <w:szCs w:val="20"/>
          <w:color w:val="auto"/>
        </w:rPr>
      </w:pPr>
      <w:r>
        <w:rPr>
          <w:rFonts w:ascii="Arial" w:cs="Arial" w:eastAsia="Arial" w:hAnsi="Arial"/>
          <w:sz w:val="11"/>
          <w:szCs w:val="11"/>
          <w:color w:val="auto"/>
        </w:rPr>
        <w:t>Because a substantial portion of our revenue and cash flows are derived from lease payments by Windstream pursuant to the Master Lease, there could be a material adverse impact on our consolidated results of operations, liquidity, financial condition and/or ability to pay dividends and service debt if Windstream were to default under the Master Lease or otherwise experiences operating or liquidity difficulties and becomes unable to generate sufficient cash to make payments to us. In recent years, Windstream has experienced annual declines in its total revenue, sales and cash flow, and has had its credit ratings downgraded by nationally recognized credit rating agencies multiple times over the past 12 months. In addition, Windstream has been involved in litigation with an entity who acquired certain Windstream debt securities and thereafter issued a notice of default as to such securities</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35" w:name="page36"/>
    <w:bookmarkEnd w:id="3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00"/>
        <w:spacing w:after="0" w:line="340" w:lineRule="auto"/>
        <w:rPr>
          <w:sz w:val="20"/>
          <w:szCs w:val="20"/>
          <w:color w:val="auto"/>
        </w:rPr>
      </w:pPr>
      <w:r>
        <w:rPr>
          <w:rFonts w:ascii="Arial" w:cs="Arial" w:eastAsia="Arial" w:hAnsi="Arial"/>
          <w:sz w:val="10"/>
          <w:szCs w:val="10"/>
          <w:color w:val="auto"/>
        </w:rPr>
        <w:t>relating to our spin-off from Windstream. On December 7, 2017, the entity issued a notice of acceleration to Windstream claiming that the alleged default had matured into an “event of default” and that the principal amount, along with accrued interest, of such securities was due and payable immediately. Windstream 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w:t>
      </w:r>
    </w:p>
    <w:p>
      <w:pPr>
        <w:spacing w:after="0" w:line="88" w:lineRule="exact"/>
        <w:rPr>
          <w:sz w:val="20"/>
          <w:szCs w:val="20"/>
          <w:color w:val="auto"/>
        </w:rPr>
      </w:pPr>
    </w:p>
    <w:p>
      <w:pPr>
        <w:spacing w:after="0"/>
        <w:rPr>
          <w:sz w:val="20"/>
          <w:szCs w:val="20"/>
          <w:color w:val="auto"/>
        </w:rPr>
      </w:pPr>
      <w:r>
        <w:rPr>
          <w:rFonts w:ascii="Arial" w:cs="Arial" w:eastAsia="Arial" w:hAnsi="Arial"/>
          <w:sz w:val="12"/>
          <w:szCs w:val="12"/>
          <w:color w:val="auto"/>
        </w:rPr>
        <w:t>In response to the adverse outcome, on February 25, 2019, Windstream filed a voluntary petition for relief under Chapter 11 of the Bankruptcy Code in the U.S. Bankruptcy Court for the Southern District of New York.</w:t>
      </w:r>
    </w:p>
    <w:p>
      <w:pPr>
        <w:spacing w:after="0" w:line="150" w:lineRule="exact"/>
        <w:rPr>
          <w:sz w:val="20"/>
          <w:szCs w:val="20"/>
          <w:color w:val="auto"/>
        </w:rPr>
      </w:pPr>
    </w:p>
    <w:p>
      <w:pPr>
        <w:ind w:right="180"/>
        <w:spacing w:after="0" w:line="255" w:lineRule="auto"/>
        <w:rPr>
          <w:sz w:val="20"/>
          <w:szCs w:val="20"/>
          <w:color w:val="auto"/>
        </w:rPr>
      </w:pPr>
      <w:r>
        <w:rPr>
          <w:rFonts w:ascii="Arial" w:cs="Arial" w:eastAsia="Arial" w:hAnsi="Arial"/>
          <w:sz w:val="12"/>
          <w:szCs w:val="12"/>
          <w:color w:val="auto"/>
        </w:rPr>
        <w:t>In bankruptcy,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See Item 1A Risk Factors for additional information concerning the impact Windstream’s bankruptcy may have on our operations and financial condition. A rejection by Windstream of the Master Lease or its inability or unwillingness to meet its rent and other obligations under the Master Lease could materially adversely affect our consolidated results of operations, liquidity, and financial condition, including our ability to service debt and pay dividends to our stockholders as required to maintain our status as a REIT.</w:t>
      </w:r>
    </w:p>
    <w:p>
      <w:pPr>
        <w:spacing w:after="0" w:line="129"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Windstream is a publicly traded company and is subject to the periodic filing requirements of the Securities Exchange Act of 1934, as amended. Windstream filings can be found at www.sec.gov. Windstream filings are not incorporated by reference in this Annual Report on Form 10-K.</w:t>
      </w:r>
    </w:p>
    <w:p>
      <w:pPr>
        <w:spacing w:after="0" w:line="115" w:lineRule="exact"/>
        <w:rPr>
          <w:sz w:val="20"/>
          <w:szCs w:val="20"/>
          <w:color w:val="auto"/>
        </w:rPr>
      </w:pPr>
    </w:p>
    <w:p>
      <w:pPr>
        <w:ind w:right="200"/>
        <w:spacing w:after="0" w:line="276" w:lineRule="auto"/>
        <w:rPr>
          <w:sz w:val="20"/>
          <w:szCs w:val="20"/>
          <w:color w:val="auto"/>
        </w:rPr>
      </w:pPr>
      <w:r>
        <w:rPr>
          <w:rFonts w:ascii="Arial" w:cs="Arial" w:eastAsia="Arial" w:hAnsi="Arial"/>
          <w:sz w:val="12"/>
          <w:szCs w:val="12"/>
          <w:color w:val="auto"/>
        </w:rPr>
        <w:t>For the year ended December 31, 2018, we recognized $6.0 million of leasing revenues from non-Windstream triple-net leasing and dark fiber indefeasible rights of use (“IRU”) arrangements. No such revenues were recognized for the year ended December 31, 2017.</w:t>
      </w:r>
    </w:p>
    <w:p>
      <w:pPr>
        <w:spacing w:after="0" w:line="115" w:lineRule="exact"/>
        <w:rPr>
          <w:sz w:val="20"/>
          <w:szCs w:val="20"/>
          <w:color w:val="auto"/>
        </w:rPr>
      </w:pPr>
    </w:p>
    <w:p>
      <w:pPr>
        <w:spacing w:after="0" w:line="290" w:lineRule="auto"/>
        <w:rPr>
          <w:sz w:val="20"/>
          <w:szCs w:val="20"/>
          <w:color w:val="auto"/>
        </w:rPr>
      </w:pPr>
      <w:r>
        <w:rPr>
          <w:rFonts w:ascii="Arial" w:cs="Arial" w:eastAsia="Arial" w:hAnsi="Arial"/>
          <w:sz w:val="11"/>
          <w:szCs w:val="11"/>
          <w:i w:val="1"/>
          <w:iCs w:val="1"/>
          <w:u w:val="single" w:color="auto"/>
          <w:color w:val="auto"/>
        </w:rPr>
        <w:t>Fiber Infrastructure</w:t>
      </w:r>
      <w:r>
        <w:rPr>
          <w:rFonts w:ascii="Arial" w:cs="Arial" w:eastAsia="Arial" w:hAnsi="Arial"/>
          <w:sz w:val="11"/>
          <w:szCs w:val="11"/>
          <w:i w:val="1"/>
          <w:iCs w:val="1"/>
          <w:color w:val="auto"/>
        </w:rPr>
        <w:t xml:space="preserve"> </w:t>
      </w:r>
      <w:r>
        <w:rPr>
          <w:rFonts w:ascii="Arial" w:cs="Arial" w:eastAsia="Arial" w:hAnsi="Arial"/>
          <w:sz w:val="11"/>
          <w:szCs w:val="11"/>
          <w:color w:val="auto"/>
        </w:rPr>
        <w:t>– For the years ended December 31, 2018 and 2017, we recognized $289.2 and $202.8 of revenue, in our Fiber Infrastructure segment. The increase is primarily attributable to the timing of the acquisitions of Southern</w:t>
      </w:r>
      <w:r>
        <w:rPr>
          <w:rFonts w:ascii="Arial" w:cs="Arial" w:eastAsia="Arial" w:hAnsi="Arial"/>
          <w:sz w:val="11"/>
          <w:szCs w:val="11"/>
          <w:i w:val="1"/>
          <w:iCs w:val="1"/>
          <w:color w:val="auto"/>
        </w:rPr>
        <w:t xml:space="preserve"> </w:t>
      </w:r>
      <w:r>
        <w:rPr>
          <w:rFonts w:ascii="Arial" w:cs="Arial" w:eastAsia="Arial" w:hAnsi="Arial"/>
          <w:sz w:val="11"/>
          <w:szCs w:val="11"/>
          <w:color w:val="auto"/>
        </w:rPr>
        <w:t>Light, LLC (“Southern Light”) and Hunt Telecommunications LLC (“Hunt”), which were both acquired on July 3, 2017. Southern Light and Hunt contributed revenues of $132.8 million and $61.9 million, to our consolidated results for the year-ended December 31, 2018 and for the period from the date of acquisition through December 31, 2017, respectively. In addition, we acquired ITS on October 19, 2018, which contributed $8.9 million of revenues from the date of acquisition to December 31, 2018. Revenue components for the Fiber Infrastructure segment for the years ended December 31, 2018 and 2017 consisted of the following:</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5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2080" w:type="dxa"/>
            <w:vAlign w:val="bottom"/>
            <w:tcBorders>
              <w:bottom w:val="single" w:sz="8" w:color="auto"/>
            </w:tcBorders>
            <w:gridSpan w:val="3"/>
          </w:tcPr>
          <w:p>
            <w:pPr>
              <w:jc w:val="right"/>
              <w:ind w:right="412"/>
              <w:spacing w:after="0"/>
              <w:rPr>
                <w:sz w:val="20"/>
                <w:szCs w:val="20"/>
                <w:color w:val="auto"/>
              </w:rPr>
            </w:pPr>
            <w:r>
              <w:rPr>
                <w:rFonts w:ascii="Arial" w:cs="Arial" w:eastAsia="Arial" w:hAnsi="Arial"/>
                <w:sz w:val="12"/>
                <w:szCs w:val="12"/>
                <w:b w:val="1"/>
                <w:bCs w:val="1"/>
                <w:color w:val="auto"/>
              </w:rPr>
              <w:t>Year Ended December 31,</w:t>
            </w:r>
          </w:p>
        </w:tc>
        <w:tc>
          <w:tcPr>
            <w:tcW w:w="50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r>
      <w:tr>
        <w:trPr>
          <w:trHeight w:val="151"/>
        </w:trPr>
        <w:tc>
          <w:tcPr>
            <w:tcW w:w="5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
              <w:spacing w:after="0"/>
              <w:rPr>
                <w:sz w:val="20"/>
                <w:szCs w:val="20"/>
                <w:color w:val="auto"/>
              </w:rPr>
            </w:pPr>
            <w:r>
              <w:rPr>
                <w:rFonts w:ascii="Arial" w:cs="Arial" w:eastAsia="Arial" w:hAnsi="Arial"/>
                <w:sz w:val="12"/>
                <w:szCs w:val="12"/>
                <w:b w:val="1"/>
                <w:bCs w:val="1"/>
                <w:color w:val="auto"/>
              </w:rPr>
              <w:t>2018</w:t>
            </w:r>
          </w:p>
        </w:tc>
        <w:tc>
          <w:tcPr>
            <w:tcW w:w="2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ind w:right="40"/>
              <w:spacing w:after="0"/>
              <w:rPr>
                <w:sz w:val="20"/>
                <w:szCs w:val="20"/>
                <w:color w:val="auto"/>
              </w:rPr>
            </w:pPr>
            <w:r>
              <w:rPr>
                <w:rFonts w:ascii="Arial" w:cs="Arial" w:eastAsia="Arial" w:hAnsi="Arial"/>
                <w:sz w:val="12"/>
                <w:szCs w:val="12"/>
                <w:b w:val="1"/>
                <w:bCs w:val="1"/>
                <w:color w:val="auto"/>
              </w:rPr>
              <w:t>2017</w:t>
            </w:r>
          </w:p>
        </w:tc>
        <w:tc>
          <w:tcPr>
            <w:tcW w:w="2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r>
      <w:tr>
        <w:trPr>
          <w:trHeight w:val="83"/>
        </w:trPr>
        <w:tc>
          <w:tcPr>
            <w:tcW w:w="5820" w:type="dxa"/>
            <w:vAlign w:val="bottom"/>
          </w:tcPr>
          <w:p>
            <w:pPr>
              <w:spacing w:after="0"/>
              <w:rPr>
                <w:sz w:val="7"/>
                <w:szCs w:val="7"/>
                <w:color w:val="auto"/>
              </w:rPr>
            </w:pPr>
          </w:p>
        </w:tc>
        <w:tc>
          <w:tcPr>
            <w:tcW w:w="1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20" w:type="dxa"/>
            <w:vAlign w:val="bottom"/>
          </w:tcPr>
          <w:p>
            <w:pPr>
              <w:jc w:val="center"/>
              <w:spacing w:after="0" w:line="83" w:lineRule="exact"/>
              <w:rPr>
                <w:sz w:val="20"/>
                <w:szCs w:val="20"/>
                <w:color w:val="auto"/>
              </w:rPr>
            </w:pPr>
            <w:r>
              <w:rPr>
                <w:rFonts w:ascii="Arial" w:cs="Arial" w:eastAsia="Arial" w:hAnsi="Arial"/>
                <w:sz w:val="8"/>
                <w:szCs w:val="8"/>
                <w:b w:val="1"/>
                <w:bCs w:val="1"/>
                <w:color w:val="auto"/>
              </w:rPr>
              <w:t>% of</w:t>
            </w:r>
          </w:p>
        </w:tc>
        <w:tc>
          <w:tcPr>
            <w:tcW w:w="280" w:type="dxa"/>
            <w:vAlign w:val="bottom"/>
          </w:tcPr>
          <w:p>
            <w:pPr>
              <w:spacing w:after="0"/>
              <w:rPr>
                <w:sz w:val="7"/>
                <w:szCs w:val="7"/>
                <w:color w:val="auto"/>
              </w:rPr>
            </w:pPr>
          </w:p>
        </w:tc>
        <w:tc>
          <w:tcPr>
            <w:tcW w:w="9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800" w:type="dxa"/>
            <w:vAlign w:val="bottom"/>
          </w:tcPr>
          <w:p>
            <w:pPr>
              <w:jc w:val="center"/>
              <w:spacing w:after="0" w:line="83" w:lineRule="exact"/>
              <w:rPr>
                <w:sz w:val="20"/>
                <w:szCs w:val="20"/>
                <w:color w:val="auto"/>
              </w:rPr>
            </w:pPr>
            <w:r>
              <w:rPr>
                <w:rFonts w:ascii="Arial" w:cs="Arial" w:eastAsia="Arial" w:hAnsi="Arial"/>
                <w:sz w:val="8"/>
                <w:szCs w:val="8"/>
                <w:b w:val="1"/>
                <w:bCs w:val="1"/>
                <w:color w:val="auto"/>
              </w:rPr>
              <w:t>% of</w:t>
            </w:r>
          </w:p>
        </w:tc>
        <w:tc>
          <w:tcPr>
            <w:tcW w:w="120" w:type="dxa"/>
            <w:vAlign w:val="bottom"/>
          </w:tcPr>
          <w:p>
            <w:pPr>
              <w:spacing w:after="0"/>
              <w:rPr>
                <w:sz w:val="7"/>
                <w:szCs w:val="7"/>
                <w:color w:val="auto"/>
              </w:rPr>
            </w:pPr>
          </w:p>
        </w:tc>
      </w:tr>
      <w:tr>
        <w:trPr>
          <w:trHeight w:val="114"/>
        </w:trPr>
        <w:tc>
          <w:tcPr>
            <w:tcW w:w="5820" w:type="dxa"/>
            <w:vAlign w:val="bottom"/>
          </w:tcPr>
          <w:p>
            <w:pPr>
              <w:spacing w:after="0" w:line="114" w:lineRule="exact"/>
              <w:rPr>
                <w:sz w:val="20"/>
                <w:szCs w:val="20"/>
                <w:color w:val="auto"/>
              </w:rPr>
            </w:pPr>
            <w:r>
              <w:rPr>
                <w:rFonts w:ascii="Arial" w:cs="Arial" w:eastAsia="Arial" w:hAnsi="Arial"/>
                <w:sz w:val="10"/>
                <w:szCs w:val="10"/>
                <w:color w:val="auto"/>
              </w:rPr>
              <w:t>(Thousands)</w:t>
            </w:r>
          </w:p>
        </w:tc>
        <w:tc>
          <w:tcPr>
            <w:tcW w:w="1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20" w:type="dxa"/>
            <w:vAlign w:val="bottom"/>
            <w:gridSpan w:val="2"/>
          </w:tcPr>
          <w:p>
            <w:pPr>
              <w:ind w:left="240"/>
              <w:spacing w:after="0" w:line="114" w:lineRule="exact"/>
              <w:rPr>
                <w:sz w:val="20"/>
                <w:szCs w:val="20"/>
                <w:color w:val="auto"/>
              </w:rPr>
            </w:pPr>
            <w:r>
              <w:rPr>
                <w:rFonts w:ascii="Arial" w:cs="Arial" w:eastAsia="Arial" w:hAnsi="Arial"/>
                <w:sz w:val="10"/>
                <w:szCs w:val="10"/>
                <w:b w:val="1"/>
                <w:bCs w:val="1"/>
                <w:color w:val="auto"/>
              </w:rPr>
              <w:t>Amount</w:t>
            </w:r>
          </w:p>
        </w:tc>
        <w:tc>
          <w:tcPr>
            <w:tcW w:w="820" w:type="dxa"/>
            <w:vAlign w:val="bottom"/>
          </w:tcPr>
          <w:p>
            <w:pPr>
              <w:jc w:val="center"/>
              <w:spacing w:after="0" w:line="114" w:lineRule="exact"/>
              <w:rPr>
                <w:sz w:val="20"/>
                <w:szCs w:val="20"/>
                <w:color w:val="auto"/>
              </w:rPr>
            </w:pPr>
            <w:r>
              <w:rPr>
                <w:rFonts w:ascii="Arial" w:cs="Arial" w:eastAsia="Arial" w:hAnsi="Arial"/>
                <w:sz w:val="10"/>
                <w:szCs w:val="10"/>
                <w:b w:val="1"/>
                <w:bCs w:val="1"/>
                <w:color w:val="auto"/>
                <w:w w:val="84"/>
              </w:rPr>
              <w:t>Segment Revenues</w:t>
            </w:r>
          </w:p>
        </w:tc>
        <w:tc>
          <w:tcPr>
            <w:tcW w:w="280" w:type="dxa"/>
            <w:vAlign w:val="bottom"/>
          </w:tcPr>
          <w:p>
            <w:pPr>
              <w:spacing w:after="0"/>
              <w:rPr>
                <w:sz w:val="9"/>
                <w:szCs w:val="9"/>
                <w:color w:val="auto"/>
              </w:rPr>
            </w:pPr>
          </w:p>
        </w:tc>
        <w:tc>
          <w:tcPr>
            <w:tcW w:w="980" w:type="dxa"/>
            <w:vAlign w:val="bottom"/>
          </w:tcPr>
          <w:p>
            <w:pPr>
              <w:jc w:val="right"/>
              <w:ind w:right="32"/>
              <w:spacing w:after="0" w:line="114" w:lineRule="exact"/>
              <w:rPr>
                <w:sz w:val="20"/>
                <w:szCs w:val="20"/>
                <w:color w:val="auto"/>
              </w:rPr>
            </w:pPr>
            <w:r>
              <w:rPr>
                <w:rFonts w:ascii="Arial" w:cs="Arial" w:eastAsia="Arial" w:hAnsi="Arial"/>
                <w:sz w:val="10"/>
                <w:szCs w:val="10"/>
                <w:b w:val="1"/>
                <w:bCs w:val="1"/>
                <w:color w:val="auto"/>
              </w:rPr>
              <w:t>Amount</w:t>
            </w:r>
          </w:p>
        </w:tc>
        <w:tc>
          <w:tcPr>
            <w:tcW w:w="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gridSpan w:val="2"/>
          </w:tcPr>
          <w:p>
            <w:pPr>
              <w:jc w:val="center"/>
              <w:ind w:right="120"/>
              <w:spacing w:after="0" w:line="114" w:lineRule="exact"/>
              <w:rPr>
                <w:sz w:val="20"/>
                <w:szCs w:val="20"/>
                <w:color w:val="auto"/>
              </w:rPr>
            </w:pPr>
            <w:r>
              <w:rPr>
                <w:rFonts w:ascii="Arial" w:cs="Arial" w:eastAsia="Arial" w:hAnsi="Arial"/>
                <w:sz w:val="10"/>
                <w:szCs w:val="10"/>
                <w:b w:val="1"/>
                <w:bCs w:val="1"/>
                <w:color w:val="auto"/>
                <w:w w:val="82"/>
              </w:rPr>
              <w:t>Segment Revenues</w:t>
            </w:r>
          </w:p>
        </w:tc>
      </w:tr>
      <w:tr>
        <w:trPr>
          <w:trHeight w:val="142"/>
        </w:trPr>
        <w:tc>
          <w:tcPr>
            <w:tcW w:w="58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Fiber Infrastructure revenues:</w:t>
            </w:r>
          </w:p>
        </w:tc>
        <w:tc>
          <w:tcPr>
            <w:tcW w:w="160" w:type="dxa"/>
            <w:vAlign w:val="bottom"/>
            <w:tcBorders>
              <w:top w:val="single" w:sz="8" w:color="CFF0FC"/>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14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82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8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r>
      <w:tr>
        <w:trPr>
          <w:trHeight w:val="153"/>
        </w:trPr>
        <w:tc>
          <w:tcPr>
            <w:tcW w:w="5820" w:type="dxa"/>
            <w:vAlign w:val="bottom"/>
          </w:tcPr>
          <w:p>
            <w:pPr>
              <w:ind w:left="160"/>
              <w:spacing w:after="0"/>
              <w:rPr>
                <w:sz w:val="20"/>
                <w:szCs w:val="20"/>
                <w:color w:val="auto"/>
              </w:rPr>
            </w:pPr>
            <w:r>
              <w:rPr>
                <w:rFonts w:ascii="Arial" w:cs="Arial" w:eastAsia="Arial" w:hAnsi="Arial"/>
                <w:sz w:val="12"/>
                <w:szCs w:val="12"/>
                <w:color w:val="auto"/>
              </w:rPr>
              <w:t>Lit backhaul services</w:t>
            </w:r>
          </w:p>
        </w:tc>
        <w:tc>
          <w:tcPr>
            <w:tcW w:w="480" w:type="dxa"/>
            <w:vAlign w:val="bottom"/>
            <w:gridSpan w:val="2"/>
          </w:tcPr>
          <w:p>
            <w:pPr>
              <w:jc w:val="right"/>
              <w:ind w:right="210"/>
              <w:spacing w:after="0"/>
              <w:rPr>
                <w:sz w:val="20"/>
                <w:szCs w:val="20"/>
                <w:color w:val="auto"/>
              </w:rPr>
            </w:pPr>
            <w:r>
              <w:rPr>
                <w:rFonts w:ascii="Arial" w:cs="Arial" w:eastAsia="Arial" w:hAnsi="Arial"/>
                <w:sz w:val="12"/>
                <w:szCs w:val="12"/>
                <w:color w:val="auto"/>
              </w:rPr>
              <w:t>$</w:t>
            </w:r>
          </w:p>
        </w:tc>
        <w:tc>
          <w:tcPr>
            <w:tcW w:w="1140" w:type="dxa"/>
            <w:vAlign w:val="bottom"/>
          </w:tcPr>
          <w:p>
            <w:pPr>
              <w:jc w:val="right"/>
              <w:spacing w:after="0"/>
              <w:rPr>
                <w:sz w:val="20"/>
                <w:szCs w:val="20"/>
                <w:color w:val="auto"/>
              </w:rPr>
            </w:pPr>
            <w:r>
              <w:rPr>
                <w:rFonts w:ascii="Arial" w:cs="Arial" w:eastAsia="Arial" w:hAnsi="Arial"/>
                <w:sz w:val="12"/>
                <w:szCs w:val="12"/>
                <w:color w:val="auto"/>
              </w:rPr>
              <w:t>132,361</w:t>
            </w:r>
          </w:p>
        </w:tc>
        <w:tc>
          <w:tcPr>
            <w:tcW w:w="280" w:type="dxa"/>
            <w:vAlign w:val="bottom"/>
          </w:tcPr>
          <w:p>
            <w:pPr>
              <w:spacing w:after="0"/>
              <w:rPr>
                <w:sz w:val="13"/>
                <w:szCs w:val="13"/>
                <w:color w:val="auto"/>
              </w:rPr>
            </w:pPr>
          </w:p>
        </w:tc>
        <w:tc>
          <w:tcPr>
            <w:tcW w:w="820" w:type="dxa"/>
            <w:vAlign w:val="bottom"/>
          </w:tcPr>
          <w:p>
            <w:pPr>
              <w:jc w:val="center"/>
              <w:spacing w:after="0"/>
              <w:rPr>
                <w:sz w:val="20"/>
                <w:szCs w:val="20"/>
                <w:color w:val="auto"/>
              </w:rPr>
            </w:pPr>
            <w:r>
              <w:rPr>
                <w:rFonts w:ascii="Arial" w:cs="Arial" w:eastAsia="Arial" w:hAnsi="Arial"/>
                <w:sz w:val="12"/>
                <w:szCs w:val="12"/>
                <w:color w:val="auto"/>
                <w:w w:val="88"/>
              </w:rPr>
              <w:t>45.8%</w:t>
            </w:r>
          </w:p>
        </w:tc>
        <w:tc>
          <w:tcPr>
            <w:tcW w:w="1260" w:type="dxa"/>
            <w:vAlign w:val="bottom"/>
            <w:gridSpan w:val="2"/>
          </w:tcPr>
          <w:p>
            <w:pPr>
              <w:jc w:val="right"/>
              <w:ind w:right="87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rPr>
              <w:t>117,574</w:t>
            </w:r>
          </w:p>
        </w:tc>
        <w:tc>
          <w:tcPr>
            <w:tcW w:w="26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2"/>
                <w:szCs w:val="12"/>
                <w:color w:val="auto"/>
                <w:w w:val="93"/>
              </w:rPr>
              <w:t>58.0%</w:t>
            </w:r>
          </w:p>
        </w:tc>
        <w:tc>
          <w:tcPr>
            <w:tcW w:w="120" w:type="dxa"/>
            <w:vAlign w:val="bottom"/>
          </w:tcPr>
          <w:p>
            <w:pPr>
              <w:spacing w:after="0"/>
              <w:rPr>
                <w:sz w:val="13"/>
                <w:szCs w:val="13"/>
                <w:color w:val="auto"/>
              </w:rPr>
            </w:pPr>
          </w:p>
        </w:tc>
      </w:tr>
      <w:tr>
        <w:trPr>
          <w:trHeight w:val="153"/>
        </w:trPr>
        <w:tc>
          <w:tcPr>
            <w:tcW w:w="5820" w:type="dxa"/>
            <w:vAlign w:val="bottom"/>
            <w:shd w:val="clear" w:color="auto" w:fill="CFF0FC"/>
          </w:tcPr>
          <w:p>
            <w:pPr>
              <w:ind w:left="160"/>
              <w:spacing w:after="0"/>
              <w:rPr>
                <w:sz w:val="20"/>
                <w:szCs w:val="20"/>
                <w:color w:val="auto"/>
              </w:rPr>
            </w:pPr>
            <w:r>
              <w:rPr>
                <w:rFonts w:ascii="Arial" w:cs="Arial" w:eastAsia="Arial" w:hAnsi="Arial"/>
                <w:sz w:val="12"/>
                <w:szCs w:val="12"/>
                <w:color w:val="auto"/>
              </w:rPr>
              <w:t>Enterprise and wholesale</w:t>
            </w:r>
          </w:p>
        </w:tc>
        <w:tc>
          <w:tcPr>
            <w:tcW w:w="160" w:type="dxa"/>
            <w:vAlign w:val="bottom"/>
            <w:shd w:val="clear" w:color="auto" w:fill="CFF0FC"/>
          </w:tcPr>
          <w:p>
            <w:pPr>
              <w:spacing w:after="0"/>
              <w:rPr>
                <w:sz w:val="13"/>
                <w:szCs w:val="13"/>
                <w:color w:val="auto"/>
              </w:rPr>
            </w:pPr>
          </w:p>
        </w:tc>
        <w:tc>
          <w:tcPr>
            <w:tcW w:w="32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63,519</w:t>
            </w:r>
          </w:p>
        </w:tc>
        <w:tc>
          <w:tcPr>
            <w:tcW w:w="280" w:type="dxa"/>
            <w:vAlign w:val="bottom"/>
            <w:shd w:val="clear" w:color="auto" w:fill="CFF0FC"/>
          </w:tcPr>
          <w:p>
            <w:pPr>
              <w:spacing w:after="0"/>
              <w:rPr>
                <w:sz w:val="13"/>
                <w:szCs w:val="13"/>
                <w:color w:val="auto"/>
              </w:rPr>
            </w:pPr>
          </w:p>
        </w:tc>
        <w:tc>
          <w:tcPr>
            <w:tcW w:w="82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8"/>
              </w:rPr>
              <w:t>22.0%</w:t>
            </w:r>
          </w:p>
        </w:tc>
        <w:tc>
          <w:tcPr>
            <w:tcW w:w="28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36,542</w:t>
            </w:r>
          </w:p>
        </w:tc>
        <w:tc>
          <w:tcPr>
            <w:tcW w:w="260" w:type="dxa"/>
            <w:vAlign w:val="bottom"/>
            <w:shd w:val="clear" w:color="auto" w:fill="CFF0FC"/>
          </w:tcPr>
          <w:p>
            <w:pPr>
              <w:spacing w:after="0"/>
              <w:rPr>
                <w:sz w:val="13"/>
                <w:szCs w:val="13"/>
                <w:color w:val="auto"/>
              </w:rPr>
            </w:pPr>
          </w:p>
        </w:tc>
        <w:tc>
          <w:tcPr>
            <w:tcW w:w="8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3"/>
              </w:rPr>
              <w:t>18.0%</w:t>
            </w:r>
          </w:p>
        </w:tc>
        <w:tc>
          <w:tcPr>
            <w:tcW w:w="120" w:type="dxa"/>
            <w:vAlign w:val="bottom"/>
            <w:shd w:val="clear" w:color="auto" w:fill="CFF0FC"/>
          </w:tcPr>
          <w:p>
            <w:pPr>
              <w:spacing w:after="0"/>
              <w:rPr>
                <w:sz w:val="13"/>
                <w:szCs w:val="13"/>
                <w:color w:val="auto"/>
              </w:rPr>
            </w:pPr>
          </w:p>
        </w:tc>
      </w:tr>
      <w:tr>
        <w:trPr>
          <w:trHeight w:val="153"/>
        </w:trPr>
        <w:tc>
          <w:tcPr>
            <w:tcW w:w="5820" w:type="dxa"/>
            <w:vAlign w:val="bottom"/>
          </w:tcPr>
          <w:p>
            <w:pPr>
              <w:ind w:left="160"/>
              <w:spacing w:after="0"/>
              <w:rPr>
                <w:sz w:val="20"/>
                <w:szCs w:val="20"/>
                <w:color w:val="auto"/>
              </w:rPr>
            </w:pPr>
            <w:r>
              <w:rPr>
                <w:rFonts w:ascii="Arial" w:cs="Arial" w:eastAsia="Arial" w:hAnsi="Arial"/>
                <w:sz w:val="12"/>
                <w:szCs w:val="12"/>
                <w:color w:val="auto"/>
              </w:rPr>
              <w:t>E-Rate and government</w:t>
            </w:r>
          </w:p>
        </w:tc>
        <w:tc>
          <w:tcPr>
            <w:tcW w:w="1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2"/>
                <w:szCs w:val="12"/>
                <w:color w:val="auto"/>
              </w:rPr>
              <w:t>74,752</w:t>
            </w:r>
          </w:p>
        </w:tc>
        <w:tc>
          <w:tcPr>
            <w:tcW w:w="280" w:type="dxa"/>
            <w:vAlign w:val="bottom"/>
          </w:tcPr>
          <w:p>
            <w:pPr>
              <w:spacing w:after="0"/>
              <w:rPr>
                <w:sz w:val="13"/>
                <w:szCs w:val="13"/>
                <w:color w:val="auto"/>
              </w:rPr>
            </w:pPr>
          </w:p>
        </w:tc>
        <w:tc>
          <w:tcPr>
            <w:tcW w:w="820" w:type="dxa"/>
            <w:vAlign w:val="bottom"/>
          </w:tcPr>
          <w:p>
            <w:pPr>
              <w:jc w:val="center"/>
              <w:spacing w:after="0"/>
              <w:rPr>
                <w:sz w:val="20"/>
                <w:szCs w:val="20"/>
                <w:color w:val="auto"/>
              </w:rPr>
            </w:pPr>
            <w:r>
              <w:rPr>
                <w:rFonts w:ascii="Arial" w:cs="Arial" w:eastAsia="Arial" w:hAnsi="Arial"/>
                <w:sz w:val="12"/>
                <w:szCs w:val="12"/>
                <w:color w:val="auto"/>
                <w:w w:val="88"/>
              </w:rPr>
              <w:t>25.8%</w:t>
            </w: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43,021</w:t>
            </w:r>
          </w:p>
        </w:tc>
        <w:tc>
          <w:tcPr>
            <w:tcW w:w="26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2"/>
                <w:szCs w:val="12"/>
                <w:color w:val="auto"/>
                <w:w w:val="93"/>
              </w:rPr>
              <w:t>21.2%</w:t>
            </w:r>
          </w:p>
        </w:tc>
        <w:tc>
          <w:tcPr>
            <w:tcW w:w="120" w:type="dxa"/>
            <w:vAlign w:val="bottom"/>
          </w:tcPr>
          <w:p>
            <w:pPr>
              <w:spacing w:after="0"/>
              <w:rPr>
                <w:sz w:val="13"/>
                <w:szCs w:val="13"/>
                <w:color w:val="auto"/>
              </w:rPr>
            </w:pPr>
          </w:p>
        </w:tc>
      </w:tr>
      <w:tr>
        <w:trPr>
          <w:trHeight w:val="153"/>
        </w:trPr>
        <w:tc>
          <w:tcPr>
            <w:tcW w:w="5820" w:type="dxa"/>
            <w:vAlign w:val="bottom"/>
            <w:shd w:val="clear" w:color="auto" w:fill="CFF0FC"/>
          </w:tcPr>
          <w:p>
            <w:pPr>
              <w:ind w:left="160"/>
              <w:spacing w:after="0"/>
              <w:rPr>
                <w:sz w:val="20"/>
                <w:szCs w:val="20"/>
                <w:color w:val="auto"/>
              </w:rPr>
            </w:pPr>
            <w:r>
              <w:rPr>
                <w:rFonts w:ascii="Arial" w:cs="Arial" w:eastAsia="Arial" w:hAnsi="Arial"/>
                <w:sz w:val="12"/>
                <w:szCs w:val="12"/>
                <w:color w:val="auto"/>
              </w:rPr>
              <w:t>Dark fiber and small cells</w:t>
            </w:r>
          </w:p>
        </w:tc>
        <w:tc>
          <w:tcPr>
            <w:tcW w:w="160" w:type="dxa"/>
            <w:vAlign w:val="bottom"/>
            <w:shd w:val="clear" w:color="auto" w:fill="CFF0FC"/>
          </w:tcPr>
          <w:p>
            <w:pPr>
              <w:spacing w:after="0"/>
              <w:rPr>
                <w:sz w:val="13"/>
                <w:szCs w:val="13"/>
                <w:color w:val="auto"/>
              </w:rPr>
            </w:pPr>
          </w:p>
        </w:tc>
        <w:tc>
          <w:tcPr>
            <w:tcW w:w="32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14,115</w:t>
            </w:r>
          </w:p>
        </w:tc>
        <w:tc>
          <w:tcPr>
            <w:tcW w:w="280" w:type="dxa"/>
            <w:vAlign w:val="bottom"/>
            <w:shd w:val="clear" w:color="auto" w:fill="CFF0FC"/>
          </w:tcPr>
          <w:p>
            <w:pPr>
              <w:spacing w:after="0"/>
              <w:rPr>
                <w:sz w:val="13"/>
                <w:szCs w:val="13"/>
                <w:color w:val="auto"/>
              </w:rPr>
            </w:pPr>
          </w:p>
        </w:tc>
        <w:tc>
          <w:tcPr>
            <w:tcW w:w="82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4"/>
              </w:rPr>
              <w:t>4.9%</w:t>
            </w:r>
          </w:p>
        </w:tc>
        <w:tc>
          <w:tcPr>
            <w:tcW w:w="28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5,200</w:t>
            </w:r>
          </w:p>
        </w:tc>
        <w:tc>
          <w:tcPr>
            <w:tcW w:w="260" w:type="dxa"/>
            <w:vAlign w:val="bottom"/>
            <w:shd w:val="clear" w:color="auto" w:fill="CFF0FC"/>
          </w:tcPr>
          <w:p>
            <w:pPr>
              <w:spacing w:after="0"/>
              <w:rPr>
                <w:sz w:val="13"/>
                <w:szCs w:val="13"/>
                <w:color w:val="auto"/>
              </w:rPr>
            </w:pPr>
          </w:p>
        </w:tc>
        <w:tc>
          <w:tcPr>
            <w:tcW w:w="8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7"/>
              </w:rPr>
              <w:t>2.6%</w:t>
            </w:r>
          </w:p>
        </w:tc>
        <w:tc>
          <w:tcPr>
            <w:tcW w:w="120" w:type="dxa"/>
            <w:vAlign w:val="bottom"/>
            <w:shd w:val="clear" w:color="auto" w:fill="CFF0FC"/>
          </w:tcPr>
          <w:p>
            <w:pPr>
              <w:spacing w:after="0"/>
              <w:rPr>
                <w:sz w:val="13"/>
                <w:szCs w:val="13"/>
                <w:color w:val="auto"/>
              </w:rPr>
            </w:pPr>
          </w:p>
        </w:tc>
      </w:tr>
      <w:tr>
        <w:trPr>
          <w:trHeight w:val="153"/>
        </w:trPr>
        <w:tc>
          <w:tcPr>
            <w:tcW w:w="5820" w:type="dxa"/>
            <w:vAlign w:val="bottom"/>
            <w:tcBorders>
              <w:bottom w:val="single" w:sz="8" w:color="CFF0FC"/>
            </w:tcBorders>
          </w:tcPr>
          <w:p>
            <w:pPr>
              <w:ind w:left="160"/>
              <w:spacing w:after="0"/>
              <w:rPr>
                <w:sz w:val="20"/>
                <w:szCs w:val="20"/>
                <w:color w:val="auto"/>
              </w:rPr>
            </w:pPr>
            <w:r>
              <w:rPr>
                <w:rFonts w:ascii="Arial" w:cs="Arial" w:eastAsia="Arial" w:hAnsi="Arial"/>
                <w:sz w:val="12"/>
                <w:szCs w:val="12"/>
                <w:color w:val="auto"/>
              </w:rPr>
              <w:t>Other services</w:t>
            </w:r>
          </w:p>
        </w:tc>
        <w:tc>
          <w:tcPr>
            <w:tcW w:w="160" w:type="dxa"/>
            <w:vAlign w:val="bottom"/>
            <w:tcBorders>
              <w:bottom w:val="single" w:sz="8" w:color="CFF0FC"/>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4,492</w:t>
            </w:r>
          </w:p>
        </w:tc>
        <w:tc>
          <w:tcPr>
            <w:tcW w:w="280" w:type="dxa"/>
            <w:vAlign w:val="bottom"/>
            <w:tcBorders>
              <w:bottom w:val="single" w:sz="8" w:color="CFF0FC"/>
            </w:tcBorders>
          </w:tcPr>
          <w:p>
            <w:pPr>
              <w:spacing w:after="0"/>
              <w:rPr>
                <w:sz w:val="13"/>
                <w:szCs w:val="13"/>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94"/>
              </w:rPr>
              <w:t>1.5%</w:t>
            </w:r>
          </w:p>
        </w:tc>
        <w:tc>
          <w:tcPr>
            <w:tcW w:w="28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454</w:t>
            </w:r>
          </w:p>
        </w:tc>
        <w:tc>
          <w:tcPr>
            <w:tcW w:w="260" w:type="dxa"/>
            <w:vAlign w:val="bottom"/>
            <w:tcBorders>
              <w:bottom w:val="single" w:sz="8" w:color="CFF0FC"/>
            </w:tcBorders>
          </w:tcPr>
          <w:p>
            <w:pPr>
              <w:spacing w:after="0"/>
              <w:rPr>
                <w:sz w:val="13"/>
                <w:szCs w:val="13"/>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87"/>
              </w:rPr>
              <w:t>0.2%</w:t>
            </w:r>
          </w:p>
        </w:tc>
        <w:tc>
          <w:tcPr>
            <w:tcW w:w="120" w:type="dxa"/>
            <w:vAlign w:val="bottom"/>
            <w:tcBorders>
              <w:bottom w:val="single" w:sz="8" w:color="CFF0FC"/>
            </w:tcBorders>
          </w:tcPr>
          <w:p>
            <w:pPr>
              <w:spacing w:after="0"/>
              <w:rPr>
                <w:sz w:val="13"/>
                <w:szCs w:val="13"/>
                <w:color w:val="auto"/>
              </w:rPr>
            </w:pPr>
          </w:p>
        </w:tc>
      </w:tr>
      <w:tr>
        <w:trPr>
          <w:trHeight w:val="142"/>
        </w:trPr>
        <w:tc>
          <w:tcPr>
            <w:tcW w:w="5820" w:type="dxa"/>
            <w:vAlign w:val="bottom"/>
            <w:shd w:val="clear" w:color="auto" w:fill="CFF0FC"/>
          </w:tcPr>
          <w:p>
            <w:pPr>
              <w:ind w:left="240"/>
              <w:spacing w:after="0"/>
              <w:rPr>
                <w:sz w:val="20"/>
                <w:szCs w:val="20"/>
                <w:color w:val="auto"/>
              </w:rPr>
            </w:pPr>
            <w:r>
              <w:rPr>
                <w:rFonts w:ascii="Arial" w:cs="Arial" w:eastAsia="Arial" w:hAnsi="Arial"/>
                <w:sz w:val="12"/>
                <w:szCs w:val="12"/>
                <w:color w:val="auto"/>
              </w:rPr>
              <w:t>Total Fiber Infrastructure revenues</w:t>
            </w:r>
          </w:p>
        </w:tc>
        <w:tc>
          <w:tcPr>
            <w:tcW w:w="16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289,239</w:t>
            </w:r>
          </w:p>
        </w:tc>
        <w:tc>
          <w:tcPr>
            <w:tcW w:w="280" w:type="dxa"/>
            <w:vAlign w:val="bottom"/>
            <w:shd w:val="clear" w:color="auto" w:fill="CFF0FC"/>
          </w:tcPr>
          <w:p>
            <w:pPr>
              <w:spacing w:after="0"/>
              <w:rPr>
                <w:sz w:val="12"/>
                <w:szCs w:val="12"/>
                <w:color w:val="auto"/>
              </w:rPr>
            </w:pPr>
          </w:p>
        </w:tc>
        <w:tc>
          <w:tcPr>
            <w:tcW w:w="82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3"/>
              </w:rPr>
              <w:t>100.0%</w:t>
            </w:r>
          </w:p>
        </w:tc>
        <w:tc>
          <w:tcPr>
            <w:tcW w:w="1260" w:type="dxa"/>
            <w:vAlign w:val="bottom"/>
            <w:gridSpan w:val="2"/>
            <w:shd w:val="clear" w:color="auto" w:fill="CFF0FC"/>
          </w:tcPr>
          <w:p>
            <w:pPr>
              <w:jc w:val="right"/>
              <w:ind w:right="872"/>
              <w:spacing w:after="0"/>
              <w:rPr>
                <w:sz w:val="20"/>
                <w:szCs w:val="20"/>
                <w:color w:val="auto"/>
              </w:rPr>
            </w:pPr>
            <w:r>
              <w:rPr>
                <w:rFonts w:ascii="Arial" w:cs="Arial" w:eastAsia="Arial" w:hAnsi="Arial"/>
                <w:sz w:val="12"/>
                <w:szCs w:val="12"/>
                <w:color w:val="auto"/>
              </w:rPr>
              <w:t>$</w:t>
            </w: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260" w:type="dxa"/>
            <w:vAlign w:val="bottom"/>
            <w:shd w:val="clear" w:color="auto" w:fill="CFF0FC"/>
          </w:tcPr>
          <w:p>
            <w:pPr>
              <w:spacing w:after="0"/>
              <w:rPr>
                <w:sz w:val="12"/>
                <w:szCs w:val="12"/>
                <w:color w:val="auto"/>
              </w:rPr>
            </w:pPr>
          </w:p>
        </w:tc>
        <w:tc>
          <w:tcPr>
            <w:tcW w:w="8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8"/>
              </w:rPr>
              <w:t>100.0%</w:t>
            </w:r>
          </w:p>
        </w:tc>
        <w:tc>
          <w:tcPr>
            <w:tcW w:w="120" w:type="dxa"/>
            <w:vAlign w:val="bottom"/>
            <w:shd w:val="clear" w:color="auto" w:fill="CFF0FC"/>
          </w:tcPr>
          <w:p>
            <w:pPr>
              <w:spacing w:after="0"/>
              <w:rPr>
                <w:sz w:val="12"/>
                <w:szCs w:val="12"/>
                <w:color w:val="auto"/>
              </w:rPr>
            </w:pPr>
          </w:p>
        </w:tc>
      </w:tr>
      <w:tr>
        <w:trPr>
          <w:trHeight w:val="27"/>
        </w:trPr>
        <w:tc>
          <w:tcPr>
            <w:tcW w:w="5820" w:type="dxa"/>
            <w:vAlign w:val="bottom"/>
            <w:shd w:val="clear" w:color="auto" w:fill="CFF0FC"/>
          </w:tcPr>
          <w:p>
            <w:pPr>
              <w:spacing w:after="0"/>
              <w:rPr>
                <w:sz w:val="2"/>
                <w:szCs w:val="2"/>
                <w:color w:val="auto"/>
              </w:rPr>
            </w:pPr>
          </w:p>
        </w:tc>
        <w:tc>
          <w:tcPr>
            <w:tcW w:w="160" w:type="dxa"/>
            <w:vAlign w:val="bottom"/>
            <w:shd w:val="clear" w:color="auto" w:fill="CFF0FC"/>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80" w:type="dxa"/>
            <w:vAlign w:val="bottom"/>
            <w:shd w:val="clear" w:color="auto" w:fill="CFF0FC"/>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80" w:type="dxa"/>
            <w:vAlign w:val="bottom"/>
            <w:shd w:val="clear" w:color="auto" w:fill="CFF0FC"/>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60" w:type="dxa"/>
            <w:vAlign w:val="bottom"/>
            <w:shd w:val="clear" w:color="auto" w:fill="CFF0FC"/>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shd w:val="clear" w:color="auto" w:fill="CFF0FC"/>
          </w:tcPr>
          <w:p>
            <w:pPr>
              <w:spacing w:after="0"/>
              <w:rPr>
                <w:sz w:val="2"/>
                <w:szCs w:val="2"/>
                <w:color w:val="auto"/>
              </w:rPr>
            </w:pPr>
          </w:p>
        </w:tc>
      </w:tr>
    </w:tbl>
    <w:p>
      <w:pPr>
        <w:spacing w:after="0" w:line="135" w:lineRule="exact"/>
        <w:rPr>
          <w:sz w:val="20"/>
          <w:szCs w:val="20"/>
          <w:color w:val="auto"/>
        </w:rPr>
      </w:pPr>
    </w:p>
    <w:p>
      <w:pPr>
        <w:spacing w:after="0"/>
        <w:rPr>
          <w:sz w:val="20"/>
          <w:szCs w:val="20"/>
          <w:color w:val="auto"/>
        </w:rPr>
      </w:pPr>
      <w:r>
        <w:rPr>
          <w:rFonts w:ascii="Arial" w:cs="Arial" w:eastAsia="Arial" w:hAnsi="Arial"/>
          <w:sz w:val="12"/>
          <w:szCs w:val="12"/>
          <w:color w:val="auto"/>
        </w:rPr>
        <w:t>At December 31, 2018, we had approximately 18,200 customer connections, up from 16,750 customer connections at December 31, 2017.</w:t>
      </w:r>
    </w:p>
    <w:p>
      <w:pPr>
        <w:spacing w:after="0" w:line="150" w:lineRule="exact"/>
        <w:rPr>
          <w:sz w:val="20"/>
          <w:szCs w:val="20"/>
          <w:color w:val="auto"/>
        </w:rPr>
      </w:pPr>
    </w:p>
    <w:p>
      <w:pPr>
        <w:ind w:left="5680"/>
        <w:spacing w:after="0"/>
        <w:rPr>
          <w:sz w:val="20"/>
          <w:szCs w:val="20"/>
          <w:color w:val="auto"/>
        </w:rPr>
      </w:pPr>
      <w:r>
        <w:rPr>
          <w:rFonts w:ascii="Arial" w:cs="Arial" w:eastAsia="Arial" w:hAnsi="Arial"/>
          <w:sz w:val="12"/>
          <w:szCs w:val="12"/>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138"/>
        </w:trPr>
        <w:tc>
          <w:tcPr>
            <w:tcW w:w="5800" w:type="dxa"/>
            <w:vAlign w:val="bottom"/>
            <w:gridSpan w:val="4"/>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3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20"/>
        </w:trPr>
        <w:tc>
          <w:tcPr>
            <w:tcW w:w="3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96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68"/>
        </w:trPr>
        <w:tc>
          <w:tcPr>
            <w:tcW w:w="5800" w:type="dxa"/>
            <w:vAlign w:val="bottom"/>
            <w:gridSpan w:val="4"/>
          </w:tcPr>
          <w:p>
            <w:pPr>
              <w:spacing w:after="0"/>
              <w:rPr>
                <w:sz w:val="20"/>
                <w:szCs w:val="20"/>
                <w:color w:val="auto"/>
              </w:rPr>
            </w:pPr>
            <w:r>
              <w:rPr>
                <w:rFonts w:ascii="Arial" w:cs="Arial" w:eastAsia="Arial" w:hAnsi="Arial"/>
                <w:sz w:val="12"/>
                <w:szCs w:val="12"/>
                <w:i w:val="1"/>
                <w:iCs w:val="1"/>
                <w:color w:val="auto"/>
              </w:rPr>
              <w:t xml:space="preserve">Towers </w:t>
            </w:r>
            <w:r>
              <w:rPr>
                <w:rFonts w:ascii="Arial" w:cs="Arial" w:eastAsia="Arial" w:hAnsi="Arial"/>
                <w:sz w:val="12"/>
                <w:szCs w:val="12"/>
                <w:color w:val="auto"/>
              </w:rPr>
              <w:t>– Towers revenues for the years ended December 31, 2018 and 2017 consisted of the following:</w:t>
            </w:r>
          </w:p>
        </w:tc>
        <w:tc>
          <w:tcPr>
            <w:tcW w:w="34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20" w:type="dxa"/>
            <w:vAlign w:val="bottom"/>
          </w:tcPr>
          <w:p>
            <w:pPr>
              <w:spacing w:after="0"/>
              <w:rPr>
                <w:sz w:val="23"/>
                <w:szCs w:val="23"/>
                <w:color w:val="auto"/>
              </w:rPr>
            </w:pPr>
          </w:p>
        </w:tc>
      </w:tr>
      <w:tr>
        <w:trPr>
          <w:trHeight w:val="313"/>
        </w:trPr>
        <w:tc>
          <w:tcPr>
            <w:tcW w:w="340" w:type="dxa"/>
            <w:vAlign w:val="bottom"/>
            <w:tcBorders>
              <w:top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4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gridSpan w:val="3"/>
          </w:tcPr>
          <w:p>
            <w:pPr>
              <w:jc w:val="right"/>
              <w:ind w:right="471"/>
              <w:spacing w:after="0"/>
              <w:rPr>
                <w:sz w:val="20"/>
                <w:szCs w:val="20"/>
                <w:color w:val="auto"/>
              </w:rPr>
            </w:pPr>
            <w:r>
              <w:rPr>
                <w:rFonts w:ascii="Arial" w:cs="Arial" w:eastAsia="Arial" w:hAnsi="Arial"/>
                <w:sz w:val="12"/>
                <w:szCs w:val="12"/>
                <w:b w:val="1"/>
                <w:bCs w:val="1"/>
                <w:color w:val="auto"/>
              </w:rPr>
              <w:t>Year Ended December 31,</w:t>
            </w:r>
          </w:p>
        </w:tc>
        <w:tc>
          <w:tcPr>
            <w:tcW w:w="6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151"/>
        </w:trPr>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240" w:type="dxa"/>
            <w:vAlign w:val="bottom"/>
            <w:tcBorders>
              <w:bottom w:val="single" w:sz="8" w:color="auto"/>
            </w:tcBorders>
          </w:tcPr>
          <w:p>
            <w:pPr>
              <w:jc w:val="right"/>
              <w:ind w:right="142"/>
              <w:spacing w:after="0"/>
              <w:rPr>
                <w:sz w:val="20"/>
                <w:szCs w:val="20"/>
                <w:color w:val="auto"/>
              </w:rPr>
            </w:pPr>
            <w:r>
              <w:rPr>
                <w:rFonts w:ascii="Arial" w:cs="Arial" w:eastAsia="Arial" w:hAnsi="Arial"/>
                <w:sz w:val="12"/>
                <w:szCs w:val="12"/>
                <w:b w:val="1"/>
                <w:bCs w:val="1"/>
                <w:color w:val="auto"/>
              </w:rPr>
              <w:t>2018</w:t>
            </w:r>
          </w:p>
        </w:tc>
        <w:tc>
          <w:tcPr>
            <w:tcW w:w="26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260" w:type="dxa"/>
            <w:vAlign w:val="bottom"/>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200"/>
              <w:spacing w:after="0"/>
              <w:rPr>
                <w:sz w:val="20"/>
                <w:szCs w:val="20"/>
                <w:color w:val="auto"/>
              </w:rPr>
            </w:pPr>
            <w:r>
              <w:rPr>
                <w:rFonts w:ascii="Arial" w:cs="Arial" w:eastAsia="Arial" w:hAnsi="Arial"/>
                <w:sz w:val="12"/>
                <w:szCs w:val="12"/>
                <w:b w:val="1"/>
                <w:bCs w:val="1"/>
                <w:color w:val="auto"/>
              </w:rPr>
              <w:t>2017</w:t>
            </w:r>
          </w:p>
        </w:tc>
        <w:tc>
          <w:tcPr>
            <w:tcW w:w="2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r>
      <w:tr>
        <w:trPr>
          <w:trHeight w:val="83"/>
        </w:trPr>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4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jc w:val="center"/>
              <w:spacing w:after="0" w:line="83" w:lineRule="exact"/>
              <w:rPr>
                <w:sz w:val="20"/>
                <w:szCs w:val="20"/>
                <w:color w:val="auto"/>
              </w:rPr>
            </w:pPr>
            <w:r>
              <w:rPr>
                <w:rFonts w:ascii="Arial" w:cs="Arial" w:eastAsia="Arial" w:hAnsi="Arial"/>
                <w:sz w:val="8"/>
                <w:szCs w:val="8"/>
                <w:b w:val="1"/>
                <w:bCs w:val="1"/>
                <w:color w:val="auto"/>
              </w:rPr>
              <w:t>% of</w:t>
            </w:r>
          </w:p>
        </w:tc>
        <w:tc>
          <w:tcPr>
            <w:tcW w:w="2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740" w:type="dxa"/>
            <w:vAlign w:val="bottom"/>
          </w:tcPr>
          <w:p>
            <w:pPr>
              <w:jc w:val="center"/>
              <w:spacing w:after="0" w:line="83" w:lineRule="exact"/>
              <w:rPr>
                <w:sz w:val="20"/>
                <w:szCs w:val="20"/>
                <w:color w:val="auto"/>
              </w:rPr>
            </w:pPr>
            <w:r>
              <w:rPr>
                <w:rFonts w:ascii="Arial" w:cs="Arial" w:eastAsia="Arial" w:hAnsi="Arial"/>
                <w:sz w:val="8"/>
                <w:szCs w:val="8"/>
                <w:b w:val="1"/>
                <w:bCs w:val="1"/>
                <w:color w:val="auto"/>
              </w:rPr>
              <w:t>% of</w:t>
            </w:r>
          </w:p>
        </w:tc>
        <w:tc>
          <w:tcPr>
            <w:tcW w:w="120" w:type="dxa"/>
            <w:vAlign w:val="bottom"/>
          </w:tcPr>
          <w:p>
            <w:pPr>
              <w:spacing w:after="0"/>
              <w:rPr>
                <w:sz w:val="7"/>
                <w:szCs w:val="7"/>
                <w:color w:val="auto"/>
              </w:rPr>
            </w:pPr>
          </w:p>
        </w:tc>
      </w:tr>
      <w:tr>
        <w:trPr>
          <w:trHeight w:val="99"/>
        </w:trPr>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4800" w:type="dxa"/>
            <w:vAlign w:val="bottom"/>
          </w:tcPr>
          <w:p>
            <w:pPr>
              <w:spacing w:after="0"/>
              <w:rPr>
                <w:sz w:val="8"/>
                <w:szCs w:val="8"/>
                <w:color w:val="auto"/>
              </w:rPr>
            </w:pPr>
          </w:p>
        </w:tc>
        <w:tc>
          <w:tcPr>
            <w:tcW w:w="1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40" w:type="dxa"/>
            <w:vAlign w:val="bottom"/>
          </w:tcPr>
          <w:p>
            <w:pPr>
              <w:spacing w:after="0"/>
              <w:rPr>
                <w:sz w:val="8"/>
                <w:szCs w:val="8"/>
                <w:color w:val="auto"/>
              </w:rPr>
            </w:pPr>
          </w:p>
        </w:tc>
        <w:tc>
          <w:tcPr>
            <w:tcW w:w="260" w:type="dxa"/>
            <w:vAlign w:val="bottom"/>
          </w:tcPr>
          <w:p>
            <w:pPr>
              <w:spacing w:after="0"/>
              <w:rPr>
                <w:sz w:val="8"/>
                <w:szCs w:val="8"/>
                <w:color w:val="auto"/>
              </w:rPr>
            </w:pPr>
          </w:p>
        </w:tc>
        <w:tc>
          <w:tcPr>
            <w:tcW w:w="980" w:type="dxa"/>
            <w:vAlign w:val="bottom"/>
            <w:gridSpan w:val="2"/>
          </w:tcPr>
          <w:p>
            <w:pPr>
              <w:jc w:val="center"/>
              <w:ind w:right="280"/>
              <w:spacing w:after="0" w:line="99" w:lineRule="exact"/>
              <w:rPr>
                <w:sz w:val="20"/>
                <w:szCs w:val="20"/>
                <w:color w:val="auto"/>
              </w:rPr>
            </w:pPr>
            <w:r>
              <w:rPr>
                <w:rFonts w:ascii="Arial" w:cs="Arial" w:eastAsia="Arial" w:hAnsi="Arial"/>
                <w:sz w:val="10"/>
                <w:szCs w:val="10"/>
                <w:b w:val="1"/>
                <w:bCs w:val="1"/>
                <w:color w:val="auto"/>
                <w:w w:val="80"/>
              </w:rPr>
              <w:t>Segment</w:t>
            </w:r>
          </w:p>
        </w:tc>
        <w:tc>
          <w:tcPr>
            <w:tcW w:w="1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gridSpan w:val="2"/>
          </w:tcPr>
          <w:p>
            <w:pPr>
              <w:jc w:val="center"/>
              <w:ind w:right="120"/>
              <w:spacing w:after="0" w:line="99" w:lineRule="exact"/>
              <w:rPr>
                <w:sz w:val="20"/>
                <w:szCs w:val="20"/>
                <w:color w:val="auto"/>
              </w:rPr>
            </w:pPr>
            <w:r>
              <w:rPr>
                <w:rFonts w:ascii="Arial" w:cs="Arial" w:eastAsia="Arial" w:hAnsi="Arial"/>
                <w:sz w:val="10"/>
                <w:szCs w:val="10"/>
                <w:b w:val="1"/>
                <w:bCs w:val="1"/>
                <w:color w:val="auto"/>
                <w:w w:val="80"/>
              </w:rPr>
              <w:t>Segment</w:t>
            </w:r>
          </w:p>
        </w:tc>
      </w:tr>
      <w:tr>
        <w:trPr>
          <w:trHeight w:val="114"/>
        </w:trPr>
        <w:tc>
          <w:tcPr>
            <w:tcW w:w="5800" w:type="dxa"/>
            <w:vAlign w:val="bottom"/>
            <w:gridSpan w:val="4"/>
          </w:tcPr>
          <w:p>
            <w:pPr>
              <w:spacing w:after="0" w:line="114" w:lineRule="exact"/>
              <w:rPr>
                <w:sz w:val="20"/>
                <w:szCs w:val="20"/>
                <w:color w:val="auto"/>
              </w:rPr>
            </w:pPr>
            <w:r>
              <w:rPr>
                <w:rFonts w:ascii="Arial" w:cs="Arial" w:eastAsia="Arial" w:hAnsi="Arial"/>
                <w:sz w:val="10"/>
                <w:szCs w:val="10"/>
                <w:color w:val="auto"/>
              </w:rPr>
              <w:t>(Thousands)</w:t>
            </w:r>
          </w:p>
        </w:tc>
        <w:tc>
          <w:tcPr>
            <w:tcW w:w="340" w:type="dxa"/>
            <w:vAlign w:val="bottom"/>
          </w:tcPr>
          <w:p>
            <w:pPr>
              <w:spacing w:after="0"/>
              <w:rPr>
                <w:sz w:val="9"/>
                <w:szCs w:val="9"/>
                <w:color w:val="auto"/>
              </w:rPr>
            </w:pPr>
          </w:p>
        </w:tc>
        <w:tc>
          <w:tcPr>
            <w:tcW w:w="1500" w:type="dxa"/>
            <w:vAlign w:val="bottom"/>
            <w:gridSpan w:val="2"/>
          </w:tcPr>
          <w:p>
            <w:pPr>
              <w:ind w:left="280"/>
              <w:spacing w:after="0" w:line="114" w:lineRule="exact"/>
              <w:rPr>
                <w:sz w:val="20"/>
                <w:szCs w:val="20"/>
                <w:color w:val="auto"/>
              </w:rPr>
            </w:pPr>
            <w:r>
              <w:rPr>
                <w:rFonts w:ascii="Arial" w:cs="Arial" w:eastAsia="Arial" w:hAnsi="Arial"/>
                <w:sz w:val="10"/>
                <w:szCs w:val="10"/>
                <w:b w:val="1"/>
                <w:bCs w:val="1"/>
                <w:color w:val="auto"/>
              </w:rPr>
              <w:t>Amount</w:t>
            </w:r>
          </w:p>
        </w:tc>
        <w:tc>
          <w:tcPr>
            <w:tcW w:w="980" w:type="dxa"/>
            <w:vAlign w:val="bottom"/>
            <w:gridSpan w:val="2"/>
          </w:tcPr>
          <w:p>
            <w:pPr>
              <w:jc w:val="center"/>
              <w:ind w:right="280"/>
              <w:spacing w:after="0" w:line="114" w:lineRule="exact"/>
              <w:rPr>
                <w:sz w:val="20"/>
                <w:szCs w:val="20"/>
                <w:color w:val="auto"/>
              </w:rPr>
            </w:pPr>
            <w:r>
              <w:rPr>
                <w:rFonts w:ascii="Arial" w:cs="Arial" w:eastAsia="Arial" w:hAnsi="Arial"/>
                <w:sz w:val="10"/>
                <w:szCs w:val="10"/>
                <w:b w:val="1"/>
                <w:bCs w:val="1"/>
                <w:color w:val="auto"/>
                <w:w w:val="80"/>
              </w:rPr>
              <w:t>Revenues</w:t>
            </w:r>
          </w:p>
        </w:tc>
        <w:tc>
          <w:tcPr>
            <w:tcW w:w="1140" w:type="dxa"/>
            <w:vAlign w:val="bottom"/>
          </w:tcPr>
          <w:p>
            <w:pPr>
              <w:jc w:val="right"/>
              <w:ind w:right="51"/>
              <w:spacing w:after="0" w:line="114" w:lineRule="exact"/>
              <w:rPr>
                <w:sz w:val="20"/>
                <w:szCs w:val="20"/>
                <w:color w:val="auto"/>
              </w:rPr>
            </w:pPr>
            <w:r>
              <w:rPr>
                <w:rFonts w:ascii="Arial" w:cs="Arial" w:eastAsia="Arial" w:hAnsi="Arial"/>
                <w:sz w:val="10"/>
                <w:szCs w:val="10"/>
                <w:b w:val="1"/>
                <w:bCs w:val="1"/>
                <w:color w:val="auto"/>
              </w:rPr>
              <w:t>Amount</w:t>
            </w:r>
          </w:p>
        </w:tc>
        <w:tc>
          <w:tcPr>
            <w:tcW w:w="600" w:type="dxa"/>
            <w:vAlign w:val="bottom"/>
          </w:tcPr>
          <w:p>
            <w:pPr>
              <w:spacing w:after="0"/>
              <w:rPr>
                <w:sz w:val="9"/>
                <w:szCs w:val="9"/>
                <w:color w:val="auto"/>
              </w:rPr>
            </w:pPr>
          </w:p>
        </w:tc>
        <w:tc>
          <w:tcPr>
            <w:tcW w:w="260" w:type="dxa"/>
            <w:vAlign w:val="bottom"/>
          </w:tcPr>
          <w:p>
            <w:pPr>
              <w:spacing w:after="0"/>
              <w:rPr>
                <w:sz w:val="9"/>
                <w:szCs w:val="9"/>
                <w:color w:val="auto"/>
              </w:rPr>
            </w:pPr>
          </w:p>
        </w:tc>
        <w:tc>
          <w:tcPr>
            <w:tcW w:w="860" w:type="dxa"/>
            <w:vAlign w:val="bottom"/>
            <w:gridSpan w:val="2"/>
          </w:tcPr>
          <w:p>
            <w:pPr>
              <w:jc w:val="center"/>
              <w:ind w:right="120"/>
              <w:spacing w:after="0" w:line="114" w:lineRule="exact"/>
              <w:rPr>
                <w:sz w:val="20"/>
                <w:szCs w:val="20"/>
                <w:color w:val="auto"/>
              </w:rPr>
            </w:pPr>
            <w:r>
              <w:rPr>
                <w:rFonts w:ascii="Arial" w:cs="Arial" w:eastAsia="Arial" w:hAnsi="Arial"/>
                <w:sz w:val="10"/>
                <w:szCs w:val="10"/>
                <w:b w:val="1"/>
                <w:bCs w:val="1"/>
                <w:color w:val="auto"/>
                <w:w w:val="80"/>
              </w:rPr>
              <w:t>Revenues</w:t>
            </w:r>
          </w:p>
        </w:tc>
      </w:tr>
      <w:tr>
        <w:trPr>
          <w:trHeight w:val="142"/>
        </w:trPr>
        <w:tc>
          <w:tcPr>
            <w:tcW w:w="5640" w:type="dxa"/>
            <w:vAlign w:val="bottom"/>
            <w:tcBorders>
              <w:top w:val="single" w:sz="8" w:color="auto"/>
            </w:tcBorders>
            <w:gridSpan w:val="3"/>
            <w:shd w:val="clear" w:color="auto" w:fill="CFF0FC"/>
          </w:tcPr>
          <w:p>
            <w:pPr>
              <w:spacing w:after="0"/>
              <w:rPr>
                <w:sz w:val="20"/>
                <w:szCs w:val="20"/>
                <w:color w:val="auto"/>
              </w:rPr>
            </w:pPr>
            <w:r>
              <w:rPr>
                <w:rFonts w:ascii="Arial" w:cs="Arial" w:eastAsia="Arial" w:hAnsi="Arial"/>
                <w:sz w:val="12"/>
                <w:szCs w:val="12"/>
                <w:b w:val="1"/>
                <w:bCs w:val="1"/>
                <w:color w:val="auto"/>
              </w:rPr>
              <w:t>Towers revenues:</w:t>
            </w:r>
          </w:p>
        </w:tc>
        <w:tc>
          <w:tcPr>
            <w:tcW w:w="160" w:type="dxa"/>
            <w:vAlign w:val="bottom"/>
            <w:tcBorders>
              <w:top w:val="single" w:sz="8" w:color="CFF0FC"/>
            </w:tcBorders>
            <w:shd w:val="clear" w:color="auto" w:fill="CFF0FC"/>
          </w:tcPr>
          <w:p>
            <w:pPr>
              <w:spacing w:after="0"/>
              <w:rPr>
                <w:sz w:val="12"/>
                <w:szCs w:val="12"/>
                <w:color w:val="auto"/>
              </w:rPr>
            </w:pPr>
          </w:p>
        </w:tc>
        <w:tc>
          <w:tcPr>
            <w:tcW w:w="340" w:type="dxa"/>
            <w:vAlign w:val="bottom"/>
            <w:tcBorders>
              <w:top w:val="single" w:sz="8" w:color="auto"/>
            </w:tcBorders>
            <w:shd w:val="clear" w:color="auto" w:fill="CFF0FC"/>
          </w:tcPr>
          <w:p>
            <w:pPr>
              <w:spacing w:after="0"/>
              <w:rPr>
                <w:sz w:val="12"/>
                <w:szCs w:val="12"/>
                <w:color w:val="auto"/>
              </w:rPr>
            </w:pPr>
          </w:p>
        </w:tc>
        <w:tc>
          <w:tcPr>
            <w:tcW w:w="124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1140" w:type="dxa"/>
            <w:vAlign w:val="bottom"/>
            <w:tcBorders>
              <w:top w:val="single" w:sz="8" w:color="auto"/>
            </w:tcBorders>
            <w:shd w:val="clear" w:color="auto" w:fill="CFF0FC"/>
          </w:tcPr>
          <w:p>
            <w:pPr>
              <w:spacing w:after="0"/>
              <w:rPr>
                <w:sz w:val="12"/>
                <w:szCs w:val="12"/>
                <w:color w:val="auto"/>
              </w:rPr>
            </w:pPr>
          </w:p>
        </w:tc>
        <w:tc>
          <w:tcPr>
            <w:tcW w:w="6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74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r>
      <w:tr>
        <w:trPr>
          <w:trHeight w:val="153"/>
        </w:trPr>
        <w:tc>
          <w:tcPr>
            <w:tcW w:w="5800" w:type="dxa"/>
            <w:vAlign w:val="bottom"/>
            <w:gridSpan w:val="4"/>
          </w:tcPr>
          <w:p>
            <w:pPr>
              <w:ind w:left="160"/>
              <w:spacing w:after="0"/>
              <w:rPr>
                <w:sz w:val="20"/>
                <w:szCs w:val="20"/>
                <w:color w:val="auto"/>
              </w:rPr>
            </w:pPr>
            <w:r>
              <w:rPr>
                <w:rFonts w:ascii="Arial" w:cs="Arial" w:eastAsia="Arial" w:hAnsi="Arial"/>
                <w:sz w:val="12"/>
                <w:szCs w:val="12"/>
                <w:color w:val="auto"/>
              </w:rPr>
              <w:t>United States</w:t>
            </w: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240" w:type="dxa"/>
            <w:vAlign w:val="bottom"/>
          </w:tcPr>
          <w:p>
            <w:pPr>
              <w:jc w:val="right"/>
              <w:spacing w:after="0"/>
              <w:rPr>
                <w:sz w:val="20"/>
                <w:szCs w:val="20"/>
                <w:color w:val="auto"/>
              </w:rPr>
            </w:pPr>
            <w:r>
              <w:rPr>
                <w:rFonts w:ascii="Arial" w:cs="Arial" w:eastAsia="Arial" w:hAnsi="Arial"/>
                <w:sz w:val="12"/>
                <w:szCs w:val="12"/>
                <w:color w:val="auto"/>
              </w:rPr>
              <w:t>5,207</w:t>
            </w:r>
          </w:p>
        </w:tc>
        <w:tc>
          <w:tcPr>
            <w:tcW w:w="260" w:type="dxa"/>
            <w:vAlign w:val="bottom"/>
          </w:tcPr>
          <w:p>
            <w:pPr>
              <w:spacing w:after="0"/>
              <w:rPr>
                <w:sz w:val="13"/>
                <w:szCs w:val="13"/>
                <w:color w:val="auto"/>
              </w:rPr>
            </w:pPr>
          </w:p>
        </w:tc>
        <w:tc>
          <w:tcPr>
            <w:tcW w:w="720" w:type="dxa"/>
            <w:vAlign w:val="bottom"/>
          </w:tcPr>
          <w:p>
            <w:pPr>
              <w:jc w:val="center"/>
              <w:spacing w:after="0"/>
              <w:rPr>
                <w:sz w:val="20"/>
                <w:szCs w:val="20"/>
                <w:color w:val="auto"/>
              </w:rPr>
            </w:pPr>
            <w:r>
              <w:rPr>
                <w:rFonts w:ascii="Arial" w:cs="Arial" w:eastAsia="Arial" w:hAnsi="Arial"/>
                <w:sz w:val="12"/>
                <w:szCs w:val="12"/>
                <w:color w:val="auto"/>
                <w:w w:val="88"/>
              </w:rPr>
              <w:t>35.6%</w:t>
            </w:r>
          </w:p>
        </w:tc>
        <w:tc>
          <w:tcPr>
            <w:tcW w:w="260" w:type="dxa"/>
            <w:vAlign w:val="bottom"/>
          </w:tcPr>
          <w:p>
            <w:pPr>
              <w:spacing w:after="0"/>
              <w:rPr>
                <w:sz w:val="13"/>
                <w:szCs w:val="13"/>
                <w:color w:val="auto"/>
              </w:rPr>
            </w:pPr>
          </w:p>
        </w:tc>
        <w:tc>
          <w:tcPr>
            <w:tcW w:w="1140" w:type="dxa"/>
            <w:vAlign w:val="bottom"/>
          </w:tcPr>
          <w:p>
            <w:pPr>
              <w:jc w:val="right"/>
              <w:ind w:right="1031"/>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spacing w:after="0"/>
              <w:rPr>
                <w:sz w:val="20"/>
                <w:szCs w:val="20"/>
                <w:color w:val="auto"/>
              </w:rPr>
            </w:pPr>
            <w:r>
              <w:rPr>
                <w:rFonts w:ascii="Arial" w:cs="Arial" w:eastAsia="Arial" w:hAnsi="Arial"/>
                <w:sz w:val="12"/>
                <w:szCs w:val="12"/>
                <w:color w:val="auto"/>
              </w:rPr>
              <w:t>2,599</w:t>
            </w:r>
          </w:p>
        </w:tc>
        <w:tc>
          <w:tcPr>
            <w:tcW w:w="260" w:type="dxa"/>
            <w:vAlign w:val="bottom"/>
          </w:tcPr>
          <w:p>
            <w:pPr>
              <w:spacing w:after="0"/>
              <w:rPr>
                <w:sz w:val="13"/>
                <w:szCs w:val="13"/>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88"/>
              </w:rPr>
              <w:t>25.8%</w:t>
            </w:r>
          </w:p>
        </w:tc>
        <w:tc>
          <w:tcPr>
            <w:tcW w:w="120" w:type="dxa"/>
            <w:vAlign w:val="bottom"/>
          </w:tcPr>
          <w:p>
            <w:pPr>
              <w:spacing w:after="0"/>
              <w:rPr>
                <w:sz w:val="13"/>
                <w:szCs w:val="13"/>
                <w:color w:val="auto"/>
              </w:rPr>
            </w:pPr>
          </w:p>
        </w:tc>
      </w:tr>
      <w:tr>
        <w:trPr>
          <w:trHeight w:val="153"/>
        </w:trPr>
        <w:tc>
          <w:tcPr>
            <w:tcW w:w="5800" w:type="dxa"/>
            <w:vAlign w:val="bottom"/>
            <w:gridSpan w:val="4"/>
            <w:shd w:val="clear" w:color="auto" w:fill="CFF0FC"/>
          </w:tcPr>
          <w:p>
            <w:pPr>
              <w:ind w:left="160"/>
              <w:spacing w:after="0"/>
              <w:rPr>
                <w:sz w:val="20"/>
                <w:szCs w:val="20"/>
                <w:color w:val="auto"/>
              </w:rPr>
            </w:pPr>
            <w:r>
              <w:rPr>
                <w:rFonts w:ascii="Arial" w:cs="Arial" w:eastAsia="Arial" w:hAnsi="Arial"/>
                <w:sz w:val="12"/>
                <w:szCs w:val="12"/>
                <w:color w:val="auto"/>
              </w:rPr>
              <w:t>Latin America</w:t>
            </w:r>
          </w:p>
        </w:tc>
        <w:tc>
          <w:tcPr>
            <w:tcW w:w="340" w:type="dxa"/>
            <w:vAlign w:val="bottom"/>
            <w:tcBorders>
              <w:bottom w:val="single" w:sz="8" w:color="auto"/>
            </w:tcBorders>
            <w:shd w:val="clear" w:color="auto" w:fill="CFF0FC"/>
          </w:tcPr>
          <w:p>
            <w:pPr>
              <w:spacing w:after="0"/>
              <w:rPr>
                <w:sz w:val="13"/>
                <w:szCs w:val="13"/>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9,410</w:t>
            </w:r>
          </w:p>
        </w:tc>
        <w:tc>
          <w:tcPr>
            <w:tcW w:w="260" w:type="dxa"/>
            <w:vAlign w:val="bottom"/>
            <w:shd w:val="clear" w:color="auto" w:fill="CFF0FC"/>
          </w:tcPr>
          <w:p>
            <w:pPr>
              <w:spacing w:after="0"/>
              <w:rPr>
                <w:sz w:val="13"/>
                <w:szCs w:val="13"/>
                <w:color w:val="auto"/>
              </w:rPr>
            </w:pPr>
          </w:p>
        </w:tc>
        <w:tc>
          <w:tcPr>
            <w:tcW w:w="72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8"/>
              </w:rPr>
              <w:t>64.4%</w:t>
            </w:r>
          </w:p>
        </w:tc>
        <w:tc>
          <w:tcPr>
            <w:tcW w:w="260" w:type="dxa"/>
            <w:vAlign w:val="bottom"/>
            <w:shd w:val="clear" w:color="auto" w:fill="CFF0FC"/>
          </w:tcPr>
          <w:p>
            <w:pPr>
              <w:spacing w:after="0"/>
              <w:rPr>
                <w:sz w:val="13"/>
                <w:szCs w:val="13"/>
                <w:color w:val="auto"/>
              </w:rPr>
            </w:pPr>
          </w:p>
        </w:tc>
        <w:tc>
          <w:tcPr>
            <w:tcW w:w="1140" w:type="dxa"/>
            <w:vAlign w:val="bottom"/>
            <w:tcBorders>
              <w:bottom w:val="single" w:sz="8" w:color="auto"/>
            </w:tcBorders>
            <w:shd w:val="clear" w:color="auto" w:fill="CFF0FC"/>
          </w:tcPr>
          <w:p>
            <w:pPr>
              <w:spacing w:after="0"/>
              <w:rPr>
                <w:sz w:val="13"/>
                <w:szCs w:val="13"/>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7,456</w:t>
            </w:r>
          </w:p>
        </w:tc>
        <w:tc>
          <w:tcPr>
            <w:tcW w:w="260" w:type="dxa"/>
            <w:vAlign w:val="bottom"/>
            <w:shd w:val="clear" w:color="auto" w:fill="CFF0FC"/>
          </w:tcPr>
          <w:p>
            <w:pPr>
              <w:spacing w:after="0"/>
              <w:rPr>
                <w:sz w:val="13"/>
                <w:szCs w:val="13"/>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8"/>
              </w:rPr>
              <w:t>74.2%</w:t>
            </w:r>
          </w:p>
        </w:tc>
        <w:tc>
          <w:tcPr>
            <w:tcW w:w="120" w:type="dxa"/>
            <w:vAlign w:val="bottom"/>
            <w:shd w:val="clear" w:color="auto" w:fill="CFF0FC"/>
          </w:tcPr>
          <w:p>
            <w:pPr>
              <w:spacing w:after="0"/>
              <w:rPr>
                <w:sz w:val="13"/>
                <w:szCs w:val="13"/>
                <w:color w:val="auto"/>
              </w:rPr>
            </w:pPr>
          </w:p>
        </w:tc>
      </w:tr>
      <w:tr>
        <w:trPr>
          <w:trHeight w:val="149"/>
        </w:trPr>
        <w:tc>
          <w:tcPr>
            <w:tcW w:w="5800" w:type="dxa"/>
            <w:vAlign w:val="bottom"/>
            <w:gridSpan w:val="4"/>
          </w:tcPr>
          <w:p>
            <w:pPr>
              <w:ind w:left="240"/>
              <w:spacing w:after="0"/>
              <w:rPr>
                <w:sz w:val="20"/>
                <w:szCs w:val="20"/>
                <w:color w:val="auto"/>
              </w:rPr>
            </w:pPr>
            <w:r>
              <w:rPr>
                <w:rFonts w:ascii="Arial" w:cs="Arial" w:eastAsia="Arial" w:hAnsi="Arial"/>
                <w:sz w:val="12"/>
                <w:szCs w:val="12"/>
                <w:color w:val="auto"/>
              </w:rPr>
              <w:t>Total</w:t>
            </w:r>
          </w:p>
        </w:tc>
        <w:tc>
          <w:tcPr>
            <w:tcW w:w="340" w:type="dxa"/>
            <w:vAlign w:val="bottom"/>
            <w:tcBorders>
              <w:bottom w:val="single" w:sz="8" w:color="auto"/>
            </w:tcBorders>
          </w:tcPr>
          <w:p>
            <w:pPr>
              <w:jc w:val="right"/>
              <w:ind w:right="230"/>
              <w:spacing w:after="0"/>
              <w:rPr>
                <w:sz w:val="20"/>
                <w:szCs w:val="20"/>
                <w:color w:val="auto"/>
              </w:rPr>
            </w:pPr>
            <w:r>
              <w:rPr>
                <w:rFonts w:ascii="Arial" w:cs="Arial" w:eastAsia="Arial" w:hAnsi="Arial"/>
                <w:sz w:val="10"/>
                <w:szCs w:val="10"/>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14,617</w:t>
            </w:r>
          </w:p>
        </w:tc>
        <w:tc>
          <w:tcPr>
            <w:tcW w:w="260" w:type="dxa"/>
            <w:vAlign w:val="bottom"/>
          </w:tcPr>
          <w:p>
            <w:pPr>
              <w:spacing w:after="0"/>
              <w:rPr>
                <w:sz w:val="12"/>
                <w:szCs w:val="12"/>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93"/>
              </w:rPr>
              <w:t>100.0%</w:t>
            </w:r>
          </w:p>
        </w:tc>
        <w:tc>
          <w:tcPr>
            <w:tcW w:w="260" w:type="dxa"/>
            <w:vAlign w:val="bottom"/>
          </w:tcPr>
          <w:p>
            <w:pPr>
              <w:spacing w:after="0"/>
              <w:rPr>
                <w:sz w:val="12"/>
                <w:szCs w:val="12"/>
                <w:color w:val="auto"/>
              </w:rPr>
            </w:pPr>
          </w:p>
        </w:tc>
        <w:tc>
          <w:tcPr>
            <w:tcW w:w="1140" w:type="dxa"/>
            <w:vAlign w:val="bottom"/>
            <w:tcBorders>
              <w:bottom w:val="single" w:sz="8" w:color="auto"/>
            </w:tcBorders>
          </w:tcPr>
          <w:p>
            <w:pPr>
              <w:jc w:val="right"/>
              <w:ind w:right="1031"/>
              <w:spacing w:after="0"/>
              <w:rPr>
                <w:sz w:val="20"/>
                <w:szCs w:val="20"/>
                <w:color w:val="auto"/>
              </w:rPr>
            </w:pPr>
            <w:r>
              <w:rPr>
                <w:rFonts w:ascii="Arial" w:cs="Arial" w:eastAsia="Arial" w:hAnsi="Arial"/>
                <w:sz w:val="10"/>
                <w:szCs w:val="10"/>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10,055</w:t>
            </w:r>
          </w:p>
        </w:tc>
        <w:tc>
          <w:tcPr>
            <w:tcW w:w="260" w:type="dxa"/>
            <w:vAlign w:val="bottom"/>
          </w:tcPr>
          <w:p>
            <w:pPr>
              <w:spacing w:after="0"/>
              <w:rPr>
                <w:sz w:val="12"/>
                <w:szCs w:val="12"/>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93"/>
              </w:rPr>
              <w:t>100.0%</w:t>
            </w:r>
          </w:p>
        </w:tc>
        <w:tc>
          <w:tcPr>
            <w:tcW w:w="120" w:type="dxa"/>
            <w:vAlign w:val="bottom"/>
          </w:tcPr>
          <w:p>
            <w:pPr>
              <w:spacing w:after="0"/>
              <w:rPr>
                <w:sz w:val="12"/>
                <w:szCs w:val="12"/>
                <w:color w:val="auto"/>
              </w:rPr>
            </w:pPr>
          </w:p>
        </w:tc>
      </w:tr>
    </w:tbl>
    <w:p>
      <w:pPr>
        <w:spacing w:after="0" w:line="135" w:lineRule="exact"/>
        <w:rPr>
          <w:sz w:val="20"/>
          <w:szCs w:val="20"/>
          <w:color w:val="auto"/>
        </w:rPr>
      </w:pPr>
    </w:p>
    <w:p>
      <w:pPr>
        <w:ind w:right="80"/>
        <w:spacing w:after="0" w:line="259" w:lineRule="auto"/>
        <w:rPr>
          <w:sz w:val="20"/>
          <w:szCs w:val="20"/>
          <w:color w:val="auto"/>
        </w:rPr>
      </w:pPr>
      <w:r>
        <w:rPr>
          <w:rFonts w:ascii="Arial" w:cs="Arial" w:eastAsia="Arial" w:hAnsi="Arial"/>
          <w:sz w:val="12"/>
          <w:szCs w:val="12"/>
          <w:color w:val="auto"/>
        </w:rPr>
        <w:t>The increased revenue for the year ended December 31, 2018, compared to the year ended December 31, 2017, is primarily driven by our development activities in the United States and acquisition of additional NMS development towers in Latin America pursuant to our purchase agreement with Network Management Holdings LTD (“NMS”). During 2018 we completed the construction of 203 towers in the U.S. and added 58 towers in Latin America, of which 39 were NMS development towers. As of December 31, 2018 we acquired 89 of the 105 towers that were under development at the time of the NMS acquisition, and the remaining 16 development towers were cancelled and will not be completed and purchased.</w:t>
      </w:r>
    </w:p>
    <w:p>
      <w:pPr>
        <w:spacing w:after="0" w:line="125" w:lineRule="exact"/>
        <w:rPr>
          <w:sz w:val="20"/>
          <w:szCs w:val="20"/>
          <w:color w:val="auto"/>
        </w:rPr>
      </w:pPr>
    </w:p>
    <w:p>
      <w:pPr>
        <w:ind w:right="440"/>
        <w:spacing w:after="0" w:line="276" w:lineRule="auto"/>
        <w:rPr>
          <w:sz w:val="20"/>
          <w:szCs w:val="20"/>
          <w:color w:val="auto"/>
        </w:rPr>
      </w:pPr>
      <w:r>
        <w:rPr>
          <w:rFonts w:ascii="Arial" w:cs="Arial" w:eastAsia="Arial" w:hAnsi="Arial"/>
          <w:sz w:val="12"/>
          <w:szCs w:val="12"/>
          <w:color w:val="auto"/>
        </w:rPr>
        <w:t>At December 31, 2018, the Uniti Towers’ portfolio consisted of 430 wireless communications towers located in 26 states across the eastern and central regions in the United States, and 498 wireless communications towers in Latin America.</w:t>
      </w:r>
    </w:p>
    <w:p>
      <w:pPr>
        <w:spacing w:after="0" w:line="115" w:lineRule="exact"/>
        <w:rPr>
          <w:sz w:val="20"/>
          <w:szCs w:val="20"/>
          <w:color w:val="auto"/>
        </w:rPr>
      </w:pPr>
    </w:p>
    <w:p>
      <w:pPr>
        <w:ind w:right="460"/>
        <w:spacing w:after="0" w:line="263" w:lineRule="auto"/>
        <w:rPr>
          <w:sz w:val="20"/>
          <w:szCs w:val="20"/>
          <w:color w:val="auto"/>
        </w:rPr>
      </w:pPr>
      <w:r>
        <w:rPr>
          <w:rFonts w:ascii="Arial" w:cs="Arial" w:eastAsia="Arial" w:hAnsi="Arial"/>
          <w:sz w:val="12"/>
          <w:szCs w:val="12"/>
          <w:i w:val="1"/>
          <w:iCs w:val="1"/>
          <w:u w:val="single" w:color="auto"/>
          <w:color w:val="auto"/>
        </w:rPr>
        <w:t>Consumer CLEC</w:t>
      </w:r>
      <w:r>
        <w:rPr>
          <w:rFonts w:ascii="Arial" w:cs="Arial" w:eastAsia="Arial" w:hAnsi="Arial"/>
          <w:sz w:val="12"/>
          <w:szCs w:val="12"/>
          <w:i w:val="1"/>
          <w:iCs w:val="1"/>
          <w:color w:val="auto"/>
        </w:rPr>
        <w:t xml:space="preserve"> </w:t>
      </w:r>
      <w:r>
        <w:rPr>
          <w:rFonts w:ascii="Arial" w:cs="Arial" w:eastAsia="Arial" w:hAnsi="Arial"/>
          <w:sz w:val="12"/>
          <w:szCs w:val="12"/>
          <w:color w:val="auto"/>
        </w:rPr>
        <w:t>– For the year ended December 31, 2018, we recognized $13.9 million of revenue from the Consumer CLEC Business, compared to $18.1 million for the year ended December 31, 2017. The decrease is primarily</w:t>
      </w:r>
      <w:r>
        <w:rPr>
          <w:rFonts w:ascii="Arial" w:cs="Arial" w:eastAsia="Arial" w:hAnsi="Arial"/>
          <w:sz w:val="12"/>
          <w:szCs w:val="12"/>
          <w:i w:val="1"/>
          <w:iCs w:val="1"/>
          <w:color w:val="auto"/>
        </w:rPr>
        <w:t xml:space="preserve"> </w:t>
      </w:r>
      <w:r>
        <w:rPr>
          <w:rFonts w:ascii="Arial" w:cs="Arial" w:eastAsia="Arial" w:hAnsi="Arial"/>
          <w:sz w:val="12"/>
          <w:szCs w:val="12"/>
          <w:color w:val="auto"/>
        </w:rPr>
        <w:t>attributable to a loss of customers during the period. We served approximately 22,500 customers as of December 31, 2018, a 21.1% decrease from 28,500 at December 31, 2017. The decrease in customers is due to the effects of competition and customer attrition.</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Interest Expense, net</w:t>
      </w:r>
    </w:p>
    <w:p>
      <w:pPr>
        <w:spacing w:after="0" w:line="150" w:lineRule="exact"/>
        <w:rPr>
          <w:sz w:val="20"/>
          <w:szCs w:val="20"/>
          <w:color w:val="auto"/>
        </w:rPr>
      </w:pPr>
    </w:p>
    <w:p>
      <w:pPr>
        <w:ind w:right="140"/>
        <w:spacing w:after="0" w:line="290" w:lineRule="auto"/>
        <w:rPr>
          <w:sz w:val="20"/>
          <w:szCs w:val="20"/>
          <w:color w:val="auto"/>
        </w:rPr>
      </w:pPr>
      <w:r>
        <w:rPr>
          <w:rFonts w:ascii="Arial" w:cs="Arial" w:eastAsia="Arial" w:hAnsi="Arial"/>
          <w:sz w:val="11"/>
          <w:szCs w:val="11"/>
          <w:color w:val="auto"/>
        </w:rPr>
        <w:t>Interest expense for the year ended December 31, 2018, totaled $319.6 million, which includes non-cash interest expense of $24.6 million resulting from the amortization of our debt discounts and debt issuance costs, partially offset by $5.6 million of capitalized interest. Interest expense for the year ended December 31, 2017, totaled $306.0 million, which includes non-cash interest expense of $23.1 million resulting from the amortization of our debt discounts and debt issuance costs. The increase is related to $5.9 million of interest expense on the 2024 Notes issued in May of 2017, an increase in interest expense incurred on the revolving credit facility of $10.8 million due to increased borrowings and LIBOR rates compared to the prior year. This was partially offset by a decrease in interest expense related to capitalized interest of $5.6 million, which was not incurred in the year ended December 31, 2017.</w:t>
      </w:r>
    </w:p>
    <w:p>
      <w:pPr>
        <w:spacing w:after="0" w:line="109"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Depreciation and Amortization Expense</w:t>
      </w:r>
    </w:p>
    <w:p>
      <w:pPr>
        <w:spacing w:after="0" w:line="150" w:lineRule="exact"/>
        <w:rPr>
          <w:sz w:val="20"/>
          <w:szCs w:val="20"/>
          <w:color w:val="auto"/>
        </w:rPr>
      </w:pPr>
    </w:p>
    <w:p>
      <w:pPr>
        <w:ind w:right="60"/>
        <w:spacing w:after="0" w:line="259" w:lineRule="auto"/>
        <w:rPr>
          <w:sz w:val="20"/>
          <w:szCs w:val="20"/>
          <w:color w:val="auto"/>
        </w:rPr>
      </w:pPr>
      <w:r>
        <w:rPr>
          <w:rFonts w:ascii="Arial" w:cs="Arial" w:eastAsia="Arial" w:hAnsi="Arial"/>
          <w:sz w:val="12"/>
          <w:szCs w:val="12"/>
          <w:color w:val="auto"/>
        </w:rPr>
        <w:t>We incur depreciation and amortization expense related to our property, plant and equipment, corporate assets and intangible assets. Charges for depreciation and amortization for the year ended December 31, 2018 totaled $451.8 million (44.4% of revenue), which included property, plant and equipment depreciation of $425.2 million and intangible asset amortization of $26.6 million. Charges for depreciation and amortization for the year ended December 31, 2017 totaled $434.2 million (47.4% of revenue), which included property, plant and equipment depreciation of $415.9 million and intangible asset amortization of $18.3 million. The increase is primarily driven by the timing of the acquisitions of Southern Light and Hunt that closed on July 3, 2017.</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19" w:right="199" w:bottom="1440" w:gutter="0" w:footer="0" w:header="0"/>
        </w:sectPr>
      </w:pPr>
    </w:p>
    <w:bookmarkStart w:id="37" w:name="page38"/>
    <w:bookmarkEnd w:id="3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General and Administrative Expense</w:t>
      </w:r>
    </w:p>
    <w:p>
      <w:pPr>
        <w:spacing w:after="0" w:line="150" w:lineRule="exact"/>
        <w:rPr>
          <w:sz w:val="20"/>
          <w:szCs w:val="20"/>
          <w:color w:val="auto"/>
        </w:rPr>
      </w:pPr>
    </w:p>
    <w:p>
      <w:pPr>
        <w:ind w:right="20"/>
        <w:spacing w:after="0" w:line="259" w:lineRule="auto"/>
        <w:rPr>
          <w:sz w:val="20"/>
          <w:szCs w:val="20"/>
          <w:color w:val="auto"/>
        </w:rPr>
      </w:pPr>
      <w:r>
        <w:rPr>
          <w:rFonts w:ascii="Arial" w:cs="Arial" w:eastAsia="Arial" w:hAnsi="Arial"/>
          <w:sz w:val="12"/>
          <w:szCs w:val="12"/>
          <w:color w:val="auto"/>
        </w:rPr>
        <w:t>General and administrative expenses include compensation costs (including stock-based compensation awards), professional and legal services, corporate office costs and other costs associated with the administrative activities of our segments. For the year ended December 31, 2018, general and administrative costs totaled $85.2 million (8.4% of revenue), which includes $8.1 million of stock-based compensation expense. For the year ended December 31, 2017, general and administrative costs totaled $72.0 million (7.9% of revenue), which includes $7.7 million of stock-based compensation expense. The increase is primarily driven by the timing of the acquisitions of Southern Light and Hunt that closed on July 3, 2017.</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Operating Expense</w:t>
      </w:r>
    </w:p>
    <w:p>
      <w:pPr>
        <w:spacing w:after="0" w:line="150"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Operating expense for the year ended December 31, 2018, totaled $137.1 million (13.4% of revenue) compared to $102.2 million (11.2% of revenue) for the year ended December 31, 2017. Operating expense for our reportable segments for the years ended December 31, 2018 and 2017 consisted of the following:</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5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2080" w:type="dxa"/>
            <w:vAlign w:val="bottom"/>
            <w:tcBorders>
              <w:bottom w:val="single" w:sz="8" w:color="auto"/>
            </w:tcBorders>
            <w:gridSpan w:val="3"/>
          </w:tcPr>
          <w:p>
            <w:pPr>
              <w:jc w:val="right"/>
              <w:ind w:right="412"/>
              <w:spacing w:after="0"/>
              <w:rPr>
                <w:sz w:val="20"/>
                <w:szCs w:val="20"/>
                <w:color w:val="auto"/>
              </w:rPr>
            </w:pPr>
            <w:r>
              <w:rPr>
                <w:rFonts w:ascii="Arial" w:cs="Arial" w:eastAsia="Arial" w:hAnsi="Arial"/>
                <w:sz w:val="12"/>
                <w:szCs w:val="12"/>
                <w:b w:val="1"/>
                <w:bCs w:val="1"/>
                <w:color w:val="auto"/>
              </w:rPr>
              <w:t>Year Ended December 31,</w:t>
            </w:r>
          </w:p>
        </w:tc>
        <w:tc>
          <w:tcPr>
            <w:tcW w:w="50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r>
      <w:tr>
        <w:trPr>
          <w:trHeight w:val="151"/>
        </w:trPr>
        <w:tc>
          <w:tcPr>
            <w:tcW w:w="5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b w:val="1"/>
                <w:bCs w:val="1"/>
                <w:color w:val="auto"/>
              </w:rPr>
              <w:t>2018</w:t>
            </w:r>
          </w:p>
        </w:tc>
        <w:tc>
          <w:tcPr>
            <w:tcW w:w="2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ind w:right="40"/>
              <w:spacing w:after="0"/>
              <w:rPr>
                <w:sz w:val="20"/>
                <w:szCs w:val="20"/>
                <w:color w:val="auto"/>
              </w:rPr>
            </w:pPr>
            <w:r>
              <w:rPr>
                <w:rFonts w:ascii="Arial" w:cs="Arial" w:eastAsia="Arial" w:hAnsi="Arial"/>
                <w:sz w:val="12"/>
                <w:szCs w:val="12"/>
                <w:b w:val="1"/>
                <w:bCs w:val="1"/>
                <w:color w:val="auto"/>
              </w:rPr>
              <w:t>2017</w:t>
            </w:r>
          </w:p>
        </w:tc>
        <w:tc>
          <w:tcPr>
            <w:tcW w:w="26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r>
      <w:tr>
        <w:trPr>
          <w:trHeight w:val="83"/>
        </w:trPr>
        <w:tc>
          <w:tcPr>
            <w:tcW w:w="5820" w:type="dxa"/>
            <w:vAlign w:val="bottom"/>
          </w:tcPr>
          <w:p>
            <w:pPr>
              <w:spacing w:after="0"/>
              <w:rPr>
                <w:sz w:val="7"/>
                <w:szCs w:val="7"/>
                <w:color w:val="auto"/>
              </w:rPr>
            </w:pPr>
          </w:p>
        </w:tc>
        <w:tc>
          <w:tcPr>
            <w:tcW w:w="1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20" w:type="dxa"/>
            <w:vAlign w:val="bottom"/>
          </w:tcPr>
          <w:p>
            <w:pPr>
              <w:jc w:val="center"/>
              <w:spacing w:after="0" w:line="83" w:lineRule="exact"/>
              <w:rPr>
                <w:sz w:val="20"/>
                <w:szCs w:val="20"/>
                <w:color w:val="auto"/>
              </w:rPr>
            </w:pPr>
            <w:r>
              <w:rPr>
                <w:rFonts w:ascii="Arial" w:cs="Arial" w:eastAsia="Arial" w:hAnsi="Arial"/>
                <w:sz w:val="8"/>
                <w:szCs w:val="8"/>
                <w:b w:val="1"/>
                <w:bCs w:val="1"/>
                <w:color w:val="auto"/>
              </w:rPr>
              <w:t>% of</w:t>
            </w:r>
          </w:p>
        </w:tc>
        <w:tc>
          <w:tcPr>
            <w:tcW w:w="280" w:type="dxa"/>
            <w:vAlign w:val="bottom"/>
          </w:tcPr>
          <w:p>
            <w:pPr>
              <w:spacing w:after="0"/>
              <w:rPr>
                <w:sz w:val="7"/>
                <w:szCs w:val="7"/>
                <w:color w:val="auto"/>
              </w:rPr>
            </w:pPr>
          </w:p>
        </w:tc>
        <w:tc>
          <w:tcPr>
            <w:tcW w:w="9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800" w:type="dxa"/>
            <w:vAlign w:val="bottom"/>
          </w:tcPr>
          <w:p>
            <w:pPr>
              <w:jc w:val="center"/>
              <w:spacing w:after="0" w:line="83" w:lineRule="exact"/>
              <w:rPr>
                <w:sz w:val="20"/>
                <w:szCs w:val="20"/>
                <w:color w:val="auto"/>
              </w:rPr>
            </w:pPr>
            <w:r>
              <w:rPr>
                <w:rFonts w:ascii="Arial" w:cs="Arial" w:eastAsia="Arial" w:hAnsi="Arial"/>
                <w:sz w:val="8"/>
                <w:szCs w:val="8"/>
                <w:b w:val="1"/>
                <w:bCs w:val="1"/>
                <w:color w:val="auto"/>
              </w:rPr>
              <w:t>% of</w:t>
            </w:r>
          </w:p>
        </w:tc>
        <w:tc>
          <w:tcPr>
            <w:tcW w:w="120" w:type="dxa"/>
            <w:vAlign w:val="bottom"/>
          </w:tcPr>
          <w:p>
            <w:pPr>
              <w:spacing w:after="0"/>
              <w:rPr>
                <w:sz w:val="7"/>
                <w:szCs w:val="7"/>
                <w:color w:val="auto"/>
              </w:rPr>
            </w:pPr>
          </w:p>
        </w:tc>
      </w:tr>
      <w:tr>
        <w:trPr>
          <w:trHeight w:val="99"/>
        </w:trPr>
        <w:tc>
          <w:tcPr>
            <w:tcW w:w="58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jc w:val="center"/>
              <w:spacing w:after="0" w:line="99" w:lineRule="exact"/>
              <w:rPr>
                <w:sz w:val="20"/>
                <w:szCs w:val="20"/>
                <w:color w:val="auto"/>
              </w:rPr>
            </w:pPr>
            <w:r>
              <w:rPr>
                <w:rFonts w:ascii="Arial" w:cs="Arial" w:eastAsia="Arial" w:hAnsi="Arial"/>
                <w:sz w:val="10"/>
                <w:szCs w:val="10"/>
                <w:b w:val="1"/>
                <w:bCs w:val="1"/>
                <w:color w:val="auto"/>
                <w:w w:val="85"/>
              </w:rPr>
              <w:t>Consolidated</w:t>
            </w:r>
          </w:p>
        </w:tc>
        <w:tc>
          <w:tcPr>
            <w:tcW w:w="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920" w:type="dxa"/>
            <w:vAlign w:val="bottom"/>
            <w:gridSpan w:val="2"/>
          </w:tcPr>
          <w:p>
            <w:pPr>
              <w:jc w:val="center"/>
              <w:ind w:right="100"/>
              <w:spacing w:after="0" w:line="99" w:lineRule="exact"/>
              <w:rPr>
                <w:sz w:val="20"/>
                <w:szCs w:val="20"/>
                <w:color w:val="auto"/>
              </w:rPr>
            </w:pPr>
            <w:r>
              <w:rPr>
                <w:rFonts w:ascii="Arial" w:cs="Arial" w:eastAsia="Arial" w:hAnsi="Arial"/>
                <w:sz w:val="10"/>
                <w:szCs w:val="10"/>
                <w:b w:val="1"/>
                <w:bCs w:val="1"/>
                <w:color w:val="auto"/>
                <w:w w:val="85"/>
              </w:rPr>
              <w:t>Consolidated</w:t>
            </w:r>
          </w:p>
        </w:tc>
      </w:tr>
      <w:tr>
        <w:trPr>
          <w:trHeight w:val="114"/>
        </w:trPr>
        <w:tc>
          <w:tcPr>
            <w:tcW w:w="5820" w:type="dxa"/>
            <w:vAlign w:val="bottom"/>
          </w:tcPr>
          <w:p>
            <w:pPr>
              <w:spacing w:after="0" w:line="114" w:lineRule="exact"/>
              <w:rPr>
                <w:sz w:val="20"/>
                <w:szCs w:val="20"/>
                <w:color w:val="auto"/>
              </w:rPr>
            </w:pPr>
            <w:r>
              <w:rPr>
                <w:rFonts w:ascii="Arial" w:cs="Arial" w:eastAsia="Arial" w:hAnsi="Arial"/>
                <w:sz w:val="10"/>
                <w:szCs w:val="10"/>
                <w:color w:val="auto"/>
              </w:rPr>
              <w:t>(Thousands)</w:t>
            </w:r>
          </w:p>
        </w:tc>
        <w:tc>
          <w:tcPr>
            <w:tcW w:w="1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20" w:type="dxa"/>
            <w:vAlign w:val="bottom"/>
            <w:gridSpan w:val="2"/>
          </w:tcPr>
          <w:p>
            <w:pPr>
              <w:ind w:left="240"/>
              <w:spacing w:after="0" w:line="114" w:lineRule="exact"/>
              <w:rPr>
                <w:sz w:val="20"/>
                <w:szCs w:val="20"/>
                <w:color w:val="auto"/>
              </w:rPr>
            </w:pPr>
            <w:r>
              <w:rPr>
                <w:rFonts w:ascii="Arial" w:cs="Arial" w:eastAsia="Arial" w:hAnsi="Arial"/>
                <w:sz w:val="10"/>
                <w:szCs w:val="10"/>
                <w:b w:val="1"/>
                <w:bCs w:val="1"/>
                <w:color w:val="auto"/>
              </w:rPr>
              <w:t>Amount</w:t>
            </w:r>
          </w:p>
        </w:tc>
        <w:tc>
          <w:tcPr>
            <w:tcW w:w="820" w:type="dxa"/>
            <w:vAlign w:val="bottom"/>
          </w:tcPr>
          <w:p>
            <w:pPr>
              <w:jc w:val="center"/>
              <w:spacing w:after="0" w:line="114" w:lineRule="exact"/>
              <w:rPr>
                <w:sz w:val="20"/>
                <w:szCs w:val="20"/>
                <w:color w:val="auto"/>
              </w:rPr>
            </w:pPr>
            <w:r>
              <w:rPr>
                <w:rFonts w:ascii="Arial" w:cs="Arial" w:eastAsia="Arial" w:hAnsi="Arial"/>
                <w:sz w:val="10"/>
                <w:szCs w:val="10"/>
                <w:b w:val="1"/>
                <w:bCs w:val="1"/>
                <w:color w:val="auto"/>
                <w:w w:val="80"/>
              </w:rPr>
              <w:t>Revenues</w:t>
            </w:r>
          </w:p>
        </w:tc>
        <w:tc>
          <w:tcPr>
            <w:tcW w:w="280" w:type="dxa"/>
            <w:vAlign w:val="bottom"/>
          </w:tcPr>
          <w:p>
            <w:pPr>
              <w:spacing w:after="0"/>
              <w:rPr>
                <w:sz w:val="9"/>
                <w:szCs w:val="9"/>
                <w:color w:val="auto"/>
              </w:rPr>
            </w:pPr>
          </w:p>
        </w:tc>
        <w:tc>
          <w:tcPr>
            <w:tcW w:w="980" w:type="dxa"/>
            <w:vAlign w:val="bottom"/>
          </w:tcPr>
          <w:p>
            <w:pPr>
              <w:jc w:val="right"/>
              <w:ind w:right="32"/>
              <w:spacing w:after="0" w:line="114" w:lineRule="exact"/>
              <w:rPr>
                <w:sz w:val="20"/>
                <w:szCs w:val="20"/>
                <w:color w:val="auto"/>
              </w:rPr>
            </w:pPr>
            <w:r>
              <w:rPr>
                <w:rFonts w:ascii="Arial" w:cs="Arial" w:eastAsia="Arial" w:hAnsi="Arial"/>
                <w:sz w:val="10"/>
                <w:szCs w:val="10"/>
                <w:b w:val="1"/>
                <w:bCs w:val="1"/>
                <w:color w:val="auto"/>
              </w:rPr>
              <w:t>Amount</w:t>
            </w:r>
          </w:p>
        </w:tc>
        <w:tc>
          <w:tcPr>
            <w:tcW w:w="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gridSpan w:val="2"/>
          </w:tcPr>
          <w:p>
            <w:pPr>
              <w:jc w:val="center"/>
              <w:ind w:right="120"/>
              <w:spacing w:after="0" w:line="114" w:lineRule="exact"/>
              <w:rPr>
                <w:sz w:val="20"/>
                <w:szCs w:val="20"/>
                <w:color w:val="auto"/>
              </w:rPr>
            </w:pPr>
            <w:r>
              <w:rPr>
                <w:rFonts w:ascii="Arial" w:cs="Arial" w:eastAsia="Arial" w:hAnsi="Arial"/>
                <w:sz w:val="10"/>
                <w:szCs w:val="10"/>
                <w:b w:val="1"/>
                <w:bCs w:val="1"/>
                <w:color w:val="auto"/>
                <w:w w:val="84"/>
              </w:rPr>
              <w:t>Revenues</w:t>
            </w:r>
          </w:p>
        </w:tc>
      </w:tr>
      <w:tr>
        <w:trPr>
          <w:trHeight w:val="142"/>
        </w:trPr>
        <w:tc>
          <w:tcPr>
            <w:tcW w:w="58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Operating expense by segment:</w:t>
            </w:r>
          </w:p>
        </w:tc>
        <w:tc>
          <w:tcPr>
            <w:tcW w:w="160" w:type="dxa"/>
            <w:vAlign w:val="bottom"/>
            <w:tcBorders>
              <w:top w:val="single" w:sz="8" w:color="CFF0FC"/>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14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82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8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r>
      <w:tr>
        <w:trPr>
          <w:trHeight w:val="153"/>
        </w:trPr>
        <w:tc>
          <w:tcPr>
            <w:tcW w:w="5820" w:type="dxa"/>
            <w:vAlign w:val="bottom"/>
          </w:tcPr>
          <w:p>
            <w:pPr>
              <w:ind w:left="160"/>
              <w:spacing w:after="0"/>
              <w:rPr>
                <w:sz w:val="20"/>
                <w:szCs w:val="20"/>
                <w:color w:val="auto"/>
              </w:rPr>
            </w:pPr>
            <w:r>
              <w:rPr>
                <w:rFonts w:ascii="Arial" w:cs="Arial" w:eastAsia="Arial" w:hAnsi="Arial"/>
                <w:sz w:val="12"/>
                <w:szCs w:val="12"/>
                <w:color w:val="auto"/>
              </w:rPr>
              <w:t>Fiber Infrastructure</w:t>
            </w:r>
          </w:p>
        </w:tc>
        <w:tc>
          <w:tcPr>
            <w:tcW w:w="480" w:type="dxa"/>
            <w:vAlign w:val="bottom"/>
            <w:gridSpan w:val="2"/>
          </w:tcPr>
          <w:p>
            <w:pPr>
              <w:jc w:val="right"/>
              <w:ind w:right="210"/>
              <w:spacing w:after="0"/>
              <w:rPr>
                <w:sz w:val="20"/>
                <w:szCs w:val="20"/>
                <w:color w:val="auto"/>
              </w:rPr>
            </w:pPr>
            <w:r>
              <w:rPr>
                <w:rFonts w:ascii="Arial" w:cs="Arial" w:eastAsia="Arial" w:hAnsi="Arial"/>
                <w:sz w:val="12"/>
                <w:szCs w:val="12"/>
                <w:color w:val="auto"/>
              </w:rPr>
              <w:t>$</w:t>
            </w:r>
          </w:p>
        </w:tc>
        <w:tc>
          <w:tcPr>
            <w:tcW w:w="1140" w:type="dxa"/>
            <w:vAlign w:val="bottom"/>
          </w:tcPr>
          <w:p>
            <w:pPr>
              <w:jc w:val="right"/>
              <w:spacing w:after="0"/>
              <w:rPr>
                <w:sz w:val="20"/>
                <w:szCs w:val="20"/>
                <w:color w:val="auto"/>
              </w:rPr>
            </w:pPr>
            <w:r>
              <w:rPr>
                <w:rFonts w:ascii="Arial" w:cs="Arial" w:eastAsia="Arial" w:hAnsi="Arial"/>
                <w:sz w:val="12"/>
                <w:szCs w:val="12"/>
                <w:color w:val="auto"/>
              </w:rPr>
              <w:t>117,781</w:t>
            </w:r>
          </w:p>
        </w:tc>
        <w:tc>
          <w:tcPr>
            <w:tcW w:w="280" w:type="dxa"/>
            <w:vAlign w:val="bottom"/>
          </w:tcPr>
          <w:p>
            <w:pPr>
              <w:spacing w:after="0"/>
              <w:rPr>
                <w:sz w:val="13"/>
                <w:szCs w:val="13"/>
                <w:color w:val="auto"/>
              </w:rPr>
            </w:pPr>
          </w:p>
        </w:tc>
        <w:tc>
          <w:tcPr>
            <w:tcW w:w="820" w:type="dxa"/>
            <w:vAlign w:val="bottom"/>
          </w:tcPr>
          <w:p>
            <w:pPr>
              <w:jc w:val="center"/>
              <w:spacing w:after="0"/>
              <w:rPr>
                <w:sz w:val="20"/>
                <w:szCs w:val="20"/>
                <w:color w:val="auto"/>
              </w:rPr>
            </w:pPr>
            <w:r>
              <w:rPr>
                <w:rFonts w:ascii="Arial" w:cs="Arial" w:eastAsia="Arial" w:hAnsi="Arial"/>
                <w:sz w:val="12"/>
                <w:szCs w:val="12"/>
                <w:color w:val="auto"/>
                <w:w w:val="88"/>
              </w:rPr>
              <w:t>11.5%</w:t>
            </w:r>
          </w:p>
        </w:tc>
        <w:tc>
          <w:tcPr>
            <w:tcW w:w="1260" w:type="dxa"/>
            <w:vAlign w:val="bottom"/>
            <w:gridSpan w:val="2"/>
          </w:tcPr>
          <w:p>
            <w:pPr>
              <w:jc w:val="right"/>
              <w:ind w:right="87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rPr>
              <w:t>83,515</w:t>
            </w:r>
          </w:p>
        </w:tc>
        <w:tc>
          <w:tcPr>
            <w:tcW w:w="26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2"/>
                <w:szCs w:val="12"/>
                <w:color w:val="auto"/>
                <w:w w:val="87"/>
              </w:rPr>
              <w:t>9.1%</w:t>
            </w:r>
          </w:p>
        </w:tc>
        <w:tc>
          <w:tcPr>
            <w:tcW w:w="120" w:type="dxa"/>
            <w:vAlign w:val="bottom"/>
          </w:tcPr>
          <w:p>
            <w:pPr>
              <w:spacing w:after="0"/>
              <w:rPr>
                <w:sz w:val="13"/>
                <w:szCs w:val="13"/>
                <w:color w:val="auto"/>
              </w:rPr>
            </w:pPr>
          </w:p>
        </w:tc>
      </w:tr>
      <w:tr>
        <w:trPr>
          <w:trHeight w:val="153"/>
        </w:trPr>
        <w:tc>
          <w:tcPr>
            <w:tcW w:w="5820" w:type="dxa"/>
            <w:vAlign w:val="bottom"/>
            <w:shd w:val="clear" w:color="auto" w:fill="CFF0FC"/>
          </w:tcPr>
          <w:p>
            <w:pPr>
              <w:ind w:left="160"/>
              <w:spacing w:after="0"/>
              <w:rPr>
                <w:sz w:val="20"/>
                <w:szCs w:val="20"/>
                <w:color w:val="auto"/>
              </w:rPr>
            </w:pPr>
            <w:r>
              <w:rPr>
                <w:rFonts w:ascii="Arial" w:cs="Arial" w:eastAsia="Arial" w:hAnsi="Arial"/>
                <w:sz w:val="12"/>
                <w:szCs w:val="12"/>
                <w:color w:val="auto"/>
              </w:rPr>
              <w:t>Towers</w:t>
            </w:r>
          </w:p>
        </w:tc>
        <w:tc>
          <w:tcPr>
            <w:tcW w:w="160" w:type="dxa"/>
            <w:vAlign w:val="bottom"/>
            <w:shd w:val="clear" w:color="auto" w:fill="CFF0FC"/>
          </w:tcPr>
          <w:p>
            <w:pPr>
              <w:spacing w:after="0"/>
              <w:rPr>
                <w:sz w:val="13"/>
                <w:szCs w:val="13"/>
                <w:color w:val="auto"/>
              </w:rPr>
            </w:pPr>
          </w:p>
        </w:tc>
        <w:tc>
          <w:tcPr>
            <w:tcW w:w="32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7,989</w:t>
            </w:r>
          </w:p>
        </w:tc>
        <w:tc>
          <w:tcPr>
            <w:tcW w:w="280" w:type="dxa"/>
            <w:vAlign w:val="bottom"/>
            <w:shd w:val="clear" w:color="auto" w:fill="CFF0FC"/>
          </w:tcPr>
          <w:p>
            <w:pPr>
              <w:spacing w:after="0"/>
              <w:rPr>
                <w:sz w:val="13"/>
                <w:szCs w:val="13"/>
                <w:color w:val="auto"/>
              </w:rPr>
            </w:pPr>
          </w:p>
        </w:tc>
        <w:tc>
          <w:tcPr>
            <w:tcW w:w="82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4"/>
              </w:rPr>
              <w:t>0.8%</w:t>
            </w:r>
          </w:p>
        </w:tc>
        <w:tc>
          <w:tcPr>
            <w:tcW w:w="28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5,131</w:t>
            </w:r>
          </w:p>
        </w:tc>
        <w:tc>
          <w:tcPr>
            <w:tcW w:w="260" w:type="dxa"/>
            <w:vAlign w:val="bottom"/>
            <w:shd w:val="clear" w:color="auto" w:fill="CFF0FC"/>
          </w:tcPr>
          <w:p>
            <w:pPr>
              <w:spacing w:after="0"/>
              <w:rPr>
                <w:sz w:val="13"/>
                <w:szCs w:val="13"/>
                <w:color w:val="auto"/>
              </w:rPr>
            </w:pPr>
          </w:p>
        </w:tc>
        <w:tc>
          <w:tcPr>
            <w:tcW w:w="8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7"/>
              </w:rPr>
              <w:t>0.6%</w:t>
            </w:r>
          </w:p>
        </w:tc>
        <w:tc>
          <w:tcPr>
            <w:tcW w:w="120" w:type="dxa"/>
            <w:vAlign w:val="bottom"/>
            <w:shd w:val="clear" w:color="auto" w:fill="CFF0FC"/>
          </w:tcPr>
          <w:p>
            <w:pPr>
              <w:spacing w:after="0"/>
              <w:rPr>
                <w:sz w:val="13"/>
                <w:szCs w:val="13"/>
                <w:color w:val="auto"/>
              </w:rPr>
            </w:pPr>
          </w:p>
        </w:tc>
      </w:tr>
      <w:tr>
        <w:trPr>
          <w:trHeight w:val="153"/>
        </w:trPr>
        <w:tc>
          <w:tcPr>
            <w:tcW w:w="5820" w:type="dxa"/>
            <w:vAlign w:val="bottom"/>
          </w:tcPr>
          <w:p>
            <w:pPr>
              <w:ind w:left="160"/>
              <w:spacing w:after="0"/>
              <w:rPr>
                <w:sz w:val="20"/>
                <w:szCs w:val="20"/>
                <w:color w:val="auto"/>
              </w:rPr>
            </w:pPr>
            <w:r>
              <w:rPr>
                <w:rFonts w:ascii="Arial" w:cs="Arial" w:eastAsia="Arial" w:hAnsi="Arial"/>
                <w:sz w:val="12"/>
                <w:szCs w:val="12"/>
                <w:color w:val="auto"/>
              </w:rPr>
              <w:t>CLEC</w:t>
            </w:r>
          </w:p>
        </w:tc>
        <w:tc>
          <w:tcPr>
            <w:tcW w:w="1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2"/>
                <w:szCs w:val="12"/>
                <w:color w:val="auto"/>
              </w:rPr>
              <w:t>10,576</w:t>
            </w:r>
          </w:p>
        </w:tc>
        <w:tc>
          <w:tcPr>
            <w:tcW w:w="280" w:type="dxa"/>
            <w:vAlign w:val="bottom"/>
          </w:tcPr>
          <w:p>
            <w:pPr>
              <w:spacing w:after="0"/>
              <w:rPr>
                <w:sz w:val="13"/>
                <w:szCs w:val="13"/>
                <w:color w:val="auto"/>
              </w:rPr>
            </w:pPr>
          </w:p>
        </w:tc>
        <w:tc>
          <w:tcPr>
            <w:tcW w:w="820" w:type="dxa"/>
            <w:vAlign w:val="bottom"/>
          </w:tcPr>
          <w:p>
            <w:pPr>
              <w:jc w:val="center"/>
              <w:spacing w:after="0"/>
              <w:rPr>
                <w:sz w:val="20"/>
                <w:szCs w:val="20"/>
                <w:color w:val="auto"/>
              </w:rPr>
            </w:pPr>
            <w:r>
              <w:rPr>
                <w:rFonts w:ascii="Arial" w:cs="Arial" w:eastAsia="Arial" w:hAnsi="Arial"/>
                <w:sz w:val="12"/>
                <w:szCs w:val="12"/>
                <w:color w:val="auto"/>
                <w:w w:val="94"/>
              </w:rPr>
              <w:t>1.0%</w:t>
            </w: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13,530</w:t>
            </w:r>
          </w:p>
        </w:tc>
        <w:tc>
          <w:tcPr>
            <w:tcW w:w="26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2"/>
                <w:szCs w:val="12"/>
                <w:color w:val="auto"/>
                <w:w w:val="87"/>
              </w:rPr>
              <w:t>1.5%</w:t>
            </w:r>
          </w:p>
        </w:tc>
        <w:tc>
          <w:tcPr>
            <w:tcW w:w="120" w:type="dxa"/>
            <w:vAlign w:val="bottom"/>
          </w:tcPr>
          <w:p>
            <w:pPr>
              <w:spacing w:after="0"/>
              <w:rPr>
                <w:sz w:val="13"/>
                <w:szCs w:val="13"/>
                <w:color w:val="auto"/>
              </w:rPr>
            </w:pPr>
          </w:p>
        </w:tc>
      </w:tr>
      <w:tr>
        <w:trPr>
          <w:trHeight w:val="153"/>
        </w:trPr>
        <w:tc>
          <w:tcPr>
            <w:tcW w:w="5820" w:type="dxa"/>
            <w:vAlign w:val="bottom"/>
            <w:shd w:val="clear" w:color="auto" w:fill="CFF0FC"/>
          </w:tcPr>
          <w:p>
            <w:pPr>
              <w:ind w:left="160"/>
              <w:spacing w:after="0"/>
              <w:rPr>
                <w:sz w:val="20"/>
                <w:szCs w:val="20"/>
                <w:color w:val="auto"/>
              </w:rPr>
            </w:pPr>
            <w:r>
              <w:rPr>
                <w:rFonts w:ascii="Arial" w:cs="Arial" w:eastAsia="Arial" w:hAnsi="Arial"/>
                <w:sz w:val="12"/>
                <w:szCs w:val="12"/>
                <w:color w:val="auto"/>
              </w:rPr>
              <w:t>Leasing</w:t>
            </w:r>
          </w:p>
        </w:tc>
        <w:tc>
          <w:tcPr>
            <w:tcW w:w="160" w:type="dxa"/>
            <w:vAlign w:val="bottom"/>
            <w:shd w:val="clear" w:color="auto" w:fill="CFF0FC"/>
          </w:tcPr>
          <w:p>
            <w:pPr>
              <w:spacing w:after="0"/>
              <w:rPr>
                <w:sz w:val="13"/>
                <w:szCs w:val="13"/>
                <w:color w:val="auto"/>
              </w:rPr>
            </w:pPr>
          </w:p>
        </w:tc>
        <w:tc>
          <w:tcPr>
            <w:tcW w:w="320" w:type="dxa"/>
            <w:vAlign w:val="bottom"/>
            <w:tcBorders>
              <w:bottom w:val="single" w:sz="8" w:color="auto"/>
            </w:tcBorders>
            <w:shd w:val="clear" w:color="auto" w:fill="CFF0FC"/>
          </w:tcPr>
          <w:p>
            <w:pPr>
              <w:spacing w:after="0"/>
              <w:rPr>
                <w:sz w:val="13"/>
                <w:szCs w:val="13"/>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719</w:t>
            </w:r>
          </w:p>
        </w:tc>
        <w:tc>
          <w:tcPr>
            <w:tcW w:w="280" w:type="dxa"/>
            <w:vAlign w:val="bottom"/>
            <w:shd w:val="clear" w:color="auto" w:fill="CFF0FC"/>
          </w:tcPr>
          <w:p>
            <w:pPr>
              <w:spacing w:after="0"/>
              <w:rPr>
                <w:sz w:val="13"/>
                <w:szCs w:val="13"/>
                <w:color w:val="auto"/>
              </w:rPr>
            </w:pPr>
          </w:p>
        </w:tc>
        <w:tc>
          <w:tcPr>
            <w:tcW w:w="82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94"/>
              </w:rPr>
              <w:t>0.1%</w:t>
            </w:r>
          </w:p>
        </w:tc>
        <w:tc>
          <w:tcPr>
            <w:tcW w:w="28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spacing w:after="0"/>
              <w:rPr>
                <w:sz w:val="13"/>
                <w:szCs w:val="13"/>
                <w:color w:val="auto"/>
              </w:rPr>
            </w:pPr>
          </w:p>
        </w:tc>
        <w:tc>
          <w:tcPr>
            <w:tcW w:w="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0.0%</w:t>
            </w:r>
          </w:p>
        </w:tc>
        <w:tc>
          <w:tcPr>
            <w:tcW w:w="120" w:type="dxa"/>
            <w:vAlign w:val="bottom"/>
            <w:shd w:val="clear" w:color="auto" w:fill="CFF0FC"/>
          </w:tcPr>
          <w:p>
            <w:pPr>
              <w:spacing w:after="0"/>
              <w:rPr>
                <w:sz w:val="13"/>
                <w:szCs w:val="13"/>
                <w:color w:val="auto"/>
              </w:rPr>
            </w:pPr>
          </w:p>
        </w:tc>
      </w:tr>
      <w:tr>
        <w:trPr>
          <w:trHeight w:val="142"/>
        </w:trPr>
        <w:tc>
          <w:tcPr>
            <w:tcW w:w="5820" w:type="dxa"/>
            <w:vAlign w:val="bottom"/>
          </w:tcPr>
          <w:p>
            <w:pPr>
              <w:ind w:left="240"/>
              <w:spacing w:after="0"/>
              <w:rPr>
                <w:sz w:val="20"/>
                <w:szCs w:val="20"/>
                <w:color w:val="auto"/>
              </w:rPr>
            </w:pPr>
            <w:r>
              <w:rPr>
                <w:rFonts w:ascii="Arial" w:cs="Arial" w:eastAsia="Arial" w:hAnsi="Arial"/>
                <w:sz w:val="12"/>
                <w:szCs w:val="12"/>
                <w:color w:val="auto"/>
              </w:rPr>
              <w:t>Total operating expenses</w:t>
            </w:r>
          </w:p>
        </w:tc>
        <w:tc>
          <w:tcPr>
            <w:tcW w:w="160" w:type="dxa"/>
            <w:vAlign w:val="bottom"/>
          </w:tcPr>
          <w:p>
            <w:pPr>
              <w:spacing w:after="0"/>
              <w:rPr>
                <w:sz w:val="12"/>
                <w:szCs w:val="12"/>
                <w:color w:val="auto"/>
              </w:rPr>
            </w:pPr>
          </w:p>
        </w:tc>
        <w:tc>
          <w:tcPr>
            <w:tcW w:w="320" w:type="dxa"/>
            <w:vAlign w:val="bottom"/>
          </w:tcPr>
          <w:p>
            <w:pPr>
              <w:jc w:val="right"/>
              <w:ind w:right="210"/>
              <w:spacing w:after="0"/>
              <w:rPr>
                <w:sz w:val="20"/>
                <w:szCs w:val="20"/>
                <w:color w:val="auto"/>
              </w:rPr>
            </w:pPr>
            <w:r>
              <w:rPr>
                <w:rFonts w:ascii="Arial" w:cs="Arial" w:eastAsia="Arial" w:hAnsi="Arial"/>
                <w:sz w:val="10"/>
                <w:szCs w:val="10"/>
                <w:color w:val="auto"/>
                <w:w w:val="71"/>
              </w:rPr>
              <w:t>$</w:t>
            </w:r>
          </w:p>
        </w:tc>
        <w:tc>
          <w:tcPr>
            <w:tcW w:w="1140" w:type="dxa"/>
            <w:vAlign w:val="bottom"/>
          </w:tcPr>
          <w:p>
            <w:pPr>
              <w:jc w:val="right"/>
              <w:spacing w:after="0"/>
              <w:rPr>
                <w:sz w:val="20"/>
                <w:szCs w:val="20"/>
                <w:color w:val="auto"/>
              </w:rPr>
            </w:pPr>
            <w:r>
              <w:rPr>
                <w:rFonts w:ascii="Arial" w:cs="Arial" w:eastAsia="Arial" w:hAnsi="Arial"/>
                <w:sz w:val="12"/>
                <w:szCs w:val="12"/>
                <w:color w:val="auto"/>
              </w:rPr>
              <w:t>137,065</w:t>
            </w:r>
          </w:p>
        </w:tc>
        <w:tc>
          <w:tcPr>
            <w:tcW w:w="280" w:type="dxa"/>
            <w:vAlign w:val="bottom"/>
          </w:tcPr>
          <w:p>
            <w:pPr>
              <w:spacing w:after="0"/>
              <w:rPr>
                <w:sz w:val="12"/>
                <w:szCs w:val="12"/>
                <w:color w:val="auto"/>
              </w:rPr>
            </w:pPr>
          </w:p>
        </w:tc>
        <w:tc>
          <w:tcPr>
            <w:tcW w:w="820" w:type="dxa"/>
            <w:vAlign w:val="bottom"/>
          </w:tcPr>
          <w:p>
            <w:pPr>
              <w:jc w:val="center"/>
              <w:spacing w:after="0"/>
              <w:rPr>
                <w:sz w:val="20"/>
                <w:szCs w:val="20"/>
                <w:color w:val="auto"/>
              </w:rPr>
            </w:pPr>
            <w:r>
              <w:rPr>
                <w:rFonts w:ascii="Arial" w:cs="Arial" w:eastAsia="Arial" w:hAnsi="Arial"/>
                <w:sz w:val="12"/>
                <w:szCs w:val="12"/>
                <w:color w:val="auto"/>
                <w:w w:val="88"/>
              </w:rPr>
              <w:t>13.4%</w:t>
            </w:r>
          </w:p>
        </w:tc>
        <w:tc>
          <w:tcPr>
            <w:tcW w:w="1260" w:type="dxa"/>
            <w:vAlign w:val="bottom"/>
            <w:gridSpan w:val="2"/>
          </w:tcPr>
          <w:p>
            <w:pPr>
              <w:jc w:val="right"/>
              <w:ind w:right="87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rPr>
              <w:t>102,176</w:t>
            </w:r>
          </w:p>
        </w:tc>
        <w:tc>
          <w:tcPr>
            <w:tcW w:w="260" w:type="dxa"/>
            <w:vAlign w:val="bottom"/>
          </w:tcPr>
          <w:p>
            <w:pPr>
              <w:spacing w:after="0"/>
              <w:rPr>
                <w:sz w:val="12"/>
                <w:szCs w:val="12"/>
                <w:color w:val="auto"/>
              </w:rPr>
            </w:pPr>
          </w:p>
        </w:tc>
        <w:tc>
          <w:tcPr>
            <w:tcW w:w="800" w:type="dxa"/>
            <w:vAlign w:val="bottom"/>
          </w:tcPr>
          <w:p>
            <w:pPr>
              <w:jc w:val="center"/>
              <w:spacing w:after="0"/>
              <w:rPr>
                <w:sz w:val="20"/>
                <w:szCs w:val="20"/>
                <w:color w:val="auto"/>
              </w:rPr>
            </w:pPr>
            <w:r>
              <w:rPr>
                <w:rFonts w:ascii="Arial" w:cs="Arial" w:eastAsia="Arial" w:hAnsi="Arial"/>
                <w:sz w:val="12"/>
                <w:szCs w:val="12"/>
                <w:color w:val="auto"/>
                <w:w w:val="93"/>
              </w:rPr>
              <w:t>11.2%</w:t>
            </w:r>
          </w:p>
        </w:tc>
        <w:tc>
          <w:tcPr>
            <w:tcW w:w="120" w:type="dxa"/>
            <w:vAlign w:val="bottom"/>
          </w:tcPr>
          <w:p>
            <w:pPr>
              <w:spacing w:after="0"/>
              <w:rPr>
                <w:sz w:val="12"/>
                <w:szCs w:val="12"/>
                <w:color w:val="auto"/>
              </w:rPr>
            </w:pPr>
          </w:p>
        </w:tc>
      </w:tr>
      <w:tr>
        <w:trPr>
          <w:trHeight w:val="27"/>
        </w:trPr>
        <w:tc>
          <w:tcPr>
            <w:tcW w:w="58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bl>
    <w:p>
      <w:pPr>
        <w:spacing w:after="0" w:line="135" w:lineRule="exact"/>
        <w:rPr>
          <w:sz w:val="20"/>
          <w:szCs w:val="20"/>
          <w:color w:val="auto"/>
        </w:rPr>
      </w:pPr>
    </w:p>
    <w:p>
      <w:pPr>
        <w:ind w:right="40"/>
        <w:spacing w:after="0" w:line="263" w:lineRule="auto"/>
        <w:rPr>
          <w:sz w:val="20"/>
          <w:szCs w:val="20"/>
          <w:color w:val="auto"/>
        </w:rPr>
      </w:pPr>
      <w:r>
        <w:rPr>
          <w:rFonts w:ascii="Arial" w:cs="Arial" w:eastAsia="Arial" w:hAnsi="Arial"/>
          <w:sz w:val="12"/>
          <w:szCs w:val="12"/>
          <w:i w:val="1"/>
          <w:iCs w:val="1"/>
          <w:u w:val="single" w:color="auto"/>
          <w:color w:val="auto"/>
        </w:rPr>
        <w:t>Fiber Infrastructure</w:t>
      </w:r>
      <w:r>
        <w:rPr>
          <w:rFonts w:ascii="Arial" w:cs="Arial" w:eastAsia="Arial" w:hAnsi="Arial"/>
          <w:sz w:val="12"/>
          <w:szCs w:val="12"/>
          <w:i w:val="1"/>
          <w:iCs w:val="1"/>
          <w:color w:val="auto"/>
        </w:rPr>
        <w:t xml:space="preserve"> </w:t>
      </w:r>
      <w:r>
        <w:rPr>
          <w:rFonts w:ascii="Arial" w:cs="Arial" w:eastAsia="Arial" w:hAnsi="Arial"/>
          <w:sz w:val="12"/>
          <w:szCs w:val="12"/>
          <w:color w:val="auto"/>
        </w:rPr>
        <w:t>– The increase to Fiber Infrastructure operating expense is primarily driven by the timing of the acquisitions of Southern Light and Hunt. For the year ended December 31, 2018, Fiber Infrastructure operating expenses</w:t>
      </w:r>
      <w:r>
        <w:rPr>
          <w:rFonts w:ascii="Arial" w:cs="Arial" w:eastAsia="Arial" w:hAnsi="Arial"/>
          <w:sz w:val="12"/>
          <w:szCs w:val="12"/>
          <w:i w:val="1"/>
          <w:iCs w:val="1"/>
          <w:color w:val="auto"/>
        </w:rPr>
        <w:t xml:space="preserve"> </w:t>
      </w:r>
      <w:r>
        <w:rPr>
          <w:rFonts w:ascii="Arial" w:cs="Arial" w:eastAsia="Arial" w:hAnsi="Arial"/>
          <w:sz w:val="12"/>
          <w:szCs w:val="12"/>
          <w:color w:val="auto"/>
        </w:rPr>
        <w:t>totaled $117.8 million as compared to $83.5 million for the year ended December 31, 2017. The remaining increase was primarily driven by an increase in construction-related expenses and network costs, specifically lit service and maintenance expenses.</w:t>
      </w:r>
    </w:p>
    <w:p>
      <w:pPr>
        <w:spacing w:after="0" w:line="123" w:lineRule="exact"/>
        <w:rPr>
          <w:sz w:val="20"/>
          <w:szCs w:val="20"/>
          <w:color w:val="auto"/>
        </w:rPr>
      </w:pPr>
    </w:p>
    <w:p>
      <w:pPr>
        <w:jc w:val="both"/>
        <w:ind w:right="20"/>
        <w:spacing w:after="0" w:line="263" w:lineRule="auto"/>
        <w:rPr>
          <w:sz w:val="20"/>
          <w:szCs w:val="20"/>
          <w:color w:val="auto"/>
        </w:rPr>
      </w:pPr>
      <w:r>
        <w:rPr>
          <w:rFonts w:ascii="Arial" w:cs="Arial" w:eastAsia="Arial" w:hAnsi="Arial"/>
          <w:sz w:val="12"/>
          <w:szCs w:val="12"/>
          <w:i w:val="1"/>
          <w:iCs w:val="1"/>
          <w:u w:val="single" w:color="auto"/>
          <w:color w:val="auto"/>
        </w:rPr>
        <w:t>Towers</w:t>
      </w:r>
      <w:r>
        <w:rPr>
          <w:rFonts w:ascii="Arial" w:cs="Arial" w:eastAsia="Arial" w:hAnsi="Arial"/>
          <w:sz w:val="12"/>
          <w:szCs w:val="12"/>
          <w:i w:val="1"/>
          <w:iCs w:val="1"/>
          <w:color w:val="auto"/>
        </w:rPr>
        <w:t xml:space="preserve"> </w:t>
      </w:r>
      <w:r>
        <w:rPr>
          <w:rFonts w:ascii="Arial" w:cs="Arial" w:eastAsia="Arial" w:hAnsi="Arial"/>
          <w:sz w:val="12"/>
          <w:szCs w:val="12"/>
          <w:color w:val="auto"/>
        </w:rPr>
        <w:t>– Our Towers segment operating expense consists primarily of ground rent, some or all of which may be passed to our tenants, as well as regulatory fees and maintenance and repairs. For the year ended December 31, 2018, Towers</w:t>
      </w:r>
      <w:r>
        <w:rPr>
          <w:rFonts w:ascii="Arial" w:cs="Arial" w:eastAsia="Arial" w:hAnsi="Arial"/>
          <w:sz w:val="12"/>
          <w:szCs w:val="12"/>
          <w:i w:val="1"/>
          <w:iCs w:val="1"/>
          <w:color w:val="auto"/>
        </w:rPr>
        <w:t xml:space="preserve"> </w:t>
      </w:r>
      <w:r>
        <w:rPr>
          <w:rFonts w:ascii="Arial" w:cs="Arial" w:eastAsia="Arial" w:hAnsi="Arial"/>
          <w:sz w:val="12"/>
          <w:szCs w:val="12"/>
          <w:color w:val="auto"/>
        </w:rPr>
        <w:t>operating expense included $5.1 million of ground rent expense, compared to $3.2 million of ground rent expense for the year ended December 31, 2017. The change is attributable to an increase in completed towers at December 31, 2018 from December 31, 2017, driven by our development activity in the United States and acquisition of additional NMS development towers in Latin America.</w:t>
      </w:r>
    </w:p>
    <w:p>
      <w:pPr>
        <w:spacing w:after="0" w:line="123" w:lineRule="exact"/>
        <w:rPr>
          <w:sz w:val="20"/>
          <w:szCs w:val="20"/>
          <w:color w:val="auto"/>
        </w:rPr>
      </w:pPr>
    </w:p>
    <w:p>
      <w:pPr>
        <w:ind w:right="160"/>
        <w:spacing w:after="0" w:line="259" w:lineRule="auto"/>
        <w:rPr>
          <w:sz w:val="20"/>
          <w:szCs w:val="20"/>
          <w:color w:val="auto"/>
        </w:rPr>
      </w:pPr>
      <w:r>
        <w:rPr>
          <w:rFonts w:ascii="Arial" w:cs="Arial" w:eastAsia="Arial" w:hAnsi="Arial"/>
          <w:sz w:val="12"/>
          <w:szCs w:val="12"/>
          <w:i w:val="1"/>
          <w:iCs w:val="1"/>
          <w:u w:val="single" w:color="auto"/>
          <w:color w:val="auto"/>
        </w:rPr>
        <w:t>Consumer CLEC</w:t>
      </w:r>
      <w:r>
        <w:rPr>
          <w:rFonts w:ascii="Arial" w:cs="Arial" w:eastAsia="Arial" w:hAnsi="Arial"/>
          <w:sz w:val="12"/>
          <w:szCs w:val="12"/>
          <w:i w:val="1"/>
          <w:iCs w:val="1"/>
          <w:color w:val="auto"/>
        </w:rPr>
        <w:t xml:space="preserve"> </w:t>
      </w:r>
      <w:r>
        <w:rPr>
          <w:rFonts w:ascii="Arial" w:cs="Arial" w:eastAsia="Arial" w:hAnsi="Arial"/>
          <w:sz w:val="12"/>
          <w:szCs w:val="12"/>
          <w:color w:val="auto"/>
        </w:rPr>
        <w:t>– Expense associated with the Consumer CLEC Business is primarily attributable to the Wholesale Agreement and the Master Services Agreement entered into between us and Windstream in connection with the Spin-Off, and also includes costs arising under the interconnection agreements with other telecommunication carriers. Expense associated with the Wholesale Agreement and Master Services Agreement for the year ended December 31, 2018 totaled $7.8 million (0.8% of revenue) and $0.7 million (0.1% of revenue), respectively, and expense associated with the Wholesale Agreement and the Master Services Agreement for the year ended December 31, 2017 totaled $10.2 million (1.1% of revenue) and $1.3 million (0.1% of revenue), respectively.</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Other (Income) Expense</w:t>
      </w:r>
    </w:p>
    <w:p>
      <w:pPr>
        <w:spacing w:after="0" w:line="150" w:lineRule="exact"/>
        <w:rPr>
          <w:sz w:val="20"/>
          <w:szCs w:val="20"/>
          <w:color w:val="auto"/>
        </w:rPr>
      </w:pPr>
    </w:p>
    <w:p>
      <w:pPr>
        <w:ind w:right="1020"/>
        <w:spacing w:after="0" w:line="308" w:lineRule="auto"/>
        <w:rPr>
          <w:sz w:val="20"/>
          <w:szCs w:val="20"/>
          <w:color w:val="auto"/>
        </w:rPr>
      </w:pPr>
      <w:r>
        <w:rPr>
          <w:rFonts w:ascii="Arial" w:cs="Arial" w:eastAsia="Arial" w:hAnsi="Arial"/>
          <w:sz w:val="12"/>
          <w:szCs w:val="12"/>
          <w:color w:val="auto"/>
        </w:rPr>
        <w:t>Other income for the year ended December 31, 2018, totaled $4.5 million (0.4% of revenue), primarily as a result of a net unrealized gain of $3.7 million for mark-to-market adjustments on our contingent consideration arrangements. Other expense for the year ended December 31, 2017, totaled $11.3 million (1.2% of revenue), primarily as a result</w:t>
      </w:r>
    </w:p>
    <w:p>
      <w:pPr>
        <w:spacing w:after="0" w:line="96"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38" w:name="page39"/>
    <w:bookmarkEnd w:id="3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of a net unrealized loss of $10.7 million for mark-to-market adjustments on our contingent consideration arrangements.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Income Tax Benefit</w:t>
      </w:r>
    </w:p>
    <w:p>
      <w:pPr>
        <w:spacing w:after="0" w:line="150" w:lineRule="exact"/>
        <w:rPr>
          <w:sz w:val="20"/>
          <w:szCs w:val="20"/>
          <w:color w:val="auto"/>
        </w:rPr>
      </w:pPr>
    </w:p>
    <w:p>
      <w:pPr>
        <w:jc w:val="both"/>
        <w:ind w:right="80"/>
        <w:spacing w:after="0" w:line="298" w:lineRule="auto"/>
        <w:rPr>
          <w:sz w:val="20"/>
          <w:szCs w:val="20"/>
          <w:color w:val="auto"/>
        </w:rPr>
      </w:pPr>
      <w:r>
        <w:rPr>
          <w:rFonts w:ascii="Arial" w:cs="Arial" w:eastAsia="Arial" w:hAnsi="Arial"/>
          <w:sz w:val="11"/>
          <w:szCs w:val="11"/>
          <w:color w:val="auto"/>
        </w:rPr>
        <w:t>We recorded $5.4 million in income tax benefit for the year ended December 31, 2018. This benefit was primarily driven by pre-tax losses in our Fiber Infrastructure Segment which resulted in an income tax benefit of approximately $6.1 million, including $1.3 million of income tax benefit related to the impact of the Tax Bill on certain purchase accounting adjustments related to 2017 acquisitions that were recorded in 2018. We recorded a combined income tax expense of approximately $0.7 million related to our Leasing Segment and Consumer CLEC Segment. This was primarily driven by pre-tax income in our Consumer CLEC Segment and state tax expense recorded in our Leasing Segment.</w:t>
      </w:r>
    </w:p>
    <w:p>
      <w:pPr>
        <w:spacing w:after="0" w:line="10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Comparison of the years ended December 31, 2017 and 2016</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tables sets forth, for the periods indicated, our results of operations expressed as dollars and as a percentage of total revenues: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44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560" w:type="dxa"/>
            <w:vAlign w:val="bottom"/>
            <w:gridSpan w:val="2"/>
          </w:tcPr>
          <w:p>
            <w:pPr>
              <w:jc w:val="right"/>
              <w:ind w:right="800"/>
              <w:spacing w:after="0"/>
              <w:rPr>
                <w:sz w:val="20"/>
                <w:szCs w:val="20"/>
                <w:color w:val="auto"/>
              </w:rPr>
            </w:pPr>
            <w:r>
              <w:rPr>
                <w:rFonts w:ascii="Arial" w:cs="Arial" w:eastAsia="Arial" w:hAnsi="Arial"/>
                <w:sz w:val="10"/>
                <w:szCs w:val="10"/>
                <w:b w:val="1"/>
                <w:bCs w:val="1"/>
                <w:color w:val="auto"/>
              </w:rPr>
              <w:t>Year Ended</w:t>
            </w:r>
          </w:p>
        </w:tc>
        <w:tc>
          <w:tcPr>
            <w:tcW w:w="740" w:type="dxa"/>
            <w:vAlign w:val="bottom"/>
          </w:tcPr>
          <w:p>
            <w:pPr>
              <w:jc w:val="center"/>
              <w:spacing w:after="0"/>
              <w:rPr>
                <w:sz w:val="20"/>
                <w:szCs w:val="20"/>
                <w:color w:val="auto"/>
              </w:rPr>
            </w:pPr>
            <w:r>
              <w:rPr>
                <w:rFonts w:ascii="Arial" w:cs="Arial" w:eastAsia="Arial" w:hAnsi="Arial"/>
                <w:sz w:val="10"/>
                <w:szCs w:val="10"/>
                <w:b w:val="1"/>
                <w:bCs w:val="1"/>
                <w:color w:val="auto"/>
                <w:w w:val="94"/>
              </w:rPr>
              <w:t>% of</w:t>
            </w:r>
          </w:p>
        </w:tc>
        <w:tc>
          <w:tcPr>
            <w:tcW w:w="2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560" w:type="dxa"/>
            <w:vAlign w:val="bottom"/>
            <w:gridSpan w:val="2"/>
          </w:tcPr>
          <w:p>
            <w:pPr>
              <w:jc w:val="right"/>
              <w:ind w:right="780"/>
              <w:spacing w:after="0"/>
              <w:rPr>
                <w:sz w:val="20"/>
                <w:szCs w:val="20"/>
                <w:color w:val="auto"/>
              </w:rPr>
            </w:pPr>
            <w:r>
              <w:rPr>
                <w:rFonts w:ascii="Arial" w:cs="Arial" w:eastAsia="Arial" w:hAnsi="Arial"/>
                <w:sz w:val="10"/>
                <w:szCs w:val="10"/>
                <w:b w:val="1"/>
                <w:bCs w:val="1"/>
                <w:color w:val="auto"/>
              </w:rPr>
              <w:t>Year Ended</w:t>
            </w:r>
          </w:p>
        </w:tc>
        <w:tc>
          <w:tcPr>
            <w:tcW w:w="880" w:type="dxa"/>
            <w:vAlign w:val="bottom"/>
            <w:gridSpan w:val="2"/>
          </w:tcPr>
          <w:p>
            <w:pPr>
              <w:jc w:val="center"/>
              <w:ind w:right="120"/>
              <w:spacing w:after="0"/>
              <w:rPr>
                <w:sz w:val="20"/>
                <w:szCs w:val="20"/>
                <w:color w:val="auto"/>
              </w:rPr>
            </w:pPr>
            <w:r>
              <w:rPr>
                <w:rFonts w:ascii="Arial" w:cs="Arial" w:eastAsia="Arial" w:hAnsi="Arial"/>
                <w:sz w:val="10"/>
                <w:szCs w:val="10"/>
                <w:b w:val="1"/>
                <w:bCs w:val="1"/>
                <w:color w:val="auto"/>
                <w:w w:val="94"/>
              </w:rPr>
              <w:t>% of</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4"/>
        </w:trPr>
        <w:tc>
          <w:tcPr>
            <w:tcW w:w="4440" w:type="dxa"/>
            <w:vAlign w:val="bottom"/>
          </w:tcPr>
          <w:p>
            <w:pPr>
              <w:spacing w:after="0" w:line="114" w:lineRule="exact"/>
              <w:rPr>
                <w:sz w:val="20"/>
                <w:szCs w:val="20"/>
                <w:color w:val="auto"/>
              </w:rPr>
            </w:pPr>
            <w:r>
              <w:rPr>
                <w:rFonts w:ascii="Arial" w:cs="Arial" w:eastAsia="Arial" w:hAnsi="Arial"/>
                <w:sz w:val="10"/>
                <w:szCs w:val="10"/>
                <w:color w:val="auto"/>
              </w:rPr>
              <w:t>(Thousands)</w:t>
            </w:r>
          </w:p>
        </w:tc>
        <w:tc>
          <w:tcPr>
            <w:tcW w:w="1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560" w:type="dxa"/>
            <w:vAlign w:val="bottom"/>
            <w:gridSpan w:val="2"/>
          </w:tcPr>
          <w:p>
            <w:pPr>
              <w:jc w:val="right"/>
              <w:ind w:right="640"/>
              <w:spacing w:after="0" w:line="114" w:lineRule="exact"/>
              <w:rPr>
                <w:sz w:val="20"/>
                <w:szCs w:val="20"/>
                <w:color w:val="auto"/>
              </w:rPr>
            </w:pPr>
            <w:r>
              <w:rPr>
                <w:rFonts w:ascii="Arial" w:cs="Arial" w:eastAsia="Arial" w:hAnsi="Arial"/>
                <w:sz w:val="10"/>
                <w:szCs w:val="10"/>
                <w:b w:val="1"/>
                <w:bCs w:val="1"/>
                <w:color w:val="auto"/>
                <w:w w:val="99"/>
              </w:rPr>
              <w:t>December 31, 2017</w:t>
            </w:r>
          </w:p>
        </w:tc>
        <w:tc>
          <w:tcPr>
            <w:tcW w:w="740" w:type="dxa"/>
            <w:vAlign w:val="bottom"/>
          </w:tcPr>
          <w:p>
            <w:pPr>
              <w:jc w:val="center"/>
              <w:spacing w:after="0" w:line="114" w:lineRule="exact"/>
              <w:rPr>
                <w:sz w:val="20"/>
                <w:szCs w:val="20"/>
                <w:color w:val="auto"/>
              </w:rPr>
            </w:pPr>
            <w:r>
              <w:rPr>
                <w:rFonts w:ascii="Arial" w:cs="Arial" w:eastAsia="Arial" w:hAnsi="Arial"/>
                <w:sz w:val="10"/>
                <w:szCs w:val="10"/>
                <w:b w:val="1"/>
                <w:bCs w:val="1"/>
                <w:color w:val="auto"/>
                <w:w w:val="84"/>
              </w:rPr>
              <w:t>Revenues</w:t>
            </w: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560" w:type="dxa"/>
            <w:vAlign w:val="bottom"/>
            <w:gridSpan w:val="2"/>
          </w:tcPr>
          <w:p>
            <w:pPr>
              <w:jc w:val="right"/>
              <w:ind w:right="640"/>
              <w:spacing w:after="0" w:line="114" w:lineRule="exact"/>
              <w:rPr>
                <w:sz w:val="20"/>
                <w:szCs w:val="20"/>
                <w:color w:val="auto"/>
              </w:rPr>
            </w:pPr>
            <w:r>
              <w:rPr>
                <w:rFonts w:ascii="Arial" w:cs="Arial" w:eastAsia="Arial" w:hAnsi="Arial"/>
                <w:sz w:val="10"/>
                <w:szCs w:val="10"/>
                <w:b w:val="1"/>
                <w:bCs w:val="1"/>
                <w:color w:val="auto"/>
                <w:w w:val="99"/>
              </w:rPr>
              <w:t>December 31, 2016</w:t>
            </w:r>
          </w:p>
        </w:tc>
        <w:tc>
          <w:tcPr>
            <w:tcW w:w="880" w:type="dxa"/>
            <w:vAlign w:val="bottom"/>
            <w:gridSpan w:val="2"/>
          </w:tcPr>
          <w:p>
            <w:pPr>
              <w:jc w:val="center"/>
              <w:ind w:right="120"/>
              <w:spacing w:after="0" w:line="114" w:lineRule="exact"/>
              <w:rPr>
                <w:sz w:val="20"/>
                <w:szCs w:val="20"/>
                <w:color w:val="auto"/>
              </w:rPr>
            </w:pPr>
            <w:r>
              <w:rPr>
                <w:rFonts w:ascii="Arial" w:cs="Arial" w:eastAsia="Arial" w:hAnsi="Arial"/>
                <w:sz w:val="10"/>
                <w:szCs w:val="10"/>
                <w:b w:val="1"/>
                <w:bCs w:val="1"/>
                <w:color w:val="auto"/>
                <w:w w:val="84"/>
              </w:rPr>
              <w:t>Revenues</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4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Revenues:</w:t>
            </w:r>
          </w:p>
        </w:tc>
        <w:tc>
          <w:tcPr>
            <w:tcW w:w="1440" w:type="dxa"/>
            <w:vAlign w:val="bottom"/>
            <w:tcBorders>
              <w:top w:val="single" w:sz="8" w:color="auto"/>
            </w:tcBorders>
            <w:shd w:val="clear" w:color="auto" w:fill="CFF0FC"/>
          </w:tcPr>
          <w:p>
            <w:pPr>
              <w:spacing w:after="0"/>
              <w:rPr>
                <w:sz w:val="12"/>
                <w:szCs w:val="12"/>
                <w:color w:val="auto"/>
              </w:rPr>
            </w:pPr>
          </w:p>
        </w:tc>
        <w:tc>
          <w:tcPr>
            <w:tcW w:w="16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auto"/>
            </w:tcBorders>
            <w:shd w:val="clear" w:color="auto" w:fill="CFF0FC"/>
          </w:tcPr>
          <w:p>
            <w:pPr>
              <w:spacing w:after="0"/>
              <w:rPr>
                <w:sz w:val="12"/>
                <w:szCs w:val="12"/>
                <w:color w:val="auto"/>
              </w:rPr>
            </w:pPr>
          </w:p>
        </w:tc>
        <w:tc>
          <w:tcPr>
            <w:tcW w:w="128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74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auto"/>
            </w:tcBorders>
            <w:shd w:val="clear" w:color="auto" w:fill="CFF0FC"/>
          </w:tcPr>
          <w:p>
            <w:pPr>
              <w:spacing w:after="0"/>
              <w:rPr>
                <w:sz w:val="12"/>
                <w:szCs w:val="12"/>
                <w:color w:val="auto"/>
              </w:rPr>
            </w:pPr>
          </w:p>
        </w:tc>
        <w:tc>
          <w:tcPr>
            <w:tcW w:w="13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76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Leasing</w:t>
            </w:r>
          </w:p>
        </w:tc>
        <w:tc>
          <w:tcPr>
            <w:tcW w:w="1820" w:type="dxa"/>
            <w:vAlign w:val="bottom"/>
            <w:gridSpan w:val="3"/>
          </w:tcPr>
          <w:p>
            <w:pPr>
              <w:jc w:val="right"/>
              <w:ind w:right="110"/>
              <w:spacing w:after="0"/>
              <w:rPr>
                <w:sz w:val="20"/>
                <w:szCs w:val="20"/>
                <w:color w:val="auto"/>
              </w:rPr>
            </w:pPr>
            <w:r>
              <w:rPr>
                <w:rFonts w:ascii="Arial" w:cs="Arial" w:eastAsia="Arial" w:hAnsi="Arial"/>
                <w:sz w:val="12"/>
                <w:szCs w:val="12"/>
                <w:color w:val="auto"/>
              </w:rPr>
              <w:t>$</w:t>
            </w:r>
          </w:p>
        </w:tc>
        <w:tc>
          <w:tcPr>
            <w:tcW w:w="1280" w:type="dxa"/>
            <w:vAlign w:val="bottom"/>
          </w:tcPr>
          <w:p>
            <w:pPr>
              <w:jc w:val="right"/>
              <w:spacing w:after="0"/>
              <w:rPr>
                <w:sz w:val="20"/>
                <w:szCs w:val="20"/>
                <w:color w:val="auto"/>
              </w:rPr>
            </w:pPr>
            <w:r>
              <w:rPr>
                <w:rFonts w:ascii="Arial" w:cs="Arial" w:eastAsia="Arial" w:hAnsi="Arial"/>
                <w:sz w:val="12"/>
                <w:szCs w:val="12"/>
                <w:color w:val="auto"/>
              </w:rPr>
              <w:t>685,099</w:t>
            </w:r>
          </w:p>
        </w:tc>
        <w:tc>
          <w:tcPr>
            <w:tcW w:w="280" w:type="dxa"/>
            <w:vAlign w:val="bottom"/>
          </w:tcPr>
          <w:p>
            <w:pPr>
              <w:spacing w:after="0"/>
              <w:rPr>
                <w:sz w:val="13"/>
                <w:szCs w:val="13"/>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93"/>
              </w:rPr>
              <w:t>74.8%</w:t>
            </w:r>
          </w:p>
        </w:tc>
        <w:tc>
          <w:tcPr>
            <w:tcW w:w="48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300" w:type="dxa"/>
            <w:vAlign w:val="bottom"/>
          </w:tcPr>
          <w:p>
            <w:pPr>
              <w:jc w:val="right"/>
              <w:spacing w:after="0"/>
              <w:rPr>
                <w:sz w:val="20"/>
                <w:szCs w:val="20"/>
                <w:color w:val="auto"/>
              </w:rPr>
            </w:pPr>
            <w:r>
              <w:rPr>
                <w:rFonts w:ascii="Arial" w:cs="Arial" w:eastAsia="Arial" w:hAnsi="Arial"/>
                <w:sz w:val="12"/>
                <w:szCs w:val="12"/>
                <w:color w:val="auto"/>
              </w:rPr>
              <w:t>676,868</w:t>
            </w:r>
          </w:p>
        </w:tc>
        <w:tc>
          <w:tcPr>
            <w:tcW w:w="260" w:type="dxa"/>
            <w:vAlign w:val="bottom"/>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93"/>
              </w:rPr>
              <w:t>87.8%</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Fiber Infrastructure</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280" w:type="dxa"/>
            <w:vAlign w:val="bottom"/>
            <w:shd w:val="clear" w:color="auto" w:fill="CFF0FC"/>
          </w:tcPr>
          <w:p>
            <w:pPr>
              <w:spacing w:after="0"/>
              <w:rPr>
                <w:sz w:val="13"/>
                <w:szCs w:val="13"/>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3"/>
              </w:rPr>
              <w:t>22.1%</w:t>
            </w:r>
          </w:p>
        </w:tc>
        <w:tc>
          <w:tcPr>
            <w:tcW w:w="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70,568</w:t>
            </w:r>
          </w:p>
        </w:tc>
        <w:tc>
          <w:tcPr>
            <w:tcW w:w="260" w:type="dxa"/>
            <w:vAlign w:val="bottom"/>
            <w:shd w:val="clear" w:color="auto" w:fill="CFF0FC"/>
          </w:tcPr>
          <w:p>
            <w:pPr>
              <w:spacing w:after="0"/>
              <w:rPr>
                <w:sz w:val="13"/>
                <w:szCs w:val="13"/>
                <w:color w:val="auto"/>
              </w:rPr>
            </w:pPr>
          </w:p>
        </w:tc>
        <w:tc>
          <w:tcPr>
            <w:tcW w:w="76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7"/>
              </w:rPr>
              <w:t>9.2%</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Tower</w:t>
            </w: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10,055</w:t>
            </w:r>
          </w:p>
        </w:tc>
        <w:tc>
          <w:tcPr>
            <w:tcW w:w="280" w:type="dxa"/>
            <w:vAlign w:val="bottom"/>
          </w:tcPr>
          <w:p>
            <w:pPr>
              <w:spacing w:after="0"/>
              <w:rPr>
                <w:sz w:val="13"/>
                <w:szCs w:val="13"/>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87"/>
              </w:rPr>
              <w:t>1.1%</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500</w:t>
            </w:r>
          </w:p>
        </w:tc>
        <w:tc>
          <w:tcPr>
            <w:tcW w:w="260" w:type="dxa"/>
            <w:vAlign w:val="bottom"/>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87"/>
              </w:rPr>
              <w:t>0.1%</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Consumer CLEC</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18,087</w:t>
            </w:r>
          </w:p>
        </w:tc>
        <w:tc>
          <w:tcPr>
            <w:tcW w:w="280" w:type="dxa"/>
            <w:vAlign w:val="bottom"/>
            <w:shd w:val="clear" w:color="auto" w:fill="CFF0FC"/>
          </w:tcPr>
          <w:p>
            <w:pPr>
              <w:spacing w:after="0"/>
              <w:rPr>
                <w:sz w:val="13"/>
                <w:szCs w:val="13"/>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2.0%</w:t>
            </w:r>
          </w:p>
        </w:tc>
        <w:tc>
          <w:tcPr>
            <w:tcW w:w="26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22,472</w:t>
            </w:r>
          </w:p>
        </w:tc>
        <w:tc>
          <w:tcPr>
            <w:tcW w:w="260" w:type="dxa"/>
            <w:vAlign w:val="bottom"/>
            <w:shd w:val="clear" w:color="auto" w:fill="CFF0FC"/>
          </w:tcPr>
          <w:p>
            <w:pPr>
              <w:spacing w:after="0"/>
              <w:rPr>
                <w:sz w:val="13"/>
                <w:szCs w:val="13"/>
                <w:color w:val="auto"/>
              </w:rPr>
            </w:pPr>
          </w:p>
        </w:tc>
        <w:tc>
          <w:tcPr>
            <w:tcW w:w="7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2.9%</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4440" w:type="dxa"/>
            <w:vAlign w:val="bottom"/>
          </w:tcPr>
          <w:p>
            <w:pPr>
              <w:ind w:left="320"/>
              <w:spacing w:after="0"/>
              <w:rPr>
                <w:sz w:val="20"/>
                <w:szCs w:val="20"/>
                <w:color w:val="auto"/>
              </w:rPr>
            </w:pPr>
            <w:r>
              <w:rPr>
                <w:rFonts w:ascii="Arial" w:cs="Arial" w:eastAsia="Arial" w:hAnsi="Arial"/>
                <w:sz w:val="12"/>
                <w:szCs w:val="12"/>
                <w:color w:val="auto"/>
              </w:rPr>
              <w:t>Total revenues</w:t>
            </w:r>
          </w:p>
        </w:tc>
        <w:tc>
          <w:tcPr>
            <w:tcW w:w="1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916,032</w:t>
            </w:r>
          </w:p>
        </w:tc>
        <w:tc>
          <w:tcPr>
            <w:tcW w:w="280" w:type="dxa"/>
            <w:vAlign w:val="bottom"/>
          </w:tcPr>
          <w:p>
            <w:pPr>
              <w:spacing w:after="0"/>
              <w:rPr>
                <w:sz w:val="12"/>
                <w:szCs w:val="12"/>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88"/>
              </w:rPr>
              <w:t>100.0%</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770,408</w:t>
            </w:r>
          </w:p>
        </w:tc>
        <w:tc>
          <w:tcPr>
            <w:tcW w:w="260" w:type="dxa"/>
            <w:vAlign w:val="bottom"/>
          </w:tcPr>
          <w:p>
            <w:pPr>
              <w:spacing w:after="0"/>
              <w:rPr>
                <w:sz w:val="12"/>
                <w:szCs w:val="12"/>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88"/>
              </w:rPr>
              <w:t>100.0%</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44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Costs and Expenses:</w:t>
            </w:r>
          </w:p>
        </w:tc>
        <w:tc>
          <w:tcPr>
            <w:tcW w:w="14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3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Interest expense, net</w:t>
            </w: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305,994</w:t>
            </w:r>
          </w:p>
        </w:tc>
        <w:tc>
          <w:tcPr>
            <w:tcW w:w="280" w:type="dxa"/>
            <w:vAlign w:val="bottom"/>
          </w:tcPr>
          <w:p>
            <w:pPr>
              <w:spacing w:after="0"/>
              <w:rPr>
                <w:sz w:val="13"/>
                <w:szCs w:val="13"/>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93"/>
              </w:rPr>
              <w:t>33.4%</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275,394</w:t>
            </w:r>
          </w:p>
        </w:tc>
        <w:tc>
          <w:tcPr>
            <w:tcW w:w="260" w:type="dxa"/>
            <w:vAlign w:val="bottom"/>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93"/>
              </w:rPr>
              <w:t>35.7%</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Depreciation and amortization</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434,205</w:t>
            </w:r>
          </w:p>
        </w:tc>
        <w:tc>
          <w:tcPr>
            <w:tcW w:w="280" w:type="dxa"/>
            <w:vAlign w:val="bottom"/>
            <w:shd w:val="clear" w:color="auto" w:fill="CFF0FC"/>
          </w:tcPr>
          <w:p>
            <w:pPr>
              <w:spacing w:after="0"/>
              <w:rPr>
                <w:sz w:val="13"/>
                <w:szCs w:val="13"/>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3"/>
              </w:rPr>
              <w:t>47.4%</w:t>
            </w:r>
          </w:p>
        </w:tc>
        <w:tc>
          <w:tcPr>
            <w:tcW w:w="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375,970</w:t>
            </w:r>
          </w:p>
        </w:tc>
        <w:tc>
          <w:tcPr>
            <w:tcW w:w="260" w:type="dxa"/>
            <w:vAlign w:val="bottom"/>
            <w:shd w:val="clear" w:color="auto" w:fill="CFF0FC"/>
          </w:tcPr>
          <w:p>
            <w:pPr>
              <w:spacing w:after="0"/>
              <w:rPr>
                <w:sz w:val="13"/>
                <w:szCs w:val="13"/>
                <w:color w:val="auto"/>
              </w:rPr>
            </w:pPr>
          </w:p>
        </w:tc>
        <w:tc>
          <w:tcPr>
            <w:tcW w:w="76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3"/>
              </w:rPr>
              <w:t>48.8%</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General and administrative expense</w:t>
            </w: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72,045</w:t>
            </w:r>
          </w:p>
        </w:tc>
        <w:tc>
          <w:tcPr>
            <w:tcW w:w="280" w:type="dxa"/>
            <w:vAlign w:val="bottom"/>
          </w:tcPr>
          <w:p>
            <w:pPr>
              <w:spacing w:after="0"/>
              <w:rPr>
                <w:sz w:val="13"/>
                <w:szCs w:val="13"/>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87"/>
              </w:rPr>
              <w:t>7.9%</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35,402</w:t>
            </w:r>
          </w:p>
        </w:tc>
        <w:tc>
          <w:tcPr>
            <w:tcW w:w="260" w:type="dxa"/>
            <w:vAlign w:val="bottom"/>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87"/>
              </w:rPr>
              <w:t>4.6%</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Operating expense (exclusive of depreciation and amortization)</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102,176</w:t>
            </w:r>
          </w:p>
        </w:tc>
        <w:tc>
          <w:tcPr>
            <w:tcW w:w="280" w:type="dxa"/>
            <w:vAlign w:val="bottom"/>
            <w:shd w:val="clear" w:color="auto" w:fill="CFF0FC"/>
          </w:tcPr>
          <w:p>
            <w:pPr>
              <w:spacing w:after="0"/>
              <w:rPr>
                <w:sz w:val="13"/>
                <w:szCs w:val="13"/>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3"/>
              </w:rPr>
              <w:t>11.2%</w:t>
            </w:r>
          </w:p>
        </w:tc>
        <w:tc>
          <w:tcPr>
            <w:tcW w:w="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49,668</w:t>
            </w:r>
          </w:p>
        </w:tc>
        <w:tc>
          <w:tcPr>
            <w:tcW w:w="260" w:type="dxa"/>
            <w:vAlign w:val="bottom"/>
            <w:shd w:val="clear" w:color="auto" w:fill="CFF0FC"/>
          </w:tcPr>
          <w:p>
            <w:pPr>
              <w:spacing w:after="0"/>
              <w:rPr>
                <w:sz w:val="13"/>
                <w:szCs w:val="13"/>
                <w:color w:val="auto"/>
              </w:rPr>
            </w:pPr>
          </w:p>
        </w:tc>
        <w:tc>
          <w:tcPr>
            <w:tcW w:w="76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7"/>
              </w:rPr>
              <w:t>6.4%</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Transaction related costs</w:t>
            </w: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38,005</w:t>
            </w:r>
          </w:p>
        </w:tc>
        <w:tc>
          <w:tcPr>
            <w:tcW w:w="280" w:type="dxa"/>
            <w:vAlign w:val="bottom"/>
          </w:tcPr>
          <w:p>
            <w:pPr>
              <w:spacing w:after="0"/>
              <w:rPr>
                <w:sz w:val="13"/>
                <w:szCs w:val="13"/>
                <w:color w:val="auto"/>
              </w:rPr>
            </w:pPr>
          </w:p>
        </w:tc>
        <w:tc>
          <w:tcPr>
            <w:tcW w:w="740" w:type="dxa"/>
            <w:vAlign w:val="bottom"/>
          </w:tcPr>
          <w:p>
            <w:pPr>
              <w:jc w:val="center"/>
              <w:spacing w:after="0"/>
              <w:rPr>
                <w:sz w:val="20"/>
                <w:szCs w:val="20"/>
                <w:color w:val="auto"/>
              </w:rPr>
            </w:pPr>
            <w:r>
              <w:rPr>
                <w:rFonts w:ascii="Arial" w:cs="Arial" w:eastAsia="Arial" w:hAnsi="Arial"/>
                <w:sz w:val="12"/>
                <w:szCs w:val="12"/>
                <w:color w:val="auto"/>
                <w:w w:val="87"/>
              </w:rPr>
              <w:t>4.1%</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33,669</w:t>
            </w:r>
          </w:p>
        </w:tc>
        <w:tc>
          <w:tcPr>
            <w:tcW w:w="260" w:type="dxa"/>
            <w:vAlign w:val="bottom"/>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87"/>
              </w:rPr>
              <w:t>4.4%</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Other expense</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11,284</w:t>
            </w:r>
          </w:p>
        </w:tc>
        <w:tc>
          <w:tcPr>
            <w:tcW w:w="280" w:type="dxa"/>
            <w:vAlign w:val="bottom"/>
            <w:shd w:val="clear" w:color="auto" w:fill="CFF0FC"/>
          </w:tcPr>
          <w:p>
            <w:pPr>
              <w:spacing w:after="0"/>
              <w:rPr>
                <w:sz w:val="13"/>
                <w:szCs w:val="13"/>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1.2%</w:t>
            </w:r>
          </w:p>
        </w:tc>
        <w:tc>
          <w:tcPr>
            <w:tcW w:w="26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7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4440" w:type="dxa"/>
            <w:vAlign w:val="bottom"/>
            <w:tcBorders>
              <w:bottom w:val="single" w:sz="8" w:color="CFF0FC"/>
            </w:tcBorders>
          </w:tcPr>
          <w:p>
            <w:pPr>
              <w:ind w:left="320"/>
              <w:spacing w:after="0"/>
              <w:rPr>
                <w:sz w:val="20"/>
                <w:szCs w:val="20"/>
                <w:color w:val="auto"/>
              </w:rPr>
            </w:pPr>
            <w:r>
              <w:rPr>
                <w:rFonts w:ascii="Arial" w:cs="Arial" w:eastAsia="Arial" w:hAnsi="Arial"/>
                <w:sz w:val="12"/>
                <w:szCs w:val="12"/>
                <w:color w:val="auto"/>
              </w:rPr>
              <w:t>Total costs and expenses</w:t>
            </w:r>
          </w:p>
        </w:tc>
        <w:tc>
          <w:tcPr>
            <w:tcW w:w="1440" w:type="dxa"/>
            <w:vAlign w:val="bottom"/>
            <w:tcBorders>
              <w:bottom w:val="single" w:sz="8" w:color="CFF0FC"/>
            </w:tcBorders>
          </w:tcPr>
          <w:p>
            <w:pPr>
              <w:spacing w:after="0"/>
              <w:rPr>
                <w:sz w:val="12"/>
                <w:szCs w:val="12"/>
                <w:color w:val="auto"/>
              </w:rPr>
            </w:pPr>
          </w:p>
        </w:tc>
        <w:tc>
          <w:tcPr>
            <w:tcW w:w="160" w:type="dxa"/>
            <w:vAlign w:val="bottom"/>
            <w:tcBorders>
              <w:bottom w:val="single" w:sz="8" w:color="CFF0FC"/>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963,709</w:t>
            </w:r>
          </w:p>
        </w:tc>
        <w:tc>
          <w:tcPr>
            <w:tcW w:w="280" w:type="dxa"/>
            <w:vAlign w:val="bottom"/>
            <w:tcBorders>
              <w:bottom w:val="single" w:sz="8" w:color="CFF0FC"/>
            </w:tcBorders>
          </w:tcPr>
          <w:p>
            <w:pPr>
              <w:spacing w:after="0"/>
              <w:rPr>
                <w:sz w:val="12"/>
                <w:szCs w:val="12"/>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88"/>
              </w:rPr>
              <w:t>105.2%</w:t>
            </w:r>
          </w:p>
        </w:tc>
        <w:tc>
          <w:tcPr>
            <w:tcW w:w="260" w:type="dxa"/>
            <w:vAlign w:val="bottom"/>
            <w:tcBorders>
              <w:bottom w:val="single" w:sz="8" w:color="CFF0FC"/>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770,103</w:t>
            </w:r>
          </w:p>
        </w:tc>
        <w:tc>
          <w:tcPr>
            <w:tcW w:w="260" w:type="dxa"/>
            <w:vAlign w:val="bottom"/>
            <w:tcBorders>
              <w:bottom w:val="single" w:sz="8" w:color="CFF0FC"/>
            </w:tcBorders>
          </w:tcPr>
          <w:p>
            <w:pPr>
              <w:spacing w:after="0"/>
              <w:rPr>
                <w:sz w:val="12"/>
                <w:szCs w:val="12"/>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88"/>
              </w:rPr>
              <w:t>100.0%</w:t>
            </w:r>
          </w:p>
        </w:tc>
        <w:tc>
          <w:tcPr>
            <w:tcW w:w="120" w:type="dxa"/>
            <w:vAlign w:val="bottom"/>
            <w:tcBorders>
              <w:bottom w:val="single" w:sz="8" w:color="CFF0F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440" w:type="dxa"/>
            <w:vAlign w:val="bottom"/>
            <w:shd w:val="clear" w:color="auto" w:fill="CFF0FC"/>
          </w:tcPr>
          <w:p>
            <w:pPr>
              <w:spacing w:after="0"/>
              <w:rPr>
                <w:sz w:val="12"/>
                <w:szCs w:val="12"/>
                <w:color w:val="auto"/>
              </w:rPr>
            </w:pPr>
          </w:p>
        </w:tc>
        <w:tc>
          <w:tcPr>
            <w:tcW w:w="14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28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440" w:type="dxa"/>
            <w:vAlign w:val="bottom"/>
          </w:tcPr>
          <w:p>
            <w:pPr>
              <w:spacing w:after="0"/>
              <w:rPr>
                <w:sz w:val="20"/>
                <w:szCs w:val="20"/>
                <w:color w:val="auto"/>
              </w:rPr>
            </w:pPr>
            <w:r>
              <w:rPr>
                <w:rFonts w:ascii="Arial" w:cs="Arial" w:eastAsia="Arial" w:hAnsi="Arial"/>
                <w:sz w:val="12"/>
                <w:szCs w:val="12"/>
                <w:b w:val="1"/>
                <w:bCs w:val="1"/>
                <w:color w:val="auto"/>
              </w:rPr>
              <w:t>(Loss) income before income taxes</w:t>
            </w: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2"/>
                <w:szCs w:val="12"/>
                <w:color w:val="auto"/>
              </w:rPr>
              <w:t>(47,677)</w:t>
            </w:r>
          </w:p>
        </w:tc>
        <w:tc>
          <w:tcPr>
            <w:tcW w:w="740" w:type="dxa"/>
            <w:vAlign w:val="bottom"/>
          </w:tcPr>
          <w:p>
            <w:pPr>
              <w:jc w:val="center"/>
              <w:spacing w:after="0"/>
              <w:rPr>
                <w:sz w:val="20"/>
                <w:szCs w:val="20"/>
                <w:color w:val="auto"/>
              </w:rPr>
            </w:pPr>
            <w:r>
              <w:rPr>
                <w:rFonts w:ascii="Arial" w:cs="Arial" w:eastAsia="Arial" w:hAnsi="Arial"/>
                <w:sz w:val="12"/>
                <w:szCs w:val="12"/>
                <w:color w:val="auto"/>
                <w:w w:val="90"/>
              </w:rPr>
              <w:t>(5.2%)</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305</w:t>
            </w:r>
          </w:p>
        </w:tc>
        <w:tc>
          <w:tcPr>
            <w:tcW w:w="260" w:type="dxa"/>
            <w:vAlign w:val="bottom"/>
          </w:tcPr>
          <w:p>
            <w:pPr>
              <w:spacing w:after="0"/>
              <w:rPr>
                <w:sz w:val="13"/>
                <w:szCs w:val="13"/>
                <w:color w:val="auto"/>
              </w:rPr>
            </w:pPr>
          </w:p>
        </w:tc>
        <w:tc>
          <w:tcPr>
            <w:tcW w:w="760" w:type="dxa"/>
            <w:vAlign w:val="bottom"/>
          </w:tcPr>
          <w:p>
            <w:pPr>
              <w:jc w:val="center"/>
              <w:spacing w:after="0"/>
              <w:rPr>
                <w:sz w:val="20"/>
                <w:szCs w:val="20"/>
                <w:color w:val="auto"/>
              </w:rPr>
            </w:pPr>
            <w:r>
              <w:rPr>
                <w:rFonts w:ascii="Arial" w:cs="Arial" w:eastAsia="Arial" w:hAnsi="Arial"/>
                <w:sz w:val="12"/>
                <w:szCs w:val="12"/>
                <w:color w:val="auto"/>
                <w:w w:val="87"/>
              </w:rPr>
              <w:t>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Income tax (benefit) expense</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(38,849)</w:t>
            </w:r>
          </w:p>
        </w:tc>
        <w:tc>
          <w:tcPr>
            <w:tcW w:w="74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0"/>
              </w:rPr>
              <w:t>(4.2%)</w:t>
            </w:r>
          </w:p>
        </w:tc>
        <w:tc>
          <w:tcPr>
            <w:tcW w:w="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517</w:t>
            </w:r>
          </w:p>
        </w:tc>
        <w:tc>
          <w:tcPr>
            <w:tcW w:w="260" w:type="dxa"/>
            <w:vAlign w:val="bottom"/>
            <w:shd w:val="clear" w:color="auto" w:fill="CFF0FC"/>
          </w:tcPr>
          <w:p>
            <w:pPr>
              <w:spacing w:after="0"/>
              <w:rPr>
                <w:sz w:val="13"/>
                <w:szCs w:val="13"/>
                <w:color w:val="auto"/>
              </w:rPr>
            </w:pPr>
          </w:p>
        </w:tc>
        <w:tc>
          <w:tcPr>
            <w:tcW w:w="76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7"/>
              </w:rPr>
              <w:t>0.1%</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440" w:type="dxa"/>
            <w:vAlign w:val="bottom"/>
            <w:vMerge w:val="restart"/>
          </w:tcPr>
          <w:p>
            <w:pPr>
              <w:spacing w:after="0"/>
              <w:rPr>
                <w:sz w:val="20"/>
                <w:szCs w:val="20"/>
                <w:color w:val="auto"/>
              </w:rPr>
            </w:pPr>
            <w:r>
              <w:rPr>
                <w:rFonts w:ascii="Arial" w:cs="Arial" w:eastAsia="Arial" w:hAnsi="Arial"/>
                <w:sz w:val="12"/>
                <w:szCs w:val="12"/>
                <w:b w:val="1"/>
                <w:bCs w:val="1"/>
                <w:color w:val="auto"/>
              </w:rPr>
              <w:t>Net loss</w:t>
            </w:r>
          </w:p>
        </w:tc>
        <w:tc>
          <w:tcPr>
            <w:tcW w:w="1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440" w:type="dxa"/>
            <w:vAlign w:val="bottom"/>
            <w:vMerge w:val="continue"/>
          </w:tcPr>
          <w:p>
            <w:pPr>
              <w:spacing w:after="0"/>
              <w:rPr>
                <w:sz w:val="12"/>
                <w:szCs w:val="12"/>
                <w:color w:val="auto"/>
              </w:rPr>
            </w:pPr>
          </w:p>
        </w:tc>
        <w:tc>
          <w:tcPr>
            <w:tcW w:w="1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2"/>
                <w:szCs w:val="12"/>
                <w:color w:val="auto"/>
              </w:rPr>
              <w:t>(8,828)</w:t>
            </w:r>
          </w:p>
        </w:tc>
        <w:tc>
          <w:tcPr>
            <w:tcW w:w="740" w:type="dxa"/>
            <w:vAlign w:val="bottom"/>
          </w:tcPr>
          <w:p>
            <w:pPr>
              <w:jc w:val="center"/>
              <w:spacing w:after="0"/>
              <w:rPr>
                <w:sz w:val="20"/>
                <w:szCs w:val="20"/>
                <w:color w:val="auto"/>
              </w:rPr>
            </w:pPr>
            <w:r>
              <w:rPr>
                <w:rFonts w:ascii="Arial" w:cs="Arial" w:eastAsia="Arial" w:hAnsi="Arial"/>
                <w:sz w:val="12"/>
                <w:szCs w:val="12"/>
                <w:color w:val="auto"/>
                <w:w w:val="90"/>
              </w:rPr>
              <w:t>(1.0%)</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2"/>
                <w:szCs w:val="12"/>
                <w:color w:val="auto"/>
              </w:rPr>
              <w:t>(212)</w:t>
            </w:r>
          </w:p>
        </w:tc>
        <w:tc>
          <w:tcPr>
            <w:tcW w:w="760" w:type="dxa"/>
            <w:vAlign w:val="bottom"/>
          </w:tcPr>
          <w:p>
            <w:pPr>
              <w:jc w:val="center"/>
              <w:spacing w:after="0"/>
              <w:rPr>
                <w:sz w:val="20"/>
                <w:szCs w:val="20"/>
                <w:color w:val="auto"/>
              </w:rPr>
            </w:pPr>
            <w:r>
              <w:rPr>
                <w:rFonts w:ascii="Arial" w:cs="Arial" w:eastAsia="Arial" w:hAnsi="Arial"/>
                <w:sz w:val="12"/>
                <w:szCs w:val="12"/>
                <w:color w:val="auto"/>
                <w:w w:val="90"/>
              </w:rPr>
              <w:t>(0.0%)</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spacing w:after="0"/>
              <w:rPr>
                <w:sz w:val="20"/>
                <w:szCs w:val="20"/>
                <w:color w:val="auto"/>
              </w:rPr>
            </w:pPr>
            <w:r>
              <w:rPr>
                <w:rFonts w:ascii="Arial" w:cs="Arial" w:eastAsia="Arial" w:hAnsi="Arial"/>
                <w:sz w:val="12"/>
                <w:szCs w:val="12"/>
                <w:color w:val="auto"/>
              </w:rPr>
              <w:t>Net income attributable to noncontrolling interests</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611</w:t>
            </w:r>
          </w:p>
        </w:tc>
        <w:tc>
          <w:tcPr>
            <w:tcW w:w="280" w:type="dxa"/>
            <w:vAlign w:val="bottom"/>
            <w:shd w:val="clear" w:color="auto" w:fill="CFF0FC"/>
          </w:tcPr>
          <w:p>
            <w:pPr>
              <w:spacing w:after="0"/>
              <w:rPr>
                <w:sz w:val="13"/>
                <w:szCs w:val="13"/>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0.1%</w:t>
            </w:r>
          </w:p>
        </w:tc>
        <w:tc>
          <w:tcPr>
            <w:tcW w:w="26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7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2"/>
                <w:szCs w:val="12"/>
                <w:color w:val="auto"/>
                <w:w w:val="87"/>
              </w:rPr>
              <w:t>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4440" w:type="dxa"/>
            <w:vAlign w:val="bottom"/>
          </w:tcPr>
          <w:p>
            <w:pPr>
              <w:spacing w:after="0"/>
              <w:rPr>
                <w:sz w:val="20"/>
                <w:szCs w:val="20"/>
                <w:color w:val="auto"/>
              </w:rPr>
            </w:pPr>
            <w:r>
              <w:rPr>
                <w:rFonts w:ascii="Arial" w:cs="Arial" w:eastAsia="Arial" w:hAnsi="Arial"/>
                <w:sz w:val="12"/>
                <w:szCs w:val="12"/>
                <w:b w:val="1"/>
                <w:bCs w:val="1"/>
                <w:color w:val="auto"/>
              </w:rPr>
              <w:t>Net loss attributable to shareholders</w:t>
            </w:r>
          </w:p>
        </w:tc>
        <w:tc>
          <w:tcPr>
            <w:tcW w:w="1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2"/>
                <w:szCs w:val="12"/>
                <w:color w:val="auto"/>
              </w:rPr>
              <w:t>(9,439)</w:t>
            </w:r>
          </w:p>
        </w:tc>
        <w:tc>
          <w:tcPr>
            <w:tcW w:w="740" w:type="dxa"/>
            <w:vAlign w:val="bottom"/>
          </w:tcPr>
          <w:p>
            <w:pPr>
              <w:jc w:val="center"/>
              <w:spacing w:after="0"/>
              <w:rPr>
                <w:sz w:val="20"/>
                <w:szCs w:val="20"/>
                <w:color w:val="auto"/>
              </w:rPr>
            </w:pPr>
            <w:r>
              <w:rPr>
                <w:rFonts w:ascii="Arial" w:cs="Arial" w:eastAsia="Arial" w:hAnsi="Arial"/>
                <w:sz w:val="12"/>
                <w:szCs w:val="12"/>
                <w:color w:val="auto"/>
                <w:w w:val="90"/>
              </w:rPr>
              <w:t>(1.0%)</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2"/>
                <w:szCs w:val="12"/>
                <w:color w:val="auto"/>
              </w:rPr>
              <w:t>(212)</w:t>
            </w:r>
          </w:p>
        </w:tc>
        <w:tc>
          <w:tcPr>
            <w:tcW w:w="760" w:type="dxa"/>
            <w:vAlign w:val="bottom"/>
          </w:tcPr>
          <w:p>
            <w:pPr>
              <w:jc w:val="center"/>
              <w:spacing w:after="0"/>
              <w:rPr>
                <w:sz w:val="20"/>
                <w:szCs w:val="20"/>
                <w:color w:val="auto"/>
              </w:rPr>
            </w:pPr>
            <w:r>
              <w:rPr>
                <w:rFonts w:ascii="Arial" w:cs="Arial" w:eastAsia="Arial" w:hAnsi="Arial"/>
                <w:sz w:val="12"/>
                <w:szCs w:val="12"/>
                <w:color w:val="auto"/>
                <w:w w:val="90"/>
              </w:rPr>
              <w:t>(0.0%)</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Participating securities' share in earnings</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(1,509)</w:t>
            </w:r>
          </w:p>
        </w:tc>
        <w:tc>
          <w:tcPr>
            <w:tcW w:w="74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0"/>
              </w:rPr>
              <w:t>(0.2%)</w:t>
            </w:r>
          </w:p>
        </w:tc>
        <w:tc>
          <w:tcPr>
            <w:tcW w:w="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(1,557)</w:t>
            </w:r>
          </w:p>
        </w:tc>
        <w:tc>
          <w:tcPr>
            <w:tcW w:w="76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0"/>
              </w:rPr>
              <w:t>(0.2%)</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Dividends declared on convertible preferred stock</w:t>
            </w: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2"/>
                <w:szCs w:val="12"/>
                <w:color w:val="auto"/>
              </w:rPr>
              <w:t>(2,624)</w:t>
            </w:r>
          </w:p>
        </w:tc>
        <w:tc>
          <w:tcPr>
            <w:tcW w:w="740" w:type="dxa"/>
            <w:vAlign w:val="bottom"/>
          </w:tcPr>
          <w:p>
            <w:pPr>
              <w:jc w:val="center"/>
              <w:spacing w:after="0"/>
              <w:rPr>
                <w:sz w:val="20"/>
                <w:szCs w:val="20"/>
                <w:color w:val="auto"/>
              </w:rPr>
            </w:pPr>
            <w:r>
              <w:rPr>
                <w:rFonts w:ascii="Arial" w:cs="Arial" w:eastAsia="Arial" w:hAnsi="Arial"/>
                <w:sz w:val="12"/>
                <w:szCs w:val="12"/>
                <w:color w:val="auto"/>
                <w:w w:val="90"/>
              </w:rPr>
              <w:t>(0.3%)</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2"/>
                <w:szCs w:val="12"/>
                <w:color w:val="auto"/>
              </w:rPr>
              <w:t>(1,743)</w:t>
            </w:r>
          </w:p>
        </w:tc>
        <w:tc>
          <w:tcPr>
            <w:tcW w:w="760" w:type="dxa"/>
            <w:vAlign w:val="bottom"/>
          </w:tcPr>
          <w:p>
            <w:pPr>
              <w:jc w:val="center"/>
              <w:spacing w:after="0"/>
              <w:rPr>
                <w:sz w:val="20"/>
                <w:szCs w:val="20"/>
                <w:color w:val="auto"/>
              </w:rPr>
            </w:pPr>
            <w:r>
              <w:rPr>
                <w:rFonts w:ascii="Arial" w:cs="Arial" w:eastAsia="Arial" w:hAnsi="Arial"/>
                <w:sz w:val="12"/>
                <w:szCs w:val="12"/>
                <w:color w:val="auto"/>
                <w:w w:val="90"/>
              </w:rPr>
              <w:t>(0.2%)</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Amortization of discount on convertible preferred stock</w:t>
            </w:r>
          </w:p>
        </w:tc>
        <w:tc>
          <w:tcPr>
            <w:tcW w:w="14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(2,980)</w:t>
            </w:r>
          </w:p>
        </w:tc>
        <w:tc>
          <w:tcPr>
            <w:tcW w:w="74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0"/>
              </w:rPr>
              <w:t>(0.3%)</w:t>
            </w:r>
          </w:p>
        </w:tc>
        <w:tc>
          <w:tcPr>
            <w:tcW w:w="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(1,985)</w:t>
            </w:r>
          </w:p>
        </w:tc>
        <w:tc>
          <w:tcPr>
            <w:tcW w:w="76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90"/>
              </w:rPr>
              <w:t>(0.3%)</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440" w:type="dxa"/>
            <w:vAlign w:val="bottom"/>
            <w:vMerge w:val="restart"/>
          </w:tcPr>
          <w:p>
            <w:pPr>
              <w:spacing w:after="0"/>
              <w:rPr>
                <w:sz w:val="20"/>
                <w:szCs w:val="20"/>
                <w:color w:val="auto"/>
              </w:rPr>
            </w:pPr>
            <w:r>
              <w:rPr>
                <w:rFonts w:ascii="Arial" w:cs="Arial" w:eastAsia="Arial" w:hAnsi="Arial"/>
                <w:sz w:val="12"/>
                <w:szCs w:val="12"/>
                <w:b w:val="1"/>
                <w:bCs w:val="1"/>
                <w:color w:val="auto"/>
              </w:rPr>
              <w:t>Net loss attributable to common shareholders</w:t>
            </w:r>
          </w:p>
        </w:tc>
        <w:tc>
          <w:tcPr>
            <w:tcW w:w="1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8"/>
        </w:trPr>
        <w:tc>
          <w:tcPr>
            <w:tcW w:w="4440" w:type="dxa"/>
            <w:vAlign w:val="bottom"/>
            <w:vMerge w:val="continue"/>
          </w:tcPr>
          <w:p>
            <w:pPr>
              <w:spacing w:after="0"/>
              <w:rPr>
                <w:sz w:val="13"/>
                <w:szCs w:val="13"/>
                <w:color w:val="auto"/>
              </w:rPr>
            </w:pPr>
          </w:p>
        </w:tc>
        <w:tc>
          <w:tcPr>
            <w:tcW w:w="1600" w:type="dxa"/>
            <w:vAlign w:val="bottom"/>
            <w:gridSpan w:val="2"/>
          </w:tcPr>
          <w:p>
            <w:pPr>
              <w:spacing w:after="0"/>
              <w:rPr>
                <w:sz w:val="13"/>
                <w:szCs w:val="13"/>
                <w:color w:val="auto"/>
              </w:rPr>
            </w:pP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1560" w:type="dxa"/>
            <w:vAlign w:val="bottom"/>
            <w:gridSpan w:val="2"/>
          </w:tcPr>
          <w:p>
            <w:pPr>
              <w:jc w:val="right"/>
              <w:ind w:right="240"/>
              <w:spacing w:after="0"/>
              <w:rPr>
                <w:sz w:val="20"/>
                <w:szCs w:val="20"/>
                <w:color w:val="auto"/>
              </w:rPr>
            </w:pPr>
            <w:r>
              <w:rPr>
                <w:rFonts w:ascii="Arial" w:cs="Arial" w:eastAsia="Arial" w:hAnsi="Arial"/>
                <w:sz w:val="12"/>
                <w:szCs w:val="12"/>
                <w:color w:val="auto"/>
              </w:rPr>
              <w:t>(16,552)</w:t>
            </w:r>
          </w:p>
        </w:tc>
        <w:tc>
          <w:tcPr>
            <w:tcW w:w="740" w:type="dxa"/>
            <w:vAlign w:val="bottom"/>
          </w:tcPr>
          <w:p>
            <w:pPr>
              <w:jc w:val="center"/>
              <w:spacing w:after="0"/>
              <w:rPr>
                <w:sz w:val="20"/>
                <w:szCs w:val="20"/>
                <w:color w:val="auto"/>
              </w:rPr>
            </w:pPr>
            <w:r>
              <w:rPr>
                <w:rFonts w:ascii="Arial" w:cs="Arial" w:eastAsia="Arial" w:hAnsi="Arial"/>
                <w:sz w:val="12"/>
                <w:szCs w:val="12"/>
                <w:color w:val="auto"/>
                <w:w w:val="90"/>
              </w:rPr>
              <w:t>(1.8%)</w:t>
            </w:r>
          </w:p>
        </w:tc>
        <w:tc>
          <w:tcPr>
            <w:tcW w:w="48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560" w:type="dxa"/>
            <w:vAlign w:val="bottom"/>
            <w:gridSpan w:val="2"/>
          </w:tcPr>
          <w:p>
            <w:pPr>
              <w:jc w:val="right"/>
              <w:ind w:right="220"/>
              <w:spacing w:after="0"/>
              <w:rPr>
                <w:sz w:val="20"/>
                <w:szCs w:val="20"/>
                <w:color w:val="auto"/>
              </w:rPr>
            </w:pPr>
            <w:r>
              <w:rPr>
                <w:rFonts w:ascii="Arial" w:cs="Arial" w:eastAsia="Arial" w:hAnsi="Arial"/>
                <w:sz w:val="12"/>
                <w:szCs w:val="12"/>
                <w:color w:val="auto"/>
              </w:rPr>
              <w:t>(5,497)</w:t>
            </w:r>
          </w:p>
        </w:tc>
        <w:tc>
          <w:tcPr>
            <w:tcW w:w="760" w:type="dxa"/>
            <w:vAlign w:val="bottom"/>
          </w:tcPr>
          <w:p>
            <w:pPr>
              <w:jc w:val="center"/>
              <w:spacing w:after="0"/>
              <w:rPr>
                <w:sz w:val="20"/>
                <w:szCs w:val="20"/>
                <w:color w:val="auto"/>
              </w:rPr>
            </w:pPr>
            <w:r>
              <w:rPr>
                <w:rFonts w:ascii="Arial" w:cs="Arial" w:eastAsia="Arial" w:hAnsi="Arial"/>
                <w:sz w:val="12"/>
                <w:szCs w:val="12"/>
                <w:color w:val="auto"/>
                <w:w w:val="90"/>
              </w:rPr>
              <w:t>(0.7%)</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4440" w:type="dxa"/>
            <w:vAlign w:val="bottom"/>
          </w:tcPr>
          <w:p>
            <w:pPr>
              <w:spacing w:after="0"/>
              <w:rPr>
                <w:sz w:val="24"/>
                <w:szCs w:val="24"/>
                <w:color w:val="auto"/>
              </w:rPr>
            </w:pPr>
          </w:p>
        </w:tc>
        <w:tc>
          <w:tcPr>
            <w:tcW w:w="1440" w:type="dxa"/>
            <w:vAlign w:val="bottom"/>
          </w:tcPr>
          <w:p>
            <w:pPr>
              <w:jc w:val="right"/>
              <w:ind w:right="20"/>
              <w:spacing w:after="0"/>
              <w:rPr>
                <w:sz w:val="20"/>
                <w:szCs w:val="20"/>
                <w:color w:val="auto"/>
              </w:rPr>
            </w:pPr>
            <w:r>
              <w:rPr>
                <w:rFonts w:ascii="Arial" w:cs="Arial" w:eastAsia="Arial" w:hAnsi="Arial"/>
                <w:sz w:val="12"/>
                <w:szCs w:val="12"/>
                <w:color w:val="auto"/>
              </w:rPr>
              <w:t>39</w:t>
            </w:r>
          </w:p>
        </w:tc>
        <w:tc>
          <w:tcPr>
            <w:tcW w:w="16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4440" w:type="dxa"/>
            <w:vAlign w:val="bottom"/>
            <w:tcBorders>
              <w:bottom w:val="single" w:sz="8" w:color="9A9A9A"/>
            </w:tcBorders>
          </w:tcPr>
          <w:p>
            <w:pPr>
              <w:spacing w:after="0"/>
              <w:rPr>
                <w:sz w:val="6"/>
                <w:szCs w:val="6"/>
                <w:color w:val="auto"/>
              </w:rPr>
            </w:pPr>
          </w:p>
        </w:tc>
        <w:tc>
          <w:tcPr>
            <w:tcW w:w="144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128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74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130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39" w:name="page40"/>
    <w:bookmarkEnd w:id="3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 sets forth, for the years ended December 31, 2017 and 2016, revenues and Adjusted EBITDA of our reportable segments:</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960" w:type="dxa"/>
            <w:vAlign w:val="bottom"/>
            <w:tcBorders>
              <w:bottom w:val="single" w:sz="8" w:color="auto"/>
            </w:tcBorders>
            <w:gridSpan w:val="4"/>
          </w:tcPr>
          <w:p>
            <w:pPr>
              <w:jc w:val="right"/>
              <w:ind w:right="602"/>
              <w:spacing w:after="0"/>
              <w:rPr>
                <w:sz w:val="20"/>
                <w:szCs w:val="20"/>
                <w:color w:val="auto"/>
              </w:rPr>
            </w:pPr>
            <w:r>
              <w:rPr>
                <w:rFonts w:ascii="Arial" w:cs="Arial" w:eastAsia="Arial" w:hAnsi="Arial"/>
                <w:sz w:val="10"/>
                <w:szCs w:val="10"/>
                <w:b w:val="1"/>
                <w:bCs w:val="1"/>
                <w:color w:val="auto"/>
                <w:w w:val="86"/>
              </w:rPr>
              <w:t>Year Ended December 31, 2017</w:t>
            </w:r>
          </w:p>
        </w:tc>
        <w:tc>
          <w:tcPr>
            <w:tcW w:w="2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3"/>
        </w:trPr>
        <w:tc>
          <w:tcPr>
            <w:tcW w:w="410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80" w:type="dxa"/>
            <w:vAlign w:val="bottom"/>
          </w:tcPr>
          <w:p>
            <w:pPr>
              <w:jc w:val="center"/>
              <w:ind w:right="22"/>
              <w:spacing w:after="0" w:line="83" w:lineRule="exact"/>
              <w:rPr>
                <w:sz w:val="20"/>
                <w:szCs w:val="20"/>
                <w:color w:val="auto"/>
              </w:rPr>
            </w:pPr>
            <w:r>
              <w:rPr>
                <w:rFonts w:ascii="Arial" w:cs="Arial" w:eastAsia="Arial" w:hAnsi="Arial"/>
                <w:sz w:val="8"/>
                <w:szCs w:val="8"/>
                <w:b w:val="1"/>
                <w:bCs w:val="1"/>
                <w:color w:val="auto"/>
              </w:rPr>
              <w:t>Total of Reportable</w:t>
            </w: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10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40" w:type="dxa"/>
            <w:vAlign w:val="bottom"/>
            <w:tcBorders>
              <w:bottom w:val="single" w:sz="8" w:color="CFF0FC"/>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700" w:type="dxa"/>
            <w:vAlign w:val="bottom"/>
            <w:tcBorders>
              <w:bottom w:val="single" w:sz="8" w:color="auto"/>
            </w:tcBorders>
          </w:tcPr>
          <w:p>
            <w:pPr>
              <w:jc w:val="right"/>
              <w:ind w:right="262"/>
              <w:spacing w:after="0" w:line="114" w:lineRule="exact"/>
              <w:rPr>
                <w:sz w:val="20"/>
                <w:szCs w:val="20"/>
                <w:color w:val="auto"/>
              </w:rPr>
            </w:pPr>
            <w:r>
              <w:rPr>
                <w:rFonts w:ascii="Arial" w:cs="Arial" w:eastAsia="Arial" w:hAnsi="Arial"/>
                <w:sz w:val="10"/>
                <w:szCs w:val="10"/>
                <w:b w:val="1"/>
                <w:bCs w:val="1"/>
                <w:color w:val="auto"/>
                <w:w w:val="95"/>
              </w:rPr>
              <w:t>Leasing</w:t>
            </w:r>
          </w:p>
        </w:tc>
        <w:tc>
          <w:tcPr>
            <w:tcW w:w="260" w:type="dxa"/>
            <w:vAlign w:val="bottom"/>
            <w:tcBorders>
              <w:bottom w:val="single" w:sz="8" w:color="CFF0FC"/>
            </w:tcBorders>
            <w:gridSpan w:val="2"/>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040" w:type="dxa"/>
            <w:vAlign w:val="bottom"/>
            <w:tcBorders>
              <w:bottom w:val="single" w:sz="8" w:color="auto"/>
            </w:tcBorders>
          </w:tcPr>
          <w:p>
            <w:pPr>
              <w:jc w:val="right"/>
              <w:ind w:right="142"/>
              <w:spacing w:after="0" w:line="114" w:lineRule="exact"/>
              <w:rPr>
                <w:sz w:val="20"/>
                <w:szCs w:val="20"/>
                <w:color w:val="auto"/>
              </w:rPr>
            </w:pPr>
            <w:r>
              <w:rPr>
                <w:rFonts w:ascii="Arial" w:cs="Arial" w:eastAsia="Arial" w:hAnsi="Arial"/>
                <w:sz w:val="10"/>
                <w:szCs w:val="10"/>
                <w:b w:val="1"/>
                <w:bCs w:val="1"/>
                <w:color w:val="auto"/>
                <w:w w:val="88"/>
              </w:rPr>
              <w:t>Fiber Infrastructure</w:t>
            </w:r>
          </w:p>
        </w:tc>
        <w:tc>
          <w:tcPr>
            <w:tcW w:w="260" w:type="dxa"/>
            <w:vAlign w:val="bottom"/>
            <w:tcBorders>
              <w:bottom w:val="single" w:sz="8" w:color="CFF0FC"/>
            </w:tcBorders>
            <w:gridSpan w:val="2"/>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right"/>
              <w:ind w:right="284"/>
              <w:spacing w:after="0" w:line="114" w:lineRule="exact"/>
              <w:rPr>
                <w:sz w:val="20"/>
                <w:szCs w:val="20"/>
                <w:color w:val="auto"/>
              </w:rPr>
            </w:pPr>
            <w:r>
              <w:rPr>
                <w:rFonts w:ascii="Arial" w:cs="Arial" w:eastAsia="Arial" w:hAnsi="Arial"/>
                <w:sz w:val="10"/>
                <w:szCs w:val="10"/>
                <w:b w:val="1"/>
                <w:bCs w:val="1"/>
                <w:color w:val="auto"/>
              </w:rPr>
              <w:t>Towers</w:t>
            </w:r>
          </w:p>
        </w:tc>
        <w:tc>
          <w:tcPr>
            <w:tcW w:w="34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jc w:val="right"/>
              <w:ind w:right="22"/>
              <w:spacing w:after="0" w:line="114" w:lineRule="exact"/>
              <w:rPr>
                <w:sz w:val="20"/>
                <w:szCs w:val="20"/>
                <w:color w:val="auto"/>
              </w:rPr>
            </w:pPr>
            <w:r>
              <w:rPr>
                <w:rFonts w:ascii="Arial" w:cs="Arial" w:eastAsia="Arial" w:hAnsi="Arial"/>
                <w:sz w:val="10"/>
                <w:szCs w:val="10"/>
                <w:b w:val="1"/>
                <w:bCs w:val="1"/>
                <w:color w:val="auto"/>
                <w:w w:val="90"/>
              </w:rPr>
              <w:t>Consumer CLEC</w:t>
            </w:r>
          </w:p>
        </w:tc>
        <w:tc>
          <w:tcPr>
            <w:tcW w:w="260" w:type="dxa"/>
            <w:vAlign w:val="bottom"/>
            <w:tcBorders>
              <w:bottom w:val="single" w:sz="8" w:color="CFF0FC"/>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right"/>
              <w:ind w:right="182"/>
              <w:spacing w:after="0" w:line="114" w:lineRule="exact"/>
              <w:rPr>
                <w:sz w:val="20"/>
                <w:szCs w:val="20"/>
                <w:color w:val="auto"/>
              </w:rPr>
            </w:pPr>
            <w:r>
              <w:rPr>
                <w:rFonts w:ascii="Arial" w:cs="Arial" w:eastAsia="Arial" w:hAnsi="Arial"/>
                <w:sz w:val="10"/>
                <w:szCs w:val="10"/>
                <w:b w:val="1"/>
                <w:bCs w:val="1"/>
                <w:color w:val="auto"/>
              </w:rPr>
              <w:t>Corporate</w:t>
            </w:r>
          </w:p>
        </w:tc>
        <w:tc>
          <w:tcPr>
            <w:tcW w:w="16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jc w:val="center"/>
              <w:ind w:right="22"/>
              <w:spacing w:after="0" w:line="114" w:lineRule="exact"/>
              <w:rPr>
                <w:sz w:val="20"/>
                <w:szCs w:val="20"/>
                <w:color w:val="auto"/>
              </w:rPr>
            </w:pPr>
            <w:r>
              <w:rPr>
                <w:rFonts w:ascii="Arial" w:cs="Arial" w:eastAsia="Arial" w:hAnsi="Arial"/>
                <w:sz w:val="10"/>
                <w:szCs w:val="10"/>
                <w:b w:val="1"/>
                <w:bCs w:val="1"/>
                <w:color w:val="auto"/>
                <w:w w:val="83"/>
              </w:rPr>
              <w:t>Segments</w:t>
            </w:r>
          </w:p>
        </w:tc>
        <w:tc>
          <w:tcPr>
            <w:tcW w:w="220" w:type="dxa"/>
            <w:vAlign w:val="bottom"/>
            <w:tcBorders>
              <w:bottom w:val="single" w:sz="8" w:color="CFF0FC"/>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100" w:type="dxa"/>
            <w:vAlign w:val="bottom"/>
            <w:shd w:val="clear" w:color="auto" w:fill="CFF0FC"/>
          </w:tcPr>
          <w:p>
            <w:pPr>
              <w:spacing w:after="0"/>
              <w:rPr>
                <w:sz w:val="20"/>
                <w:szCs w:val="20"/>
                <w:color w:val="auto"/>
              </w:rPr>
            </w:pPr>
            <w:r>
              <w:rPr>
                <w:rFonts w:ascii="Arial" w:cs="Arial" w:eastAsia="Arial" w:hAnsi="Arial"/>
                <w:sz w:val="12"/>
                <w:szCs w:val="12"/>
                <w:color w:val="auto"/>
              </w:rPr>
              <w:t>Revenues</w:t>
            </w:r>
          </w:p>
        </w:tc>
        <w:tc>
          <w:tcPr>
            <w:tcW w:w="12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685,099</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20" w:type="dxa"/>
            <w:vAlign w:val="bottom"/>
            <w:shd w:val="clear" w:color="auto" w:fill="CFF0FC"/>
          </w:tcPr>
          <w:p>
            <w:pPr>
              <w:jc w:val="right"/>
              <w:ind w:right="5"/>
              <w:spacing w:after="0"/>
              <w:rPr>
                <w:sz w:val="20"/>
                <w:szCs w:val="20"/>
                <w:color w:val="auto"/>
              </w:rPr>
            </w:pPr>
            <w:r>
              <w:rPr>
                <w:rFonts w:ascii="Arial" w:cs="Arial" w:eastAsia="Arial" w:hAnsi="Arial"/>
                <w:sz w:val="10"/>
                <w:szCs w:val="10"/>
                <w:color w:val="auto"/>
                <w:w w:val="71"/>
              </w:rPr>
              <w:t>$</w:t>
            </w:r>
          </w:p>
        </w:tc>
        <w:tc>
          <w:tcPr>
            <w:tcW w:w="60" w:type="dxa"/>
            <w:vAlign w:val="bottom"/>
            <w:shd w:val="clear" w:color="auto" w:fill="CFF0FC"/>
          </w:tcPr>
          <w:p>
            <w:pPr>
              <w:spacing w:after="0"/>
              <w:rPr>
                <w:sz w:val="12"/>
                <w:szCs w:val="12"/>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1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jc w:val="right"/>
              <w:ind w:right="25"/>
              <w:spacing w:after="0"/>
              <w:rPr>
                <w:sz w:val="20"/>
                <w:szCs w:val="20"/>
                <w:color w:val="auto"/>
              </w:rPr>
            </w:pPr>
            <w:r>
              <w:rPr>
                <w:rFonts w:ascii="Arial" w:cs="Arial" w:eastAsia="Arial" w:hAnsi="Arial"/>
                <w:sz w:val="10"/>
                <w:szCs w:val="10"/>
                <w:color w:val="auto"/>
                <w:w w:val="71"/>
              </w:rPr>
              <w:t>$</w:t>
            </w: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10,055</w:t>
            </w:r>
          </w:p>
        </w:tc>
        <w:tc>
          <w:tcPr>
            <w:tcW w:w="340" w:type="dxa"/>
            <w:vAlign w:val="bottom"/>
            <w:shd w:val="clear" w:color="auto" w:fill="CFF0FC"/>
          </w:tcPr>
          <w:p>
            <w:pPr>
              <w:spacing w:after="0"/>
              <w:rPr>
                <w:sz w:val="12"/>
                <w:szCs w:val="12"/>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18,087</w:t>
            </w:r>
          </w:p>
        </w:tc>
        <w:tc>
          <w:tcPr>
            <w:tcW w:w="42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60" w:type="dxa"/>
            <w:vAlign w:val="bottom"/>
            <w:shd w:val="clear" w:color="auto" w:fill="CFF0FC"/>
          </w:tcPr>
          <w:p>
            <w:pPr>
              <w:spacing w:after="0"/>
              <w:rPr>
                <w:sz w:val="12"/>
                <w:szCs w:val="12"/>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916,032</w:t>
            </w:r>
          </w:p>
        </w:tc>
        <w:tc>
          <w:tcPr>
            <w:tcW w:w="2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12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683,651</w:t>
            </w: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jc w:val="right"/>
              <w:ind w:right="5"/>
              <w:spacing w:after="0"/>
              <w:rPr>
                <w:sz w:val="20"/>
                <w:szCs w:val="20"/>
                <w:color w:val="auto"/>
              </w:rPr>
            </w:pPr>
            <w:r>
              <w:rPr>
                <w:rFonts w:ascii="Arial" w:cs="Arial" w:eastAsia="Arial" w:hAnsi="Arial"/>
                <w:sz w:val="10"/>
                <w:szCs w:val="10"/>
                <w:color w:val="auto"/>
                <w:w w:val="71"/>
              </w:rPr>
              <w:t>$</w:t>
            </w: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83,987</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jc w:val="right"/>
              <w:ind w:right="25"/>
              <w:spacing w:after="0"/>
              <w:rPr>
                <w:sz w:val="20"/>
                <w:szCs w:val="20"/>
                <w:color w:val="auto"/>
              </w:rPr>
            </w:pPr>
            <w:r>
              <w:rPr>
                <w:rFonts w:ascii="Arial" w:cs="Arial" w:eastAsia="Arial" w:hAnsi="Arial"/>
                <w:sz w:val="10"/>
                <w:szCs w:val="10"/>
                <w:color w:val="auto"/>
                <w:w w:val="71"/>
              </w:rPr>
              <w:t>$</w:t>
            </w:r>
          </w:p>
        </w:tc>
        <w:tc>
          <w:tcPr>
            <w:tcW w:w="8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ind w:right="300"/>
              <w:spacing w:after="0"/>
              <w:rPr>
                <w:sz w:val="20"/>
                <w:szCs w:val="20"/>
                <w:color w:val="auto"/>
              </w:rPr>
            </w:pPr>
            <w:r>
              <w:rPr>
                <w:rFonts w:ascii="Arial" w:cs="Arial" w:eastAsia="Arial" w:hAnsi="Arial"/>
                <w:sz w:val="12"/>
                <w:szCs w:val="12"/>
                <w:color w:val="auto"/>
              </w:rPr>
              <w:t>(831)</w:t>
            </w: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4,556</w:t>
            </w:r>
          </w:p>
        </w:tc>
        <w:tc>
          <w:tcPr>
            <w:tcW w:w="42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90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(21,839)</w:t>
            </w: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749,524</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spacing w:after="0"/>
              <w:rPr>
                <w:sz w:val="20"/>
                <w:szCs w:val="20"/>
                <w:color w:val="auto"/>
              </w:rPr>
            </w:pPr>
            <w:r>
              <w:rPr>
                <w:rFonts w:ascii="Arial" w:cs="Arial" w:eastAsia="Arial" w:hAnsi="Arial"/>
                <w:sz w:val="12"/>
                <w:szCs w:val="12"/>
                <w:color w:val="auto"/>
              </w:rPr>
              <w:t>Adjusted EBITDA margin</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2"/>
                <w:szCs w:val="12"/>
                <w:color w:val="auto"/>
              </w:rPr>
              <w:t>99.8%</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jc w:val="right"/>
              <w:spacing w:after="0"/>
              <w:rPr>
                <w:sz w:val="20"/>
                <w:szCs w:val="20"/>
                <w:color w:val="auto"/>
              </w:rPr>
            </w:pPr>
            <w:r>
              <w:rPr>
                <w:rFonts w:ascii="Arial" w:cs="Arial" w:eastAsia="Arial" w:hAnsi="Arial"/>
                <w:sz w:val="12"/>
                <w:szCs w:val="12"/>
                <w:color w:val="auto"/>
              </w:rPr>
              <w:t>41.4%</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(8.3%)</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25.2%</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81.8%</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spacing w:after="0"/>
              <w:rPr>
                <w:sz w:val="20"/>
                <w:szCs w:val="20"/>
                <w:color w:val="auto"/>
              </w:rPr>
            </w:pPr>
            <w:r>
              <w:rPr>
                <w:rFonts w:ascii="Arial" w:cs="Arial" w:eastAsia="Arial" w:hAnsi="Arial"/>
                <w:sz w:val="12"/>
                <w:szCs w:val="12"/>
                <w:color w:val="auto"/>
              </w:rPr>
              <w:t>Less:</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ind w:left="80"/>
              <w:spacing w:after="0"/>
              <w:rPr>
                <w:sz w:val="20"/>
                <w:szCs w:val="20"/>
                <w:color w:val="auto"/>
              </w:rPr>
            </w:pPr>
            <w:r>
              <w:rPr>
                <w:rFonts w:ascii="Arial" w:cs="Arial" w:eastAsia="Arial" w:hAnsi="Arial"/>
                <w:sz w:val="12"/>
                <w:szCs w:val="12"/>
                <w:color w:val="auto"/>
              </w:rPr>
              <w:t>Interest expense, net</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305,994</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ind w:left="80"/>
              <w:spacing w:after="0"/>
              <w:rPr>
                <w:sz w:val="20"/>
                <w:szCs w:val="20"/>
                <w:color w:val="auto"/>
              </w:rPr>
            </w:pPr>
            <w:r>
              <w:rPr>
                <w:rFonts w:ascii="Arial" w:cs="Arial" w:eastAsia="Arial" w:hAnsi="Arial"/>
                <w:sz w:val="12"/>
                <w:szCs w:val="12"/>
                <w:color w:val="auto"/>
              </w:rPr>
              <w:t>Depreciation and amortization</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347,999</w:t>
            </w: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78,307</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4,907</w:t>
            </w: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2,607</w:t>
            </w: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385</w:t>
            </w: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434,205</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ind w:left="80"/>
              <w:spacing w:after="0"/>
              <w:rPr>
                <w:sz w:val="20"/>
                <w:szCs w:val="20"/>
                <w:color w:val="auto"/>
              </w:rPr>
            </w:pPr>
            <w:r>
              <w:rPr>
                <w:rFonts w:ascii="Arial" w:cs="Arial" w:eastAsia="Arial" w:hAnsi="Arial"/>
                <w:sz w:val="12"/>
                <w:szCs w:val="12"/>
                <w:color w:val="auto"/>
              </w:rPr>
              <w:t>Other expense</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11,284</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38,005</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ind w:left="80"/>
              <w:spacing w:after="0"/>
              <w:rPr>
                <w:sz w:val="20"/>
                <w:szCs w:val="20"/>
                <w:color w:val="auto"/>
              </w:rPr>
            </w:pPr>
            <w:r>
              <w:rPr>
                <w:rFonts w:ascii="Arial" w:cs="Arial" w:eastAsia="Arial" w:hAnsi="Arial"/>
                <w:sz w:val="12"/>
                <w:szCs w:val="12"/>
                <w:color w:val="auto"/>
              </w:rPr>
              <w:t>Stock-based compensation</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7,713</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ind w:left="80"/>
              <w:spacing w:after="0"/>
              <w:rPr>
                <w:sz w:val="20"/>
                <w:szCs w:val="20"/>
                <w:color w:val="auto"/>
              </w:rPr>
            </w:pPr>
            <w:r>
              <w:rPr>
                <w:rFonts w:ascii="Arial" w:cs="Arial" w:eastAsia="Arial" w:hAnsi="Arial"/>
                <w:sz w:val="12"/>
                <w:szCs w:val="12"/>
                <w:color w:val="auto"/>
              </w:rPr>
              <w:t>Income tax benefit</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10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(38,849)</w:t>
            </w:r>
          </w:p>
        </w:tc>
        <w:tc>
          <w:tcPr>
            <w:tcW w:w="0" w:type="dxa"/>
            <w:vAlign w:val="bottom"/>
          </w:tcPr>
          <w:p>
            <w:pPr>
              <w:spacing w:after="0"/>
              <w:rPr>
                <w:sz w:val="1"/>
                <w:szCs w:val="1"/>
                <w:color w:val="auto"/>
              </w:rPr>
            </w:pPr>
          </w:p>
        </w:tc>
      </w:tr>
      <w:tr>
        <w:trPr>
          <w:trHeight w:val="20"/>
        </w:trPr>
        <w:tc>
          <w:tcPr>
            <w:tcW w:w="4100" w:type="dxa"/>
            <w:vAlign w:val="bottom"/>
            <w:vMerge w:val="restart"/>
          </w:tcPr>
          <w:p>
            <w:pPr>
              <w:spacing w:after="0"/>
              <w:rPr>
                <w:sz w:val="20"/>
                <w:szCs w:val="20"/>
                <w:color w:val="auto"/>
              </w:rPr>
            </w:pPr>
            <w:r>
              <w:rPr>
                <w:rFonts w:ascii="Arial" w:cs="Arial" w:eastAsia="Arial" w:hAnsi="Arial"/>
                <w:sz w:val="12"/>
                <w:szCs w:val="12"/>
                <w:color w:val="auto"/>
              </w:rPr>
              <w:t>Net loss</w:t>
            </w: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10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gridSpan w:val="2"/>
          </w:tcPr>
          <w:p>
            <w:pPr>
              <w:jc w:val="right"/>
              <w:ind w:right="180"/>
              <w:spacing w:after="0"/>
              <w:rPr>
                <w:sz w:val="20"/>
                <w:szCs w:val="20"/>
                <w:color w:val="auto"/>
              </w:rPr>
            </w:pPr>
            <w:r>
              <w:rPr>
                <w:rFonts w:ascii="Arial" w:cs="Arial" w:eastAsia="Arial" w:hAnsi="Arial"/>
                <w:sz w:val="12"/>
                <w:szCs w:val="12"/>
                <w:color w:val="auto"/>
              </w:rPr>
              <w:t>(8,828)</w:t>
            </w:r>
          </w:p>
        </w:tc>
        <w:tc>
          <w:tcPr>
            <w:tcW w:w="0" w:type="dxa"/>
            <w:vAlign w:val="bottom"/>
          </w:tcPr>
          <w:p>
            <w:pPr>
              <w:spacing w:after="0"/>
              <w:rPr>
                <w:sz w:val="1"/>
                <w:szCs w:val="1"/>
                <w:color w:val="auto"/>
              </w:rPr>
            </w:pPr>
          </w:p>
        </w:tc>
      </w:tr>
      <w:tr>
        <w:trPr>
          <w:trHeight w:val="378"/>
        </w:trPr>
        <w:tc>
          <w:tcPr>
            <w:tcW w:w="4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4"/>
          </w:tcPr>
          <w:p>
            <w:pPr>
              <w:jc w:val="right"/>
              <w:ind w:right="542"/>
              <w:spacing w:after="0"/>
              <w:rPr>
                <w:sz w:val="20"/>
                <w:szCs w:val="20"/>
                <w:color w:val="auto"/>
              </w:rPr>
            </w:pPr>
            <w:r>
              <w:rPr>
                <w:rFonts w:ascii="Arial" w:cs="Arial" w:eastAsia="Arial" w:hAnsi="Arial"/>
                <w:sz w:val="10"/>
                <w:szCs w:val="10"/>
                <w:b w:val="1"/>
                <w:bCs w:val="1"/>
                <w:color w:val="auto"/>
                <w:w w:val="90"/>
              </w:rPr>
              <w:t>Year Ended December 31, 2016</w:t>
            </w:r>
          </w:p>
        </w:tc>
        <w:tc>
          <w:tcPr>
            <w:tcW w:w="2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880" w:type="dxa"/>
            <w:vAlign w:val="bottom"/>
            <w:tcBorders>
              <w:top w:val="single" w:sz="8" w:color="auto"/>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410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80" w:type="dxa"/>
            <w:vAlign w:val="bottom"/>
          </w:tcPr>
          <w:p>
            <w:pPr>
              <w:jc w:val="center"/>
              <w:ind w:right="22"/>
              <w:spacing w:after="0" w:line="83" w:lineRule="exact"/>
              <w:rPr>
                <w:sz w:val="20"/>
                <w:szCs w:val="20"/>
                <w:color w:val="auto"/>
              </w:rPr>
            </w:pPr>
            <w:r>
              <w:rPr>
                <w:rFonts w:ascii="Arial" w:cs="Arial" w:eastAsia="Arial" w:hAnsi="Arial"/>
                <w:sz w:val="8"/>
                <w:szCs w:val="8"/>
                <w:b w:val="1"/>
                <w:bCs w:val="1"/>
                <w:color w:val="auto"/>
              </w:rPr>
              <w:t>Total of Reportable</w:t>
            </w: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10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0" w:type="dxa"/>
            <w:vAlign w:val="bottom"/>
            <w:tcBorders>
              <w:bottom w:val="single" w:sz="8" w:color="CFF0FC"/>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gridSpan w:val="2"/>
          </w:tcPr>
          <w:p>
            <w:pPr>
              <w:jc w:val="right"/>
              <w:ind w:right="320"/>
              <w:spacing w:after="0" w:line="114" w:lineRule="exact"/>
              <w:rPr>
                <w:sz w:val="20"/>
                <w:szCs w:val="20"/>
                <w:color w:val="auto"/>
              </w:rPr>
            </w:pPr>
            <w:r>
              <w:rPr>
                <w:rFonts w:ascii="Arial" w:cs="Arial" w:eastAsia="Arial" w:hAnsi="Arial"/>
                <w:sz w:val="10"/>
                <w:szCs w:val="10"/>
                <w:b w:val="1"/>
                <w:bCs w:val="1"/>
                <w:color w:val="auto"/>
              </w:rPr>
              <w:t>Leasing</w:t>
            </w:r>
          </w:p>
        </w:tc>
        <w:tc>
          <w:tcPr>
            <w:tcW w:w="140" w:type="dxa"/>
            <w:vAlign w:val="bottom"/>
            <w:tcBorders>
              <w:bottom w:val="single" w:sz="8" w:color="CFF0FC"/>
            </w:tcBorders>
          </w:tcPr>
          <w:p>
            <w:pPr>
              <w:spacing w:after="0"/>
              <w:rPr>
                <w:sz w:val="9"/>
                <w:szCs w:val="9"/>
                <w:color w:val="auto"/>
              </w:rPr>
            </w:pPr>
          </w:p>
        </w:tc>
        <w:tc>
          <w:tcPr>
            <w:tcW w:w="12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180" w:type="dxa"/>
            <w:vAlign w:val="bottom"/>
            <w:tcBorders>
              <w:bottom w:val="single" w:sz="8" w:color="auto"/>
            </w:tcBorders>
            <w:gridSpan w:val="2"/>
          </w:tcPr>
          <w:p>
            <w:pPr>
              <w:jc w:val="right"/>
              <w:ind w:right="200"/>
              <w:spacing w:after="0" w:line="114" w:lineRule="exact"/>
              <w:rPr>
                <w:sz w:val="20"/>
                <w:szCs w:val="20"/>
                <w:color w:val="auto"/>
              </w:rPr>
            </w:pPr>
            <w:r>
              <w:rPr>
                <w:rFonts w:ascii="Arial" w:cs="Arial" w:eastAsia="Arial" w:hAnsi="Arial"/>
                <w:sz w:val="10"/>
                <w:szCs w:val="10"/>
                <w:b w:val="1"/>
                <w:bCs w:val="1"/>
                <w:color w:val="auto"/>
              </w:rPr>
              <w:t>Fiber Infrastructure</w:t>
            </w:r>
          </w:p>
        </w:tc>
        <w:tc>
          <w:tcPr>
            <w:tcW w:w="120" w:type="dxa"/>
            <w:vAlign w:val="bottom"/>
            <w:tcBorders>
              <w:bottom w:val="single" w:sz="8" w:color="CFF0FC"/>
            </w:tcBorders>
          </w:tcPr>
          <w:p>
            <w:pPr>
              <w:spacing w:after="0"/>
              <w:rPr>
                <w:sz w:val="9"/>
                <w:szCs w:val="9"/>
                <w:color w:val="auto"/>
              </w:rPr>
            </w:pPr>
          </w:p>
        </w:tc>
        <w:tc>
          <w:tcPr>
            <w:tcW w:w="140" w:type="dxa"/>
            <w:vAlign w:val="bottom"/>
            <w:tcBorders>
              <w:bottom w:val="single" w:sz="8" w:color="CFF0FC"/>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right"/>
              <w:ind w:right="224"/>
              <w:spacing w:after="0" w:line="114" w:lineRule="exact"/>
              <w:rPr>
                <w:sz w:val="20"/>
                <w:szCs w:val="20"/>
                <w:color w:val="auto"/>
              </w:rPr>
            </w:pPr>
            <w:r>
              <w:rPr>
                <w:rFonts w:ascii="Arial" w:cs="Arial" w:eastAsia="Arial" w:hAnsi="Arial"/>
                <w:sz w:val="10"/>
                <w:szCs w:val="10"/>
                <w:b w:val="1"/>
                <w:bCs w:val="1"/>
                <w:color w:val="auto"/>
              </w:rPr>
              <w:t>Towers</w:t>
            </w:r>
          </w:p>
        </w:tc>
        <w:tc>
          <w:tcPr>
            <w:tcW w:w="34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jc w:val="right"/>
              <w:ind w:right="22"/>
              <w:spacing w:after="0" w:line="114" w:lineRule="exact"/>
              <w:rPr>
                <w:sz w:val="20"/>
                <w:szCs w:val="20"/>
                <w:color w:val="auto"/>
              </w:rPr>
            </w:pPr>
            <w:r>
              <w:rPr>
                <w:rFonts w:ascii="Arial" w:cs="Arial" w:eastAsia="Arial" w:hAnsi="Arial"/>
                <w:sz w:val="10"/>
                <w:szCs w:val="10"/>
                <w:b w:val="1"/>
                <w:bCs w:val="1"/>
                <w:color w:val="auto"/>
                <w:w w:val="90"/>
              </w:rPr>
              <w:t>Consumer CLEC</w:t>
            </w:r>
          </w:p>
        </w:tc>
        <w:tc>
          <w:tcPr>
            <w:tcW w:w="260" w:type="dxa"/>
            <w:vAlign w:val="bottom"/>
            <w:tcBorders>
              <w:bottom w:val="single" w:sz="8" w:color="CFF0FC"/>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right"/>
              <w:ind w:right="182"/>
              <w:spacing w:after="0" w:line="114" w:lineRule="exact"/>
              <w:rPr>
                <w:sz w:val="20"/>
                <w:szCs w:val="20"/>
                <w:color w:val="auto"/>
              </w:rPr>
            </w:pPr>
            <w:r>
              <w:rPr>
                <w:rFonts w:ascii="Arial" w:cs="Arial" w:eastAsia="Arial" w:hAnsi="Arial"/>
                <w:sz w:val="10"/>
                <w:szCs w:val="10"/>
                <w:b w:val="1"/>
                <w:bCs w:val="1"/>
                <w:color w:val="auto"/>
              </w:rPr>
              <w:t>Corporate</w:t>
            </w:r>
          </w:p>
        </w:tc>
        <w:tc>
          <w:tcPr>
            <w:tcW w:w="16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jc w:val="center"/>
              <w:ind w:right="22"/>
              <w:spacing w:after="0" w:line="114" w:lineRule="exact"/>
              <w:rPr>
                <w:sz w:val="20"/>
                <w:szCs w:val="20"/>
                <w:color w:val="auto"/>
              </w:rPr>
            </w:pPr>
            <w:r>
              <w:rPr>
                <w:rFonts w:ascii="Arial" w:cs="Arial" w:eastAsia="Arial" w:hAnsi="Arial"/>
                <w:sz w:val="10"/>
                <w:szCs w:val="10"/>
                <w:b w:val="1"/>
                <w:bCs w:val="1"/>
                <w:color w:val="auto"/>
                <w:w w:val="83"/>
              </w:rPr>
              <w:t>Segments</w:t>
            </w:r>
          </w:p>
        </w:tc>
        <w:tc>
          <w:tcPr>
            <w:tcW w:w="220" w:type="dxa"/>
            <w:vAlign w:val="bottom"/>
            <w:tcBorders>
              <w:bottom w:val="single" w:sz="8" w:color="CFF0FC"/>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100" w:type="dxa"/>
            <w:vAlign w:val="bottom"/>
            <w:shd w:val="clear" w:color="auto" w:fill="CFF0FC"/>
          </w:tcPr>
          <w:p>
            <w:pPr>
              <w:spacing w:after="0"/>
              <w:rPr>
                <w:sz w:val="20"/>
                <w:szCs w:val="20"/>
                <w:color w:val="auto"/>
              </w:rPr>
            </w:pPr>
            <w:r>
              <w:rPr>
                <w:rFonts w:ascii="Arial" w:cs="Arial" w:eastAsia="Arial" w:hAnsi="Arial"/>
                <w:sz w:val="12"/>
                <w:szCs w:val="12"/>
                <w:color w:val="auto"/>
              </w:rPr>
              <w:t>Revenues</w:t>
            </w:r>
          </w:p>
        </w:tc>
        <w:tc>
          <w:tcPr>
            <w:tcW w:w="280" w:type="dxa"/>
            <w:vAlign w:val="bottom"/>
            <w:gridSpan w:val="4"/>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8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676,868</w:t>
            </w:r>
          </w:p>
        </w:tc>
        <w:tc>
          <w:tcPr>
            <w:tcW w:w="140" w:type="dxa"/>
            <w:vAlign w:val="bottom"/>
            <w:shd w:val="clear" w:color="auto" w:fill="CFF0FC"/>
          </w:tcPr>
          <w:p>
            <w:pPr>
              <w:spacing w:after="0"/>
              <w:rPr>
                <w:sz w:val="12"/>
                <w:szCs w:val="12"/>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1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70,568</w:t>
            </w:r>
          </w:p>
        </w:tc>
        <w:tc>
          <w:tcPr>
            <w:tcW w:w="120" w:type="dxa"/>
            <w:vAlign w:val="bottom"/>
            <w:shd w:val="clear" w:color="auto" w:fill="CFF0FC"/>
          </w:tcPr>
          <w:p>
            <w:pPr>
              <w:spacing w:after="0"/>
              <w:rPr>
                <w:sz w:val="12"/>
                <w:szCs w:val="12"/>
                <w:color w:val="auto"/>
              </w:rPr>
            </w:pP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500</w:t>
            </w:r>
          </w:p>
        </w:tc>
        <w:tc>
          <w:tcPr>
            <w:tcW w:w="340" w:type="dxa"/>
            <w:vAlign w:val="bottom"/>
            <w:shd w:val="clear" w:color="auto" w:fill="CFF0FC"/>
          </w:tcPr>
          <w:p>
            <w:pPr>
              <w:spacing w:after="0"/>
              <w:rPr>
                <w:sz w:val="12"/>
                <w:szCs w:val="12"/>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22,472</w:t>
            </w:r>
          </w:p>
        </w:tc>
        <w:tc>
          <w:tcPr>
            <w:tcW w:w="42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60" w:type="dxa"/>
            <w:vAlign w:val="bottom"/>
            <w:shd w:val="clear" w:color="auto" w:fill="CFF0FC"/>
          </w:tcPr>
          <w:p>
            <w:pPr>
              <w:spacing w:after="0"/>
              <w:rPr>
                <w:sz w:val="12"/>
                <w:szCs w:val="12"/>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770,408</w:t>
            </w:r>
          </w:p>
        </w:tc>
        <w:tc>
          <w:tcPr>
            <w:tcW w:w="2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100" w:type="dxa"/>
            <w:vAlign w:val="bottom"/>
          </w:tcPr>
          <w:p>
            <w:pPr>
              <w:spacing w:after="0"/>
              <w:rPr>
                <w:sz w:val="13"/>
                <w:szCs w:val="13"/>
                <w:color w:val="auto"/>
              </w:rPr>
            </w:pPr>
          </w:p>
        </w:tc>
        <w:tc>
          <w:tcPr>
            <w:tcW w:w="12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gridSpan w:val="2"/>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80" w:type="dxa"/>
            <w:vAlign w:val="bottom"/>
            <w:gridSpan w:val="2"/>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gridSpan w:val="2"/>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20" w:type="dxa"/>
            <w:vAlign w:val="bottom"/>
            <w:gridSpan w:val="2"/>
          </w:tcPr>
          <w:p>
            <w:pPr>
              <w:spacing w:after="0"/>
              <w:rPr>
                <w:sz w:val="13"/>
                <w:szCs w:val="13"/>
                <w:color w:val="auto"/>
              </w:rPr>
            </w:pPr>
          </w:p>
        </w:tc>
        <w:tc>
          <w:tcPr>
            <w:tcW w:w="900" w:type="dxa"/>
            <w:vAlign w:val="bottom"/>
            <w:gridSpan w:val="2"/>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280" w:type="dxa"/>
            <w:vAlign w:val="bottom"/>
            <w:gridSpan w:val="4"/>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8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675,114</w:t>
            </w:r>
          </w:p>
        </w:tc>
        <w:tc>
          <w:tcPr>
            <w:tcW w:w="140" w:type="dxa"/>
            <w:vAlign w:val="bottom"/>
            <w:shd w:val="clear" w:color="auto" w:fill="CFF0FC"/>
          </w:tcPr>
          <w:p>
            <w:pPr>
              <w:spacing w:after="0"/>
              <w:rPr>
                <w:sz w:val="13"/>
                <w:szCs w:val="13"/>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1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25,912</w:t>
            </w:r>
          </w:p>
        </w:tc>
        <w:tc>
          <w:tcPr>
            <w:tcW w:w="120" w:type="dxa"/>
            <w:vAlign w:val="bottom"/>
            <w:shd w:val="clear" w:color="auto" w:fill="CFF0FC"/>
          </w:tcPr>
          <w:p>
            <w:pPr>
              <w:spacing w:after="0"/>
              <w:rPr>
                <w:sz w:val="13"/>
                <w:szCs w:val="13"/>
                <w:color w:val="auto"/>
              </w:rPr>
            </w:pP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1080" w:type="dxa"/>
            <w:vAlign w:val="bottom"/>
            <w:gridSpan w:val="2"/>
            <w:shd w:val="clear" w:color="auto" w:fill="CFF0FC"/>
          </w:tcPr>
          <w:p>
            <w:pPr>
              <w:jc w:val="right"/>
              <w:ind w:right="300"/>
              <w:spacing w:after="0"/>
              <w:rPr>
                <w:sz w:val="20"/>
                <w:szCs w:val="20"/>
                <w:color w:val="auto"/>
              </w:rPr>
            </w:pPr>
            <w:r>
              <w:rPr>
                <w:rFonts w:ascii="Arial" w:cs="Arial" w:eastAsia="Arial" w:hAnsi="Arial"/>
                <w:sz w:val="12"/>
                <w:szCs w:val="12"/>
                <w:color w:val="auto"/>
              </w:rPr>
              <w:t>(1,123)</w:t>
            </w: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5,074</w:t>
            </w:r>
          </w:p>
        </w:tc>
        <w:tc>
          <w:tcPr>
            <w:tcW w:w="42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90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(14,793)</w:t>
            </w: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690,184</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spacing w:after="0"/>
              <w:rPr>
                <w:sz w:val="20"/>
                <w:szCs w:val="20"/>
                <w:color w:val="auto"/>
              </w:rPr>
            </w:pPr>
            <w:r>
              <w:rPr>
                <w:rFonts w:ascii="Arial" w:cs="Arial" w:eastAsia="Arial" w:hAnsi="Arial"/>
                <w:sz w:val="12"/>
                <w:szCs w:val="12"/>
                <w:color w:val="auto"/>
              </w:rPr>
              <w:t>Adjusted EBITDA margin</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gridSpan w:val="2"/>
          </w:tcPr>
          <w:p>
            <w:pPr>
              <w:jc w:val="right"/>
              <w:spacing w:after="0"/>
              <w:rPr>
                <w:sz w:val="20"/>
                <w:szCs w:val="20"/>
                <w:color w:val="auto"/>
              </w:rPr>
            </w:pPr>
            <w:r>
              <w:rPr>
                <w:rFonts w:ascii="Arial" w:cs="Arial" w:eastAsia="Arial" w:hAnsi="Arial"/>
                <w:sz w:val="12"/>
                <w:szCs w:val="12"/>
                <w:color w:val="auto"/>
              </w:rPr>
              <w:t>99.7%</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2"/>
                <w:szCs w:val="12"/>
                <w:color w:val="auto"/>
              </w:rPr>
              <w:t>36.7%</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(224.6%)</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22.6%</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89.6%</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spacing w:after="0"/>
              <w:rPr>
                <w:sz w:val="20"/>
                <w:szCs w:val="20"/>
                <w:color w:val="auto"/>
              </w:rPr>
            </w:pPr>
            <w:r>
              <w:rPr>
                <w:rFonts w:ascii="Arial" w:cs="Arial" w:eastAsia="Arial" w:hAnsi="Arial"/>
                <w:sz w:val="12"/>
                <w:szCs w:val="12"/>
                <w:color w:val="auto"/>
              </w:rPr>
              <w:t>Less:</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ind w:left="80"/>
              <w:spacing w:after="0"/>
              <w:rPr>
                <w:sz w:val="20"/>
                <w:szCs w:val="20"/>
                <w:color w:val="auto"/>
              </w:rPr>
            </w:pPr>
            <w:r>
              <w:rPr>
                <w:rFonts w:ascii="Arial" w:cs="Arial" w:eastAsia="Arial" w:hAnsi="Arial"/>
                <w:sz w:val="12"/>
                <w:szCs w:val="12"/>
                <w:color w:val="auto"/>
              </w:rPr>
              <w:t>Interest expense, net</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275,394</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ind w:left="80"/>
              <w:spacing w:after="0"/>
              <w:rPr>
                <w:sz w:val="20"/>
                <w:szCs w:val="20"/>
                <w:color w:val="auto"/>
              </w:rPr>
            </w:pPr>
            <w:r>
              <w:rPr>
                <w:rFonts w:ascii="Arial" w:cs="Arial" w:eastAsia="Arial" w:hAnsi="Arial"/>
                <w:sz w:val="12"/>
                <w:szCs w:val="12"/>
                <w:color w:val="auto"/>
              </w:rPr>
              <w:t>Depreciation and amortization</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82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343,368</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1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28,629</w:t>
            </w: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337</w:t>
            </w: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3,258</w:t>
            </w: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378</w:t>
            </w: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375,970</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ind w:left="80"/>
              <w:spacing w:after="0"/>
              <w:rPr>
                <w:sz w:val="20"/>
                <w:szCs w:val="20"/>
                <w:color w:val="auto"/>
              </w:rPr>
            </w:pPr>
            <w:r>
              <w:rPr>
                <w:rFonts w:ascii="Arial" w:cs="Arial" w:eastAsia="Arial" w:hAnsi="Arial"/>
                <w:sz w:val="12"/>
                <w:szCs w:val="12"/>
                <w:color w:val="auto"/>
              </w:rPr>
              <w:t>Other expense</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33,669</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tcPr>
          <w:p>
            <w:pPr>
              <w:ind w:left="80"/>
              <w:spacing w:after="0"/>
              <w:rPr>
                <w:sz w:val="20"/>
                <w:szCs w:val="20"/>
                <w:color w:val="auto"/>
              </w:rPr>
            </w:pPr>
            <w:r>
              <w:rPr>
                <w:rFonts w:ascii="Arial" w:cs="Arial" w:eastAsia="Arial" w:hAnsi="Arial"/>
                <w:sz w:val="12"/>
                <w:szCs w:val="12"/>
                <w:color w:val="auto"/>
              </w:rPr>
              <w:t>Stock-based compensation</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4,846</w:t>
            </w: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100" w:type="dxa"/>
            <w:vAlign w:val="bottom"/>
            <w:shd w:val="clear" w:color="auto" w:fill="CFF0FC"/>
          </w:tcPr>
          <w:p>
            <w:pPr>
              <w:ind w:left="80"/>
              <w:spacing w:after="0"/>
              <w:rPr>
                <w:sz w:val="20"/>
                <w:szCs w:val="20"/>
                <w:color w:val="auto"/>
              </w:rPr>
            </w:pPr>
            <w:r>
              <w:rPr>
                <w:rFonts w:ascii="Arial" w:cs="Arial" w:eastAsia="Arial" w:hAnsi="Arial"/>
                <w:sz w:val="12"/>
                <w:szCs w:val="12"/>
                <w:color w:val="auto"/>
              </w:rPr>
              <w:t>Income tax expense</w:t>
            </w:r>
          </w:p>
        </w:tc>
        <w:tc>
          <w:tcPr>
            <w:tcW w:w="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tcBorders>
              <w:bottom w:val="single" w:sz="8" w:color="auto"/>
            </w:tcBorders>
            <w:shd w:val="clear" w:color="auto" w:fill="CFF0FC"/>
          </w:tcPr>
          <w:p>
            <w:pPr>
              <w:spacing w:after="0"/>
              <w:rPr>
                <w:sz w:val="13"/>
                <w:szCs w:val="13"/>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517</w:t>
            </w:r>
          </w:p>
        </w:tc>
        <w:tc>
          <w:tcPr>
            <w:tcW w:w="2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4100" w:type="dxa"/>
            <w:vAlign w:val="bottom"/>
          </w:tcPr>
          <w:p>
            <w:pPr>
              <w:spacing w:after="0"/>
              <w:rPr>
                <w:sz w:val="20"/>
                <w:szCs w:val="20"/>
                <w:color w:val="auto"/>
              </w:rPr>
            </w:pPr>
            <w:r>
              <w:rPr>
                <w:rFonts w:ascii="Arial" w:cs="Arial" w:eastAsia="Arial" w:hAnsi="Arial"/>
                <w:sz w:val="12"/>
                <w:szCs w:val="12"/>
                <w:color w:val="auto"/>
              </w:rPr>
              <w:t>Net loss</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gridSpan w:val="2"/>
          </w:tcPr>
          <w:p>
            <w:pPr>
              <w:jc w:val="right"/>
              <w:ind w:right="1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27"/>
        </w:trPr>
        <w:tc>
          <w:tcPr>
            <w:tcW w:w="410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Revenues</w:t>
      </w:r>
    </w:p>
    <w:p>
      <w:pPr>
        <w:spacing w:after="0" w:line="150" w:lineRule="exact"/>
        <w:rPr>
          <w:sz w:val="20"/>
          <w:szCs w:val="20"/>
          <w:color w:val="auto"/>
        </w:rPr>
      </w:pPr>
    </w:p>
    <w:p>
      <w:pPr>
        <w:jc w:val="both"/>
        <w:ind w:right="140"/>
        <w:spacing w:after="0" w:line="263" w:lineRule="auto"/>
        <w:rPr>
          <w:sz w:val="20"/>
          <w:szCs w:val="20"/>
          <w:color w:val="auto"/>
        </w:rPr>
      </w:pPr>
      <w:r>
        <w:rPr>
          <w:rFonts w:ascii="Arial" w:cs="Arial" w:eastAsia="Arial" w:hAnsi="Arial"/>
          <w:sz w:val="12"/>
          <w:szCs w:val="12"/>
          <w:i w:val="1"/>
          <w:iCs w:val="1"/>
          <w:u w:val="single" w:color="auto"/>
          <w:color w:val="auto"/>
        </w:rPr>
        <w:t>Leasing</w:t>
      </w:r>
      <w:r>
        <w:rPr>
          <w:rFonts w:ascii="Arial" w:cs="Arial" w:eastAsia="Arial" w:hAnsi="Arial"/>
          <w:sz w:val="12"/>
          <w:szCs w:val="12"/>
          <w:i w:val="1"/>
          <w:iCs w:val="1"/>
          <w:color w:val="auto"/>
        </w:rPr>
        <w:t xml:space="preserve"> </w:t>
      </w:r>
      <w:r>
        <w:rPr>
          <w:rFonts w:ascii="Arial" w:cs="Arial" w:eastAsia="Arial" w:hAnsi="Arial"/>
          <w:sz w:val="12"/>
          <w:szCs w:val="12"/>
          <w:color w:val="auto"/>
        </w:rPr>
        <w:t>– For the year ended December 31, 2017, we recognized $685.1 million of revenue under the Master Lease, which included $14.3 million of TCI revenue. For the year ended December 31, 2016, we recognized $677.4 million of</w:t>
      </w:r>
      <w:r>
        <w:rPr>
          <w:rFonts w:ascii="Arial" w:cs="Arial" w:eastAsia="Arial" w:hAnsi="Arial"/>
          <w:sz w:val="12"/>
          <w:szCs w:val="12"/>
          <w:i w:val="1"/>
          <w:iCs w:val="1"/>
          <w:color w:val="auto"/>
        </w:rPr>
        <w:t xml:space="preserve"> </w:t>
      </w:r>
      <w:r>
        <w:rPr>
          <w:rFonts w:ascii="Arial" w:cs="Arial" w:eastAsia="Arial" w:hAnsi="Arial"/>
          <w:sz w:val="12"/>
          <w:szCs w:val="12"/>
          <w:color w:val="auto"/>
        </w:rPr>
        <w:t>revenue under the Master Lease, which included $6.1 million of TCI revenue. The increase in TCI revenue is attributable to increased investment by Windstream in TCIs. Windstream invested $228 million in TCIs during the year ended December 31, 2017, an increase from $157 million it invested in TCIs during the year ended December 31, 2016.</w:t>
      </w:r>
    </w:p>
    <w:p>
      <w:pPr>
        <w:spacing w:after="0" w:line="123" w:lineRule="exact"/>
        <w:rPr>
          <w:sz w:val="20"/>
          <w:szCs w:val="20"/>
          <w:color w:val="auto"/>
        </w:rPr>
      </w:pPr>
    </w:p>
    <w:p>
      <w:pPr>
        <w:ind w:right="80"/>
        <w:spacing w:after="0" w:line="298" w:lineRule="auto"/>
        <w:rPr>
          <w:sz w:val="20"/>
          <w:szCs w:val="20"/>
          <w:color w:val="auto"/>
        </w:rPr>
      </w:pPr>
      <w:r>
        <w:rPr>
          <w:rFonts w:ascii="Arial" w:cs="Arial" w:eastAsia="Arial" w:hAnsi="Arial"/>
          <w:sz w:val="11"/>
          <w:szCs w:val="11"/>
          <w:i w:val="1"/>
          <w:iCs w:val="1"/>
          <w:u w:val="single" w:color="auto"/>
          <w:color w:val="auto"/>
        </w:rPr>
        <w:t>Fiber Infrastructure</w:t>
      </w:r>
      <w:r>
        <w:rPr>
          <w:rFonts w:ascii="Arial" w:cs="Arial" w:eastAsia="Arial" w:hAnsi="Arial"/>
          <w:sz w:val="11"/>
          <w:szCs w:val="11"/>
          <w:i w:val="1"/>
          <w:iCs w:val="1"/>
          <w:color w:val="auto"/>
        </w:rPr>
        <w:t xml:space="preserve"> </w:t>
      </w:r>
      <w:r>
        <w:rPr>
          <w:rFonts w:ascii="Arial" w:cs="Arial" w:eastAsia="Arial" w:hAnsi="Arial"/>
          <w:sz w:val="11"/>
          <w:szCs w:val="11"/>
          <w:color w:val="auto"/>
        </w:rPr>
        <w:t>– In our Fiber Infrastructure segment, we recognized $202.8 million of revenue for the year ended December 31, 2017, of which approximately 55.1% was derived from lit backhaul services, approximately 20.6% was</w:t>
      </w:r>
      <w:r>
        <w:rPr>
          <w:rFonts w:ascii="Arial" w:cs="Arial" w:eastAsia="Arial" w:hAnsi="Arial"/>
          <w:sz w:val="11"/>
          <w:szCs w:val="11"/>
          <w:i w:val="1"/>
          <w:iCs w:val="1"/>
          <w:color w:val="auto"/>
        </w:rPr>
        <w:t xml:space="preserve"> </w:t>
      </w:r>
      <w:r>
        <w:rPr>
          <w:rFonts w:ascii="Arial" w:cs="Arial" w:eastAsia="Arial" w:hAnsi="Arial"/>
          <w:sz w:val="11"/>
          <w:szCs w:val="11"/>
          <w:color w:val="auto"/>
        </w:rPr>
        <w:t>derived from internet and voice revenue, approximately 11.3% was derived from construction revenue and approximately 13.0% was derived from other services. For the year ended December 31, 2016, we recognized $70.6 million of revenue in the Fiber Infrastructure segment, approximately 78% of which was derived from lit backhaul services. The revenue increase is primarily driven by the timing of the acquisitions of PEG Bandwidth,</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40" w:name="page41"/>
    <w:bookmarkEnd w:id="4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LLC (“PEG” or “PEG Bandwidth”), Tower Cloud Inc. (“Tower Cloud”), Southern Light and Hunt. At December 31, 2017, we had approximately 16,750 customer connections, up from 5,450 customer connections at December 31, 2016.</w:t>
      </w:r>
    </w:p>
    <w:p>
      <w:pPr>
        <w:spacing w:after="0" w:line="26" w:lineRule="exact"/>
        <w:rPr>
          <w:sz w:val="20"/>
          <w:szCs w:val="20"/>
          <w:color w:val="auto"/>
        </w:rPr>
      </w:pPr>
    </w:p>
    <w:p>
      <w:pPr>
        <w:spacing w:after="0"/>
        <w:rPr>
          <w:sz w:val="20"/>
          <w:szCs w:val="20"/>
          <w:color w:val="auto"/>
        </w:rPr>
      </w:pPr>
      <w:r>
        <w:rPr>
          <w:rFonts w:ascii="Arial" w:cs="Arial" w:eastAsia="Arial" w:hAnsi="Arial"/>
          <w:sz w:val="12"/>
          <w:szCs w:val="12"/>
          <w:color w:val="auto"/>
        </w:rPr>
        <w:t>The increase is primarily attributable to the July 3, 2017 acquisitions of Southern Light and Hunt.</w:t>
      </w:r>
    </w:p>
    <w:p>
      <w:pPr>
        <w:spacing w:after="0" w:line="141" w:lineRule="exact"/>
        <w:rPr>
          <w:sz w:val="20"/>
          <w:szCs w:val="20"/>
          <w:color w:val="auto"/>
        </w:rPr>
      </w:pPr>
    </w:p>
    <w:p>
      <w:pPr>
        <w:ind w:right="120"/>
        <w:spacing w:after="0" w:line="276" w:lineRule="auto"/>
        <w:rPr>
          <w:sz w:val="20"/>
          <w:szCs w:val="20"/>
          <w:color w:val="auto"/>
        </w:rPr>
      </w:pPr>
      <w:r>
        <w:rPr>
          <w:rFonts w:ascii="Arial" w:cs="Arial" w:eastAsia="Arial" w:hAnsi="Arial"/>
          <w:sz w:val="12"/>
          <w:szCs w:val="12"/>
          <w:i w:val="1"/>
          <w:iCs w:val="1"/>
          <w:u w:val="single" w:color="auto"/>
          <w:color w:val="auto"/>
        </w:rPr>
        <w:t>Towers</w:t>
      </w:r>
      <w:r>
        <w:rPr>
          <w:rFonts w:ascii="Arial" w:cs="Arial" w:eastAsia="Arial" w:hAnsi="Arial"/>
          <w:sz w:val="12"/>
          <w:szCs w:val="12"/>
          <w:i w:val="1"/>
          <w:iCs w:val="1"/>
          <w:color w:val="auto"/>
        </w:rPr>
        <w:t xml:space="preserve"> </w:t>
      </w:r>
      <w:r>
        <w:rPr>
          <w:rFonts w:ascii="Arial" w:cs="Arial" w:eastAsia="Arial" w:hAnsi="Arial"/>
          <w:sz w:val="12"/>
          <w:szCs w:val="12"/>
          <w:color w:val="auto"/>
        </w:rPr>
        <w:t>– For the year ended December 31, 2017, we recognized $10.1 million of revenue in our Towers segment, of which $7.5 million relates to our Latin American operations, primarily driven by revenues associated with our January</w:t>
      </w:r>
      <w:r>
        <w:rPr>
          <w:rFonts w:ascii="Arial" w:cs="Arial" w:eastAsia="Arial" w:hAnsi="Arial"/>
          <w:sz w:val="12"/>
          <w:szCs w:val="12"/>
          <w:i w:val="1"/>
          <w:iCs w:val="1"/>
          <w:color w:val="auto"/>
        </w:rPr>
        <w:t xml:space="preserve"> </w:t>
      </w:r>
      <w:r>
        <w:rPr>
          <w:rFonts w:ascii="Arial" w:cs="Arial" w:eastAsia="Arial" w:hAnsi="Arial"/>
          <w:sz w:val="12"/>
          <w:szCs w:val="12"/>
          <w:color w:val="auto"/>
        </w:rPr>
        <w:t>2017 acquisition of NMS.</w:t>
      </w:r>
    </w:p>
    <w:p>
      <w:pPr>
        <w:spacing w:after="0" w:line="115" w:lineRule="exact"/>
        <w:rPr>
          <w:sz w:val="20"/>
          <w:szCs w:val="20"/>
          <w:color w:val="auto"/>
        </w:rPr>
      </w:pPr>
    </w:p>
    <w:p>
      <w:pPr>
        <w:ind w:right="380"/>
        <w:spacing w:after="0" w:line="276" w:lineRule="auto"/>
        <w:rPr>
          <w:sz w:val="20"/>
          <w:szCs w:val="20"/>
          <w:color w:val="auto"/>
        </w:rPr>
      </w:pPr>
      <w:r>
        <w:rPr>
          <w:rFonts w:ascii="Arial" w:cs="Arial" w:eastAsia="Arial" w:hAnsi="Arial"/>
          <w:sz w:val="12"/>
          <w:szCs w:val="12"/>
          <w:color w:val="auto"/>
        </w:rPr>
        <w:t>At December 31, 2017, the Uniti Towers’ portfolio consisted of 227 wireless communications towers located in 20 states across the eastern and central regions of the United States, and 440 wireless communications towers in Latin America.</w:t>
      </w:r>
    </w:p>
    <w:p>
      <w:pPr>
        <w:spacing w:after="0" w:line="115" w:lineRule="exact"/>
        <w:rPr>
          <w:sz w:val="20"/>
          <w:szCs w:val="20"/>
          <w:color w:val="auto"/>
        </w:rPr>
      </w:pPr>
    </w:p>
    <w:p>
      <w:pPr>
        <w:ind w:right="20"/>
        <w:spacing w:after="0" w:line="263" w:lineRule="auto"/>
        <w:rPr>
          <w:sz w:val="20"/>
          <w:szCs w:val="20"/>
          <w:color w:val="auto"/>
        </w:rPr>
      </w:pPr>
      <w:r>
        <w:rPr>
          <w:rFonts w:ascii="Arial" w:cs="Arial" w:eastAsia="Arial" w:hAnsi="Arial"/>
          <w:sz w:val="12"/>
          <w:szCs w:val="12"/>
          <w:i w:val="1"/>
          <w:iCs w:val="1"/>
          <w:u w:val="single" w:color="auto"/>
          <w:color w:val="auto"/>
        </w:rPr>
        <w:t>Consumer CLEC</w:t>
      </w:r>
      <w:r>
        <w:rPr>
          <w:rFonts w:ascii="Arial" w:cs="Arial" w:eastAsia="Arial" w:hAnsi="Arial"/>
          <w:sz w:val="12"/>
          <w:szCs w:val="12"/>
          <w:i w:val="1"/>
          <w:iCs w:val="1"/>
          <w:color w:val="auto"/>
        </w:rPr>
        <w:t xml:space="preserve"> </w:t>
      </w:r>
      <w:r>
        <w:rPr>
          <w:rFonts w:ascii="Arial" w:cs="Arial" w:eastAsia="Arial" w:hAnsi="Arial"/>
          <w:sz w:val="12"/>
          <w:szCs w:val="12"/>
          <w:color w:val="auto"/>
        </w:rPr>
        <w:t>– For the year ended December 31, 2017, we recognized $18.1 million of revenue from the Consumer CLEC Business, compared to $22.5 million for the year ended December 31, 2016. The decrease is primarily</w:t>
      </w:r>
      <w:r>
        <w:rPr>
          <w:rFonts w:ascii="Arial" w:cs="Arial" w:eastAsia="Arial" w:hAnsi="Arial"/>
          <w:sz w:val="12"/>
          <w:szCs w:val="12"/>
          <w:i w:val="1"/>
          <w:iCs w:val="1"/>
          <w:color w:val="auto"/>
        </w:rPr>
        <w:t xml:space="preserve"> </w:t>
      </w:r>
      <w:r>
        <w:rPr>
          <w:rFonts w:ascii="Arial" w:cs="Arial" w:eastAsia="Arial" w:hAnsi="Arial"/>
          <w:sz w:val="12"/>
          <w:szCs w:val="12"/>
          <w:color w:val="auto"/>
        </w:rPr>
        <w:t>attributable to a loss of customers during the period. We served approximately 28,500 customers as of December 31, 2017, a 23% decrease from 37,000 at December 31, 2016. The decrease in customers is due to the effects of competition and customer attrition.</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Interest Expense, net</w:t>
      </w:r>
    </w:p>
    <w:p>
      <w:pPr>
        <w:spacing w:after="0" w:line="150" w:lineRule="exact"/>
        <w:rPr>
          <w:sz w:val="20"/>
          <w:szCs w:val="20"/>
          <w:color w:val="auto"/>
        </w:rPr>
      </w:pPr>
    </w:p>
    <w:p>
      <w:pPr>
        <w:ind w:right="80"/>
        <w:spacing w:after="0" w:line="320" w:lineRule="auto"/>
        <w:rPr>
          <w:sz w:val="20"/>
          <w:szCs w:val="20"/>
          <w:color w:val="auto"/>
        </w:rPr>
      </w:pPr>
      <w:r>
        <w:rPr>
          <w:rFonts w:ascii="Arial" w:cs="Arial" w:eastAsia="Arial" w:hAnsi="Arial"/>
          <w:sz w:val="10"/>
          <w:szCs w:val="10"/>
          <w:color w:val="auto"/>
        </w:rPr>
        <w:t>Interest expense for the year ended December 31, 2017, totaled $306.0 million, which includes non-cash interest expense of $23.1 million resulting from the amortization of our debt discounts and debt issuance costs. Interest expense for the year ended December 31, 2016, totaled $275.4 million, which includes non-cash interest expense of $16.0 million resulting from the amortization of our debt discounts and debt issuance costs. The increase is primarily related to interest expense on the additional $150 million aggregate principal amount of 6.00% Senior Secured Notes issued on June 16, 2016 as an add-on to the Company’s existing senior secured notes (the “add-on Secured Notes”) and the 2024 Notes of $41 million. This increase was partially offset by approximately $19 million of interest savings related to the repricing of $2.1 billion of term loans outstanding under our senior secured credit agreement. Effective February 9, 2017, interest on the term loans was LIBOR plus 3.00% per annum (with a minimum LIBOR rate of 1.0%), compared to LIBOR plus 4.0% per annum (with a minimum LIBOR rate of 1.0%) for the year ended December 31, 2016.</w:t>
      </w:r>
    </w:p>
    <w:p>
      <w:pPr>
        <w:spacing w:after="0" w:line="98"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Depreciation and Amortization Expense</w:t>
      </w:r>
    </w:p>
    <w:p>
      <w:pPr>
        <w:spacing w:after="0" w:line="150"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We incur depreciation and amortization expense related to our property, plant and equipment, corporate assets and intangible assets. Charges for depreciation and amortization for the year ended December 31, 2017 totaled $434.2 million (47.4% of revenue), which included property, plant and equipment depreciation of $415.9 million and intangible asset amortization of $18.3 million. Charges for depreciation and amortization for the year ended December 31, 2016 totaled $376.0 million (48.8% of revenue), which included property, plant and equipment depreciation of $369.9 million and intangible asset amortization of $6.1 million. The increase is primarily driven by the timing of the acquisitions of PEG, Tower Cloud, Southern Light and Hunt.</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General and Administrative Expense</w:t>
      </w:r>
    </w:p>
    <w:p>
      <w:pPr>
        <w:spacing w:after="0" w:line="150" w:lineRule="exact"/>
        <w:rPr>
          <w:sz w:val="20"/>
          <w:szCs w:val="20"/>
          <w:color w:val="auto"/>
        </w:rPr>
      </w:pPr>
    </w:p>
    <w:p>
      <w:pPr>
        <w:jc w:val="both"/>
        <w:ind w:right="260"/>
        <w:spacing w:after="0" w:line="290" w:lineRule="auto"/>
        <w:rPr>
          <w:sz w:val="20"/>
          <w:szCs w:val="20"/>
          <w:color w:val="auto"/>
        </w:rPr>
      </w:pPr>
      <w:r>
        <w:rPr>
          <w:rFonts w:ascii="Arial" w:cs="Arial" w:eastAsia="Arial" w:hAnsi="Arial"/>
          <w:sz w:val="11"/>
          <w:szCs w:val="11"/>
          <w:color w:val="auto"/>
        </w:rPr>
        <w:t>General and administrative expenses include compensation costs (including stock-based compensation awards), professional and legal services, corporate office costs and other costs associated with the administrative activities of our segments. For the year ended December 31, 2017, general and administrative costs totaled $72.0 million (7.9% of revenue), which includes $7.7 million of stock-based compensation expense. For the year ended December 31, 2016, general and administrative costs totaled $35.4 million (4.6% of revenue), which includes $4.8 million of stock-based compensation expense. The increase is primarily driven by the timing of the acquisitions of PEG and Tower Cloud, which closed on May 2, 2016 and August 31, 2016, respectively, as well as the acquisitions of Southern Light and Hunt that closed on July 3, 2017.</w:t>
      </w:r>
    </w:p>
    <w:p>
      <w:pPr>
        <w:spacing w:after="0" w:line="109"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20"/>
          </w:cols>
          <w:pgMar w:left="220" w:top="131" w:right="259" w:bottom="1440" w:gutter="0" w:footer="0" w:header="0"/>
        </w:sectPr>
      </w:pPr>
    </w:p>
    <w:bookmarkStart w:id="41" w:name="page42"/>
    <w:bookmarkEnd w:id="4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Operating Expense</w:t>
      </w:r>
    </w:p>
    <w:p>
      <w:pPr>
        <w:spacing w:after="0" w:line="150" w:lineRule="exact"/>
        <w:rPr>
          <w:sz w:val="20"/>
          <w:szCs w:val="20"/>
          <w:color w:val="auto"/>
        </w:rPr>
      </w:pPr>
    </w:p>
    <w:p>
      <w:pPr>
        <w:jc w:val="both"/>
        <w:ind w:right="100"/>
        <w:spacing w:after="0" w:line="263" w:lineRule="auto"/>
        <w:rPr>
          <w:sz w:val="20"/>
          <w:szCs w:val="20"/>
          <w:color w:val="auto"/>
        </w:rPr>
      </w:pPr>
      <w:r>
        <w:rPr>
          <w:rFonts w:ascii="Arial" w:cs="Arial" w:eastAsia="Arial" w:hAnsi="Arial"/>
          <w:sz w:val="12"/>
          <w:szCs w:val="12"/>
          <w:color w:val="auto"/>
        </w:rPr>
        <w:t>Operating expense for the year ended December 31, 2017, totaled $102.2 million (11.2% of revenue), and consisted of $83.5 million (9.1% of revenue) of expense related to the Fiber Infrastructure segment operations, $5.1 million (0.6% of revenue) of expense related to the Towers segment operations and $13.5 million (1.5% of revenue) of expense related to the Consumer CLEC Business. For the year ended December 31, 2016, operating expenses totaled $49.7 million (6.4% of revenue), which related to the operation of the Consumer CLEC Business ($17.4 million) and Fiber Infrastructure operations ($32.1 million).</w:t>
      </w:r>
    </w:p>
    <w:p>
      <w:pPr>
        <w:spacing w:after="0" w:line="123" w:lineRule="exact"/>
        <w:rPr>
          <w:sz w:val="20"/>
          <w:szCs w:val="20"/>
          <w:color w:val="auto"/>
        </w:rPr>
      </w:pPr>
    </w:p>
    <w:p>
      <w:pPr>
        <w:ind w:right="120"/>
        <w:spacing w:after="0" w:line="259" w:lineRule="auto"/>
        <w:rPr>
          <w:sz w:val="20"/>
          <w:szCs w:val="20"/>
          <w:color w:val="auto"/>
        </w:rPr>
      </w:pPr>
      <w:r>
        <w:rPr>
          <w:rFonts w:ascii="Arial" w:cs="Arial" w:eastAsia="Arial" w:hAnsi="Arial"/>
          <w:sz w:val="12"/>
          <w:szCs w:val="12"/>
          <w:color w:val="auto"/>
        </w:rPr>
        <w:t>The increase to Fiber Infrastructure operating expense is primarily driven by the timing of the acquisitions of PEG and Tower Cloud, which closed on May 2, 2016 and August 31, 2016, respectively, as well as the acquisition of Southern Light and Hunt that closed on July 3, 2017. For the year ended December 31, 2017, Fiber Infrastructure operating expenses included $21.1 million of construction-related expense, $15.9 million of lit service expense, $11.0 million of tower rent, $10.4 million of maintenance expense, $7.0 million of dark fiber rent and $4.8 million of payroll-related expense. For the year ended December 31, 2016, Fiber Infrastructure operating expenses included $7.0 million of tower rent, $5.3 million of payroll-related expense and $4.3 million of lit service expense.</w:t>
      </w:r>
    </w:p>
    <w:p>
      <w:pPr>
        <w:spacing w:after="0" w:line="125" w:lineRule="exact"/>
        <w:rPr>
          <w:sz w:val="20"/>
          <w:szCs w:val="20"/>
          <w:color w:val="auto"/>
        </w:rPr>
      </w:pPr>
    </w:p>
    <w:p>
      <w:pPr>
        <w:ind w:right="120"/>
        <w:spacing w:after="0" w:line="276" w:lineRule="auto"/>
        <w:rPr>
          <w:sz w:val="20"/>
          <w:szCs w:val="20"/>
          <w:color w:val="auto"/>
        </w:rPr>
      </w:pPr>
      <w:r>
        <w:rPr>
          <w:rFonts w:ascii="Arial" w:cs="Arial" w:eastAsia="Arial" w:hAnsi="Arial"/>
          <w:sz w:val="12"/>
          <w:szCs w:val="12"/>
          <w:color w:val="auto"/>
        </w:rPr>
        <w:t>The increase to Towers operating expense is primarily driven by the timing of the acquisition of NMS, which closed on January 31, 2017. For the year ended December 31, 2017, Tower operating expenses included $3.2 million of tower rent, $0.9 million of site monitoring expenses and $0.2 million of insurance expense.</w:t>
      </w:r>
    </w:p>
    <w:p>
      <w:pPr>
        <w:spacing w:after="0" w:line="115" w:lineRule="exact"/>
        <w:rPr>
          <w:sz w:val="20"/>
          <w:szCs w:val="20"/>
          <w:color w:val="auto"/>
        </w:rPr>
      </w:pPr>
    </w:p>
    <w:p>
      <w:pPr>
        <w:ind w:right="60"/>
        <w:spacing w:after="0" w:line="310" w:lineRule="auto"/>
        <w:rPr>
          <w:sz w:val="20"/>
          <w:szCs w:val="20"/>
          <w:color w:val="auto"/>
        </w:rPr>
      </w:pPr>
      <w:r>
        <w:rPr>
          <w:rFonts w:ascii="Arial" w:cs="Arial" w:eastAsia="Arial" w:hAnsi="Arial"/>
          <w:sz w:val="10"/>
          <w:szCs w:val="10"/>
          <w:color w:val="auto"/>
        </w:rPr>
        <w:t>Expense associated with the Consumer CLEC Business is primarily attributable to the Wholesale Agreement and the Master Services Agreement entered into between us and Windstream in connection with the Spin-Off, and also included costs arising under the interconnection agreements with other telecommunication carriers. Expense associated with the Wholesale Agreement and Master Services Agreement for the year ended December 31, 2017 totaled $10.2 million</w:t>
      </w:r>
    </w:p>
    <w:p>
      <w:pPr>
        <w:spacing w:after="0" w:line="261" w:lineRule="auto"/>
        <w:rPr>
          <w:sz w:val="20"/>
          <w:szCs w:val="20"/>
          <w:color w:val="auto"/>
        </w:rPr>
      </w:pPr>
      <w:r>
        <w:rPr>
          <w:rFonts w:ascii="Arial" w:cs="Arial" w:eastAsia="Arial" w:hAnsi="Arial"/>
          <w:sz w:val="12"/>
          <w:szCs w:val="12"/>
          <w:color w:val="auto"/>
        </w:rPr>
        <w:t>(1.1% of revenue) and $1.3 million (0.1% of revenue), respectively, and expense associated with the Wholesale Agreement and the Master Services Agreement for the year ended December 31, 2016 totaled $12.5 million (1.6% of revenue) and $1.7 million (0.2% of revenue), respectively.</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Other Expense</w:t>
      </w:r>
    </w:p>
    <w:p>
      <w:pPr>
        <w:spacing w:after="0" w:line="168" w:lineRule="exact"/>
        <w:rPr>
          <w:sz w:val="20"/>
          <w:szCs w:val="20"/>
          <w:color w:val="auto"/>
        </w:rPr>
      </w:pPr>
    </w:p>
    <w:p>
      <w:pPr>
        <w:spacing w:after="0"/>
        <w:rPr>
          <w:sz w:val="20"/>
          <w:szCs w:val="20"/>
          <w:color w:val="auto"/>
        </w:rPr>
      </w:pPr>
      <w:r>
        <w:rPr>
          <w:rFonts w:ascii="Arial" w:cs="Arial" w:eastAsia="Arial" w:hAnsi="Arial"/>
          <w:sz w:val="11"/>
          <w:szCs w:val="11"/>
          <w:color w:val="auto"/>
        </w:rPr>
        <w:t>Other expense for the year ended December 31, 2017, totaled $11.3 million (1.2% of revenue), primarily as a result of a net unrealized loss of $10.7 million for mark-to-market adjustments on our contingent consideration arrangements.</w:t>
      </w:r>
    </w:p>
    <w:p>
      <w:pPr>
        <w:spacing w:after="0" w:line="162"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Income Tax (Benefit) Expense</w:t>
      </w:r>
    </w:p>
    <w:p>
      <w:pPr>
        <w:spacing w:after="0" w:line="168" w:lineRule="exact"/>
        <w:rPr>
          <w:sz w:val="20"/>
          <w:szCs w:val="20"/>
          <w:color w:val="auto"/>
        </w:rPr>
      </w:pPr>
    </w:p>
    <w:p>
      <w:pPr>
        <w:ind w:right="140"/>
        <w:spacing w:after="0" w:line="298" w:lineRule="auto"/>
        <w:rPr>
          <w:sz w:val="20"/>
          <w:szCs w:val="20"/>
          <w:color w:val="auto"/>
        </w:rPr>
      </w:pPr>
      <w:r>
        <w:rPr>
          <w:rFonts w:ascii="Arial" w:cs="Arial" w:eastAsia="Arial" w:hAnsi="Arial"/>
          <w:sz w:val="11"/>
          <w:szCs w:val="11"/>
          <w:color w:val="auto"/>
        </w:rPr>
        <w:t>We recorded $38.8 million in income tax benefit for the year ended December 31, 2017. This benefit was primarily driven by the release of valuation allowance and impact of corporate tax reform. Income tax benefit of $8.2 million was recorded for the release of a valuation allowance related to the acquisitions of Southern Light and Hunt. The Southern Light and Hunt transactions resulted in the recording of a deferred tax liability, and this future reversal of taxable temporary differences supports the realization of deferred tax assets which previously had a valuation allowance. $17.0 million relates to revision of ending net deferred tax asset balances to the lower future corporate tax rate.</w:t>
      </w:r>
    </w:p>
    <w:p>
      <w:pPr>
        <w:spacing w:after="0" w:line="10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Non-GAAP Financial Measures</w:t>
      </w:r>
    </w:p>
    <w:p>
      <w:pPr>
        <w:spacing w:after="0" w:line="154" w:lineRule="exact"/>
        <w:rPr>
          <w:sz w:val="20"/>
          <w:szCs w:val="20"/>
          <w:color w:val="auto"/>
        </w:rPr>
      </w:pPr>
    </w:p>
    <w:p>
      <w:pPr>
        <w:jc w:val="both"/>
        <w:ind w:right="220"/>
        <w:spacing w:after="0" w:line="298" w:lineRule="auto"/>
        <w:rPr>
          <w:sz w:val="20"/>
          <w:szCs w:val="20"/>
          <w:color w:val="auto"/>
        </w:rPr>
      </w:pPr>
      <w:r>
        <w:rPr>
          <w:rFonts w:ascii="Arial" w:cs="Arial" w:eastAsia="Arial" w:hAnsi="Arial"/>
          <w:sz w:val="11"/>
          <w:szCs w:val="11"/>
          <w:color w:val="auto"/>
        </w:rPr>
        <w:t>We refer to EBITDA, Adjusted EBITDA, Funds From Operations ("FFO") (as defined by the National Association of Real Estate Investment Trusts ("NAREIT")) and Adjusted Funds From Operations ("AFFO") in our analysis of our results of operations, which are not required by, or presented in accordance with, accounting principles generally accepted in the United States ("GAAP"). While we believe that net income, as defined by GAAP, is the most appropriate earnings measure, we also believe that EBITDA, Adjusted EBITDA, FFO and AFFO are important non-GAAP supplemental measures of operating performance for a REIT.</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42" w:name="page43"/>
    <w:bookmarkEnd w:id="4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line="257" w:lineRule="auto"/>
        <w:rPr>
          <w:sz w:val="20"/>
          <w:szCs w:val="20"/>
          <w:color w:val="auto"/>
        </w:rPr>
      </w:pPr>
      <w:r>
        <w:rPr>
          <w:rFonts w:ascii="Arial" w:cs="Arial" w:eastAsia="Arial" w:hAnsi="Arial"/>
          <w:sz w:val="12"/>
          <w:szCs w:val="12"/>
          <w:color w:val="auto"/>
        </w:rPr>
        <w:t>We define "EBITDA" as net income, as defined by GAAP, before interest expense, provision for income taxes and depreciation and amortization. We define "Adjusted EBITDA" as EBITDA before stock-based compensation expense and the impact, which may be recurring in nature, of transaction and integration related costs (collectively, "transaction related costs"), the write-off of unamortized deferred financing costs, costs incurred as a result of the early repayment of debt, changes in the fair value of contingent consideration and financial instruments, and other similar items (although we may not have had such charges in the periods presented). We believe EBITDA and Adjusted EBITDA are important supplemental measures to net income because they provide additional information to evaluate our operating performance on an unleveraged basis. Since EBITDA and Adjusted EBITDA are not measures calculated in accordance with GAAP, they should not be considered as an alternative to net income determined in accordance with GAAP.</w:t>
      </w:r>
    </w:p>
    <w:p>
      <w:pPr>
        <w:spacing w:after="0" w:line="126" w:lineRule="exact"/>
        <w:rPr>
          <w:sz w:val="20"/>
          <w:szCs w:val="20"/>
          <w:color w:val="auto"/>
        </w:rPr>
      </w:pPr>
    </w:p>
    <w:p>
      <w:pPr>
        <w:ind w:right="100"/>
        <w:spacing w:after="0" w:line="257" w:lineRule="auto"/>
        <w:rPr>
          <w:sz w:val="20"/>
          <w:szCs w:val="20"/>
          <w:color w:val="auto"/>
        </w:rPr>
      </w:pPr>
      <w:r>
        <w:rPr>
          <w:rFonts w:ascii="Arial" w:cs="Arial" w:eastAsia="Arial" w:hAnsi="Arial"/>
          <w:sz w:val="12"/>
          <w:szCs w:val="12"/>
          <w:color w:val="auto"/>
        </w:rPr>
        <w:t>Because the historical cost accounting convention used for real estate assets requires the recognition of depreciation expense except on land, such accounting presentation implies that the value of real estate assets diminishes predictably over time. However, since real estate values have historically risen or fallen with market and other conditions, presentations of operating results for a REIT that uses historical cost accounting for depreciation could be less informative. Thus, NAREIT created FFO as a supplemental measure of operating performance for REITs that excludes historical cost depreciation and amortization, among other items, from net income, as defined by GAAP. “FFO” is defined by NAREIT as net income applicable to common shareholders computed in accordance with GAAP, excluding gains or losses from real estate dispositions, plus real estate depreciation and amortization and impairment charges. We compute FFO in accordance with NAREIT's definition.</w:t>
      </w:r>
    </w:p>
    <w:p>
      <w:pPr>
        <w:spacing w:after="0" w:line="126" w:lineRule="exact"/>
        <w:rPr>
          <w:sz w:val="20"/>
          <w:szCs w:val="20"/>
          <w:color w:val="auto"/>
        </w:rPr>
      </w:pPr>
    </w:p>
    <w:p>
      <w:pPr>
        <w:ind w:right="20"/>
        <w:spacing w:after="0" w:line="279" w:lineRule="auto"/>
        <w:rPr>
          <w:sz w:val="20"/>
          <w:szCs w:val="20"/>
          <w:color w:val="auto"/>
        </w:rPr>
      </w:pPr>
      <w:r>
        <w:rPr>
          <w:rFonts w:ascii="Arial" w:cs="Arial" w:eastAsia="Arial" w:hAnsi="Arial"/>
          <w:sz w:val="11"/>
          <w:szCs w:val="11"/>
          <w:color w:val="auto"/>
        </w:rPr>
        <w:t>We define “AFFO” as FFO excluding (i) transaction related costs; (ii) certain non-cash revenues and expenses such as stock-based compensation expense, amortization of debt and equity discounts, amortization of deferred financing costs, depreciation and amortization of non-real estate assets, straight-line revenues, non-cash income taxes, and the amortization of other non-cash revenues to the extent that cash has not been received, such as revenue associated with the amortization of TCIs; (iii) the impact, which may be recurring in nature, of the write-off of unamortized deferred financing fees, additional costs incurred as a result of the early repayment of debt, gains or losses on dispositions, changes in the fair value of contingent consideration and financial instruments and similar items less maintenance capital expenditures. We believe that the use of FFO and AFFO, and their respective per share amounts, combined with the required GAAP presentations, improves the understanding of operating results of REITs among investors and analysts, and makes comparisons of operating results among such companies more meaningful. We consider FFO and AFFO to be useful measures for reviewing comparative operating performance. In particular, we believe AFFO, by excluding certain revenue and expense items, can help investors compare our operating performance between periods and to other REITs on a consistent basis without having to account for differences caused by unanticipated items and events, such as transaction related costs. The Company uses FFO and AFFO, and their respective per share amounts, only as performance measures, and FFO and AFFO do not purport to be indicative of cash available to fund our future cash requirements. While FFO and AFFO are relevant and widely used measures of operating performance of REITs, they do not represent cash flows from operations or net income as defined by GAAP and should not be considered an alternative to those measures in evaluating our liquidity or operating performance.</w:t>
      </w:r>
    </w:p>
    <w:p>
      <w:pPr>
        <w:spacing w:after="0" w:line="118" w:lineRule="exact"/>
        <w:rPr>
          <w:sz w:val="20"/>
          <w:szCs w:val="20"/>
          <w:color w:val="auto"/>
        </w:rPr>
      </w:pPr>
    </w:p>
    <w:p>
      <w:pPr>
        <w:ind w:right="140"/>
        <w:spacing w:after="0" w:line="276" w:lineRule="auto"/>
        <w:rPr>
          <w:sz w:val="20"/>
          <w:szCs w:val="20"/>
          <w:color w:val="auto"/>
        </w:rPr>
      </w:pPr>
      <w:r>
        <w:rPr>
          <w:rFonts w:ascii="Arial" w:cs="Arial" w:eastAsia="Arial" w:hAnsi="Arial"/>
          <w:sz w:val="12"/>
          <w:szCs w:val="12"/>
          <w:color w:val="auto"/>
        </w:rPr>
        <w:t>Further, our computations of EBITDA, Adjusted EBITDA, FFO and AFFO may not be comparable to that reported by other REITs or companies that do not define FFO in accordance with the current NAREIT definition or that interpret the current NAREIT definition or define EBITDA, Adjusted EBITDA and AFFO differently than we do.</w:t>
      </w:r>
    </w:p>
    <w:p>
      <w:pPr>
        <w:spacing w:after="0" w:line="115" w:lineRule="exact"/>
        <w:rPr>
          <w:sz w:val="20"/>
          <w:szCs w:val="20"/>
          <w:color w:val="auto"/>
        </w:rPr>
      </w:pPr>
    </w:p>
    <w:p>
      <w:pPr>
        <w:spacing w:after="0"/>
        <w:rPr>
          <w:sz w:val="20"/>
          <w:szCs w:val="20"/>
          <w:color w:val="auto"/>
        </w:rPr>
      </w:pPr>
      <w:r>
        <w:rPr>
          <w:rFonts w:ascii="Arial" w:cs="Arial" w:eastAsia="Arial" w:hAnsi="Arial"/>
          <w:sz w:val="11"/>
          <w:szCs w:val="11"/>
          <w:color w:val="auto"/>
        </w:rPr>
        <w:t>The reconciliation of our net income to EBITDA and Adjusted EBITDA and of our net income attributable to common shareholders to FFO and AFFO for the years ended December 31, 2018, 2017 and 2016 is as follows:</w:t>
      </w: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43" w:name="page44"/>
    <w:bookmarkEnd w:id="4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280" w:type="dxa"/>
            <w:vAlign w:val="bottom"/>
            <w:vMerge w:val="restart"/>
          </w:tcPr>
          <w:p>
            <w:pPr>
              <w:spacing w:after="0"/>
              <w:rPr>
                <w:sz w:val="20"/>
                <w:szCs w:val="20"/>
                <w:color w:val="auto"/>
              </w:rPr>
            </w:pPr>
            <w:r>
              <w:rPr>
                <w:rFonts w:ascii="Arial" w:cs="Arial" w:eastAsia="Arial" w:hAnsi="Arial"/>
                <w:sz w:val="10"/>
                <w:szCs w:val="10"/>
                <w:color w:val="auto"/>
              </w:rPr>
              <w:t>(Thousands)</w:t>
            </w:r>
          </w:p>
        </w:tc>
        <w:tc>
          <w:tcPr>
            <w:tcW w:w="44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900" w:type="dxa"/>
            <w:vAlign w:val="bottom"/>
            <w:tcBorders>
              <w:bottom w:val="single" w:sz="8" w:color="auto"/>
            </w:tcBorders>
            <w:gridSpan w:val="2"/>
          </w:tcPr>
          <w:p>
            <w:pPr>
              <w:jc w:val="center"/>
              <w:ind w:right="520"/>
              <w:spacing w:after="0"/>
              <w:rPr>
                <w:sz w:val="20"/>
                <w:szCs w:val="20"/>
                <w:color w:val="auto"/>
              </w:rPr>
            </w:pPr>
            <w:r>
              <w:rPr>
                <w:rFonts w:ascii="Arial" w:cs="Arial" w:eastAsia="Arial" w:hAnsi="Arial"/>
                <w:sz w:val="10"/>
                <w:szCs w:val="10"/>
                <w:b w:val="1"/>
                <w:bCs w:val="1"/>
                <w:color w:val="auto"/>
                <w:w w:val="86"/>
              </w:rPr>
              <w:t>Year Ended December 31,</w:t>
            </w:r>
          </w:p>
        </w:tc>
        <w:tc>
          <w:tcPr>
            <w:tcW w:w="44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7"/>
        </w:trPr>
        <w:tc>
          <w:tcPr>
            <w:tcW w:w="5280" w:type="dxa"/>
            <w:vAlign w:val="bottom"/>
            <w:tcBorders>
              <w:bottom w:val="single" w:sz="8" w:color="CFF0FC"/>
            </w:tcBorders>
            <w:vMerge w:val="continue"/>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jc w:val="right"/>
              <w:ind w:right="781"/>
              <w:spacing w:after="0" w:line="97" w:lineRule="exact"/>
              <w:rPr>
                <w:sz w:val="20"/>
                <w:szCs w:val="20"/>
                <w:color w:val="auto"/>
              </w:rPr>
            </w:pPr>
            <w:r>
              <w:rPr>
                <w:rFonts w:ascii="Arial" w:cs="Arial" w:eastAsia="Arial" w:hAnsi="Arial"/>
                <w:sz w:val="10"/>
                <w:szCs w:val="10"/>
                <w:b w:val="1"/>
                <w:bCs w:val="1"/>
                <w:color w:val="auto"/>
              </w:rPr>
              <w:t>2018</w:t>
            </w:r>
          </w:p>
        </w:tc>
        <w:tc>
          <w:tcPr>
            <w:tcW w:w="260" w:type="dxa"/>
            <w:vAlign w:val="bottom"/>
            <w:tcBorders>
              <w:bottom w:val="single" w:sz="8" w:color="CFF0FC"/>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20" w:type="dxa"/>
            <w:vAlign w:val="bottom"/>
            <w:tcBorders>
              <w:bottom w:val="single" w:sz="8" w:color="auto"/>
            </w:tcBorders>
          </w:tcPr>
          <w:p>
            <w:pPr>
              <w:jc w:val="center"/>
              <w:ind w:right="182"/>
              <w:spacing w:after="0" w:line="97" w:lineRule="exact"/>
              <w:rPr>
                <w:sz w:val="20"/>
                <w:szCs w:val="20"/>
                <w:color w:val="auto"/>
              </w:rPr>
            </w:pPr>
            <w:r>
              <w:rPr>
                <w:rFonts w:ascii="Arial" w:cs="Arial" w:eastAsia="Arial" w:hAnsi="Arial"/>
                <w:sz w:val="10"/>
                <w:szCs w:val="10"/>
                <w:b w:val="1"/>
                <w:bCs w:val="1"/>
                <w:color w:val="auto"/>
                <w:w w:val="80"/>
              </w:rPr>
              <w:t>2017</w:t>
            </w:r>
          </w:p>
        </w:tc>
        <w:tc>
          <w:tcPr>
            <w:tcW w:w="280" w:type="dxa"/>
            <w:vAlign w:val="bottom"/>
            <w:tcBorders>
              <w:bottom w:val="single" w:sz="8" w:color="CFF0FC"/>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jc w:val="right"/>
              <w:ind w:right="761"/>
              <w:spacing w:after="0" w:line="97" w:lineRule="exact"/>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528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Net income (loss)</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16,545</w:t>
            </w:r>
          </w:p>
        </w:tc>
        <w:tc>
          <w:tcPr>
            <w:tcW w:w="260" w:type="dxa"/>
            <w:vAlign w:val="bottom"/>
            <w:shd w:val="clear" w:color="auto" w:fill="CFF0FC"/>
          </w:tcPr>
          <w:p>
            <w:pPr>
              <w:spacing w:after="0"/>
              <w:rPr>
                <w:sz w:val="12"/>
                <w:szCs w:val="12"/>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90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(8,828)</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5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Depreciation and amortization</w:t>
            </w: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451,750</w:t>
            </w: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20" w:type="dxa"/>
            <w:vAlign w:val="bottom"/>
          </w:tcPr>
          <w:p>
            <w:pPr>
              <w:jc w:val="right"/>
              <w:spacing w:after="0"/>
              <w:rPr>
                <w:sz w:val="20"/>
                <w:szCs w:val="20"/>
                <w:color w:val="auto"/>
              </w:rPr>
            </w:pPr>
            <w:r>
              <w:rPr>
                <w:rFonts w:ascii="Arial" w:cs="Arial" w:eastAsia="Arial" w:hAnsi="Arial"/>
                <w:sz w:val="12"/>
                <w:szCs w:val="12"/>
                <w:color w:val="auto"/>
              </w:rPr>
              <w:t>434,205</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375,970</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Interest expense, net</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319,591</w:t>
            </w: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305,994</w:t>
            </w:r>
          </w:p>
        </w:tc>
        <w:tc>
          <w:tcPr>
            <w:tcW w:w="28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275,394</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Income tax (benefit) expense</w:t>
            </w:r>
          </w:p>
        </w:tc>
        <w:tc>
          <w:tcPr>
            <w:tcW w:w="440" w:type="dxa"/>
            <w:vAlign w:val="bottom"/>
          </w:tcPr>
          <w:p>
            <w:pPr>
              <w:spacing w:after="0"/>
              <w:rPr>
                <w:sz w:val="13"/>
                <w:szCs w:val="13"/>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2"/>
                <w:szCs w:val="12"/>
                <w:color w:val="auto"/>
              </w:rPr>
              <w:t>(5,421)</w:t>
            </w:r>
          </w:p>
        </w:tc>
        <w:tc>
          <w:tcPr>
            <w:tcW w:w="240" w:type="dxa"/>
            <w:vAlign w:val="bottom"/>
          </w:tcPr>
          <w:p>
            <w:pPr>
              <w:spacing w:after="0"/>
              <w:rPr>
                <w:sz w:val="13"/>
                <w:szCs w:val="13"/>
                <w:color w:val="auto"/>
              </w:rPr>
            </w:pPr>
          </w:p>
        </w:tc>
        <w:tc>
          <w:tcPr>
            <w:tcW w:w="1900" w:type="dxa"/>
            <w:vAlign w:val="bottom"/>
            <w:gridSpan w:val="2"/>
          </w:tcPr>
          <w:p>
            <w:pPr>
              <w:jc w:val="right"/>
              <w:ind w:right="240"/>
              <w:spacing w:after="0"/>
              <w:rPr>
                <w:sz w:val="20"/>
                <w:szCs w:val="20"/>
                <w:color w:val="auto"/>
              </w:rPr>
            </w:pPr>
            <w:r>
              <w:rPr>
                <w:rFonts w:ascii="Arial" w:cs="Arial" w:eastAsia="Arial" w:hAnsi="Arial"/>
                <w:sz w:val="12"/>
                <w:szCs w:val="12"/>
                <w:color w:val="auto"/>
              </w:rPr>
              <w:t>(38,849)</w:t>
            </w: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517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2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2"/>
                <w:szCs w:val="12"/>
                <w:b w:val="1"/>
                <w:bCs w:val="1"/>
                <w:color w:val="auto"/>
              </w:rPr>
              <w:t>EBITDA</w:t>
            </w:r>
          </w:p>
        </w:tc>
        <w:tc>
          <w:tcPr>
            <w:tcW w:w="440" w:type="dxa"/>
            <w:vAlign w:val="bottom"/>
            <w:tcBorders>
              <w:top w:val="single" w:sz="8" w:color="auto"/>
            </w:tcBorders>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782,465</w:t>
            </w:r>
          </w:p>
        </w:tc>
        <w:tc>
          <w:tcPr>
            <w:tcW w:w="260" w:type="dxa"/>
            <w:vAlign w:val="bottom"/>
            <w:tcBorders>
              <w:top w:val="single" w:sz="8" w:color="CFF0FC"/>
            </w:tcBorders>
            <w:shd w:val="clear" w:color="auto" w:fill="CFF0FC"/>
          </w:tcPr>
          <w:p>
            <w:pPr>
              <w:spacing w:after="0"/>
              <w:rPr>
                <w:sz w:val="12"/>
                <w:szCs w:val="12"/>
                <w:color w:val="auto"/>
              </w:rPr>
            </w:pPr>
          </w:p>
        </w:tc>
        <w:tc>
          <w:tcPr>
            <w:tcW w:w="240" w:type="dxa"/>
            <w:vAlign w:val="bottom"/>
            <w:tcBorders>
              <w:top w:val="single" w:sz="8" w:color="auto"/>
            </w:tcBorders>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6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692,522</w:t>
            </w:r>
          </w:p>
        </w:tc>
        <w:tc>
          <w:tcPr>
            <w:tcW w:w="280" w:type="dxa"/>
            <w:vAlign w:val="bottom"/>
            <w:tcBorders>
              <w:top w:val="single" w:sz="8" w:color="CFF0FC"/>
            </w:tcBorders>
            <w:shd w:val="clear" w:color="auto" w:fill="CFF0FC"/>
          </w:tcPr>
          <w:p>
            <w:pPr>
              <w:spacing w:after="0"/>
              <w:rPr>
                <w:sz w:val="12"/>
                <w:szCs w:val="12"/>
                <w:color w:val="auto"/>
              </w:rPr>
            </w:pPr>
          </w:p>
        </w:tc>
        <w:tc>
          <w:tcPr>
            <w:tcW w:w="440" w:type="dxa"/>
            <w:vAlign w:val="bottom"/>
            <w:tcBorders>
              <w:top w:val="single" w:sz="8" w:color="auto"/>
            </w:tcBorders>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651,669</w:t>
            </w: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Stock based compensation</w:t>
            </w: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8,064</w:t>
            </w: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20" w:type="dxa"/>
            <w:vAlign w:val="bottom"/>
          </w:tcPr>
          <w:p>
            <w:pPr>
              <w:jc w:val="right"/>
              <w:spacing w:after="0"/>
              <w:rPr>
                <w:sz w:val="20"/>
                <w:szCs w:val="20"/>
                <w:color w:val="auto"/>
              </w:rPr>
            </w:pPr>
            <w:r>
              <w:rPr>
                <w:rFonts w:ascii="Arial" w:cs="Arial" w:eastAsia="Arial" w:hAnsi="Arial"/>
                <w:sz w:val="12"/>
                <w:szCs w:val="12"/>
                <w:color w:val="auto"/>
              </w:rPr>
              <w:t>7,713</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4,846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Other (income) expense</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(5,056)</w:t>
            </w:r>
          </w:p>
        </w:tc>
        <w:tc>
          <w:tcPr>
            <w:tcW w:w="240" w:type="dxa"/>
            <w:vAlign w:val="bottom"/>
            <w:shd w:val="clear" w:color="auto" w:fill="CFF0FC"/>
          </w:tcPr>
          <w:p>
            <w:pPr>
              <w:spacing w:after="0"/>
              <w:rPr>
                <w:sz w:val="13"/>
                <w:szCs w:val="13"/>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11,284</w:t>
            </w:r>
          </w:p>
        </w:tc>
        <w:tc>
          <w:tcPr>
            <w:tcW w:w="28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Borders>
              <w:bottom w:val="single" w:sz="8" w:color="CFF0FC"/>
            </w:tcBorders>
          </w:tcPr>
          <w:p>
            <w:pPr>
              <w:ind w:left="80"/>
              <w:spacing w:after="0"/>
              <w:rPr>
                <w:sz w:val="20"/>
                <w:szCs w:val="20"/>
                <w:color w:val="auto"/>
              </w:rPr>
            </w:pPr>
            <w:r>
              <w:rPr>
                <w:rFonts w:ascii="Arial" w:cs="Arial" w:eastAsia="Arial" w:hAnsi="Arial"/>
                <w:sz w:val="12"/>
                <w:szCs w:val="12"/>
                <w:color w:val="auto"/>
              </w:rPr>
              <w:t>Transaction related costs</w:t>
            </w:r>
          </w:p>
        </w:tc>
        <w:tc>
          <w:tcPr>
            <w:tcW w:w="440" w:type="dxa"/>
            <w:vAlign w:val="bottom"/>
            <w:tcBorders>
              <w:bottom w:val="single" w:sz="8" w:color="auto"/>
            </w:tcBorders>
          </w:tcPr>
          <w:p>
            <w:pPr>
              <w:spacing w:after="0"/>
              <w:rPr>
                <w:sz w:val="13"/>
                <w:szCs w:val="13"/>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17,410</w:t>
            </w:r>
          </w:p>
        </w:tc>
        <w:tc>
          <w:tcPr>
            <w:tcW w:w="26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38,005</w:t>
            </w:r>
          </w:p>
        </w:tc>
        <w:tc>
          <w:tcPr>
            <w:tcW w:w="280" w:type="dxa"/>
            <w:vAlign w:val="bottom"/>
            <w:tcBorders>
              <w:bottom w:val="single" w:sz="8" w:color="CFF0FC"/>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33,669</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28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Adjusted EBITDA</w:t>
            </w:r>
          </w:p>
        </w:tc>
        <w:tc>
          <w:tcPr>
            <w:tcW w:w="440" w:type="dxa"/>
            <w:vAlign w:val="bottom"/>
            <w:tcBorders>
              <w:bottom w:val="single" w:sz="8" w:color="auto"/>
            </w:tcBorders>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802,883</w:t>
            </w:r>
          </w:p>
        </w:tc>
        <w:tc>
          <w:tcPr>
            <w:tcW w:w="260" w:type="dxa"/>
            <w:vAlign w:val="bottom"/>
            <w:shd w:val="clear" w:color="auto" w:fill="CFF0FC"/>
          </w:tcPr>
          <w:p>
            <w:pPr>
              <w:spacing w:after="0"/>
              <w:rPr>
                <w:sz w:val="12"/>
                <w:szCs w:val="12"/>
                <w:color w:val="auto"/>
              </w:rPr>
            </w:pPr>
          </w:p>
        </w:tc>
        <w:tc>
          <w:tcPr>
            <w:tcW w:w="24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749,524</w:t>
            </w:r>
          </w:p>
        </w:tc>
        <w:tc>
          <w:tcPr>
            <w:tcW w:w="280" w:type="dxa"/>
            <w:vAlign w:val="bottom"/>
            <w:shd w:val="clear" w:color="auto" w:fill="CFF0FC"/>
          </w:tcPr>
          <w:p>
            <w:pPr>
              <w:spacing w:after="0"/>
              <w:rPr>
                <w:sz w:val="12"/>
                <w:szCs w:val="12"/>
                <w:color w:val="auto"/>
              </w:rPr>
            </w:pPr>
          </w:p>
        </w:tc>
        <w:tc>
          <w:tcPr>
            <w:tcW w:w="440" w:type="dxa"/>
            <w:vAlign w:val="bottom"/>
            <w:tcBorders>
              <w:bottom w:val="single" w:sz="8" w:color="auto"/>
            </w:tcBorders>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690,184</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466"/>
        </w:trPr>
        <w:tc>
          <w:tcPr>
            <w:tcW w:w="5280" w:type="dxa"/>
            <w:vAlign w:val="bottom"/>
            <w:vMerge w:val="restart"/>
          </w:tcPr>
          <w:p>
            <w:pPr>
              <w:spacing w:after="0"/>
              <w:rPr>
                <w:sz w:val="20"/>
                <w:szCs w:val="20"/>
                <w:color w:val="auto"/>
              </w:rPr>
            </w:pPr>
            <w:r>
              <w:rPr>
                <w:rFonts w:ascii="Arial" w:cs="Arial" w:eastAsia="Arial" w:hAnsi="Arial"/>
                <w:sz w:val="10"/>
                <w:szCs w:val="10"/>
                <w:color w:val="auto"/>
              </w:rPr>
              <w:t>(Thousands)</w:t>
            </w:r>
          </w:p>
        </w:tc>
        <w:tc>
          <w:tcPr>
            <w:tcW w:w="4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2"/>
          </w:tcPr>
          <w:p>
            <w:pPr>
              <w:jc w:val="center"/>
              <w:ind w:right="520"/>
              <w:spacing w:after="0"/>
              <w:rPr>
                <w:sz w:val="20"/>
                <w:szCs w:val="20"/>
                <w:color w:val="auto"/>
              </w:rPr>
            </w:pPr>
            <w:r>
              <w:rPr>
                <w:rFonts w:ascii="Arial" w:cs="Arial" w:eastAsia="Arial" w:hAnsi="Arial"/>
                <w:sz w:val="10"/>
                <w:szCs w:val="10"/>
                <w:b w:val="1"/>
                <w:bCs w:val="1"/>
                <w:color w:val="auto"/>
                <w:w w:val="86"/>
              </w:rPr>
              <w:t>Year Ended December 31,</w:t>
            </w:r>
          </w:p>
        </w:tc>
        <w:tc>
          <w:tcPr>
            <w:tcW w:w="4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5280" w:type="dxa"/>
            <w:vAlign w:val="bottom"/>
            <w:tcBorders>
              <w:bottom w:val="single" w:sz="8" w:color="CFF0FC"/>
            </w:tcBorders>
            <w:vMerge w:val="continue"/>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jc w:val="right"/>
              <w:ind w:right="781"/>
              <w:spacing w:after="0" w:line="97" w:lineRule="exact"/>
              <w:rPr>
                <w:sz w:val="20"/>
                <w:szCs w:val="20"/>
                <w:color w:val="auto"/>
              </w:rPr>
            </w:pPr>
            <w:r>
              <w:rPr>
                <w:rFonts w:ascii="Arial" w:cs="Arial" w:eastAsia="Arial" w:hAnsi="Arial"/>
                <w:sz w:val="10"/>
                <w:szCs w:val="10"/>
                <w:b w:val="1"/>
                <w:bCs w:val="1"/>
                <w:color w:val="auto"/>
              </w:rPr>
              <w:t>2018</w:t>
            </w:r>
          </w:p>
        </w:tc>
        <w:tc>
          <w:tcPr>
            <w:tcW w:w="260" w:type="dxa"/>
            <w:vAlign w:val="bottom"/>
            <w:tcBorders>
              <w:bottom w:val="single" w:sz="8" w:color="CFF0FC"/>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20" w:type="dxa"/>
            <w:vAlign w:val="bottom"/>
            <w:tcBorders>
              <w:bottom w:val="single" w:sz="8" w:color="auto"/>
            </w:tcBorders>
          </w:tcPr>
          <w:p>
            <w:pPr>
              <w:jc w:val="center"/>
              <w:ind w:right="182"/>
              <w:spacing w:after="0" w:line="97" w:lineRule="exact"/>
              <w:rPr>
                <w:sz w:val="20"/>
                <w:szCs w:val="20"/>
                <w:color w:val="auto"/>
              </w:rPr>
            </w:pPr>
            <w:r>
              <w:rPr>
                <w:rFonts w:ascii="Arial" w:cs="Arial" w:eastAsia="Arial" w:hAnsi="Arial"/>
                <w:sz w:val="10"/>
                <w:szCs w:val="10"/>
                <w:b w:val="1"/>
                <w:bCs w:val="1"/>
                <w:color w:val="auto"/>
                <w:w w:val="80"/>
              </w:rPr>
              <w:t>2017</w:t>
            </w:r>
          </w:p>
        </w:tc>
        <w:tc>
          <w:tcPr>
            <w:tcW w:w="280" w:type="dxa"/>
            <w:vAlign w:val="bottom"/>
            <w:tcBorders>
              <w:bottom w:val="single" w:sz="8" w:color="CFF0FC"/>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jc w:val="right"/>
              <w:ind w:right="761"/>
              <w:spacing w:after="0" w:line="97" w:lineRule="exact"/>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528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Net income (loss) attributable to common shareholders</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7,989</w:t>
            </w:r>
          </w:p>
        </w:tc>
        <w:tc>
          <w:tcPr>
            <w:tcW w:w="260" w:type="dxa"/>
            <w:vAlign w:val="bottom"/>
            <w:shd w:val="clear" w:color="auto" w:fill="CFF0FC"/>
          </w:tcPr>
          <w:p>
            <w:pPr>
              <w:spacing w:after="0"/>
              <w:rPr>
                <w:sz w:val="12"/>
                <w:szCs w:val="12"/>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90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(16,552)</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5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(5,497)</w:t>
            </w: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Real estate depreciation and amortization</w:t>
            </w: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374,388</w:t>
            </w: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20" w:type="dxa"/>
            <w:vAlign w:val="bottom"/>
          </w:tcPr>
          <w:p>
            <w:pPr>
              <w:jc w:val="right"/>
              <w:spacing w:after="0"/>
              <w:rPr>
                <w:sz w:val="20"/>
                <w:szCs w:val="20"/>
                <w:color w:val="auto"/>
              </w:rPr>
            </w:pPr>
            <w:r>
              <w:rPr>
                <w:rFonts w:ascii="Arial" w:cs="Arial" w:eastAsia="Arial" w:hAnsi="Arial"/>
                <w:sz w:val="12"/>
                <w:szCs w:val="12"/>
                <w:color w:val="auto"/>
              </w:rPr>
              <w:t>373,449</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351,548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Participating securities' share in earnings</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2,594</w:t>
            </w: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1,509</w:t>
            </w:r>
          </w:p>
        </w:tc>
        <w:tc>
          <w:tcPr>
            <w:tcW w:w="28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1,557</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Participating securities' share in FFO</w:t>
            </w:r>
          </w:p>
        </w:tc>
        <w:tc>
          <w:tcPr>
            <w:tcW w:w="440" w:type="dxa"/>
            <w:vAlign w:val="bottom"/>
          </w:tcPr>
          <w:p>
            <w:pPr>
              <w:spacing w:after="0"/>
              <w:rPr>
                <w:sz w:val="13"/>
                <w:szCs w:val="13"/>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2"/>
                <w:szCs w:val="12"/>
                <w:color w:val="auto"/>
              </w:rPr>
              <w:t>(2,594)</w:t>
            </w:r>
          </w:p>
        </w:tc>
        <w:tc>
          <w:tcPr>
            <w:tcW w:w="240" w:type="dxa"/>
            <w:vAlign w:val="bottom"/>
          </w:tcPr>
          <w:p>
            <w:pPr>
              <w:spacing w:after="0"/>
              <w:rPr>
                <w:sz w:val="13"/>
                <w:szCs w:val="13"/>
                <w:color w:val="auto"/>
              </w:rPr>
            </w:pPr>
          </w:p>
        </w:tc>
        <w:tc>
          <w:tcPr>
            <w:tcW w:w="1900" w:type="dxa"/>
            <w:vAlign w:val="bottom"/>
            <w:gridSpan w:val="2"/>
          </w:tcPr>
          <w:p>
            <w:pPr>
              <w:jc w:val="right"/>
              <w:ind w:right="240"/>
              <w:spacing w:after="0"/>
              <w:rPr>
                <w:sz w:val="20"/>
                <w:szCs w:val="20"/>
                <w:color w:val="auto"/>
              </w:rPr>
            </w:pPr>
            <w:r>
              <w:rPr>
                <w:rFonts w:ascii="Arial" w:cs="Arial" w:eastAsia="Arial" w:hAnsi="Arial"/>
                <w:sz w:val="12"/>
                <w:szCs w:val="12"/>
                <w:color w:val="auto"/>
              </w:rPr>
              <w:t>(1,509)</w:t>
            </w:r>
          </w:p>
        </w:tc>
        <w:tc>
          <w:tcPr>
            <w:tcW w:w="440" w:type="dxa"/>
            <w:vAlign w:val="bottom"/>
          </w:tcPr>
          <w:p>
            <w:pPr>
              <w:spacing w:after="0"/>
              <w:rPr>
                <w:sz w:val="13"/>
                <w:szCs w:val="13"/>
                <w:color w:val="auto"/>
              </w:rPr>
            </w:pPr>
          </w:p>
        </w:tc>
        <w:tc>
          <w:tcPr>
            <w:tcW w:w="1520" w:type="dxa"/>
            <w:vAlign w:val="bottom"/>
            <w:gridSpan w:val="2"/>
          </w:tcPr>
          <w:p>
            <w:pPr>
              <w:jc w:val="right"/>
              <w:ind w:right="80"/>
              <w:spacing w:after="0"/>
              <w:rPr>
                <w:sz w:val="20"/>
                <w:szCs w:val="20"/>
                <w:color w:val="auto"/>
              </w:rPr>
            </w:pPr>
            <w:r>
              <w:rPr>
                <w:rFonts w:ascii="Arial" w:cs="Arial" w:eastAsia="Arial" w:hAnsi="Arial"/>
                <w:sz w:val="12"/>
                <w:szCs w:val="12"/>
                <w:color w:val="auto"/>
              </w:rPr>
              <w:t>(1,557)</w:t>
            </w: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Adjustments for noncontrolling interests</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(8,636)</w:t>
            </w:r>
          </w:p>
        </w:tc>
        <w:tc>
          <w:tcPr>
            <w:tcW w:w="240" w:type="dxa"/>
            <w:vAlign w:val="bottom"/>
            <w:shd w:val="clear" w:color="auto" w:fill="CFF0FC"/>
          </w:tcPr>
          <w:p>
            <w:pPr>
              <w:spacing w:after="0"/>
              <w:rPr>
                <w:sz w:val="13"/>
                <w:szCs w:val="13"/>
                <w:color w:val="auto"/>
              </w:rPr>
            </w:pPr>
          </w:p>
        </w:tc>
        <w:tc>
          <w:tcPr>
            <w:tcW w:w="190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(4,420)</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280" w:type="dxa"/>
            <w:vAlign w:val="bottom"/>
          </w:tcPr>
          <w:p>
            <w:pPr>
              <w:spacing w:after="0"/>
              <w:rPr>
                <w:sz w:val="20"/>
                <w:szCs w:val="20"/>
                <w:color w:val="auto"/>
              </w:rPr>
            </w:pPr>
            <w:r>
              <w:rPr>
                <w:rFonts w:ascii="Arial" w:cs="Arial" w:eastAsia="Arial" w:hAnsi="Arial"/>
                <w:sz w:val="12"/>
                <w:szCs w:val="12"/>
                <w:b w:val="1"/>
                <w:bCs w:val="1"/>
                <w:color w:val="auto"/>
              </w:rPr>
              <w:t>FFO attributable to common shareholders</w:t>
            </w:r>
          </w:p>
        </w:tc>
        <w:tc>
          <w:tcPr>
            <w:tcW w:w="440" w:type="dxa"/>
            <w:vAlign w:val="bottom"/>
            <w:tcBorders>
              <w:top w:val="single" w:sz="8" w:color="auto"/>
            </w:tcBorders>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373,741</w:t>
            </w:r>
          </w:p>
        </w:tc>
        <w:tc>
          <w:tcPr>
            <w:tcW w:w="260" w:type="dxa"/>
            <w:vAlign w:val="bottom"/>
          </w:tcPr>
          <w:p>
            <w:pPr>
              <w:spacing w:after="0"/>
              <w:rPr>
                <w:sz w:val="12"/>
                <w:szCs w:val="12"/>
                <w:color w:val="auto"/>
              </w:rPr>
            </w:pPr>
          </w:p>
        </w:tc>
        <w:tc>
          <w:tcPr>
            <w:tcW w:w="240" w:type="dxa"/>
            <w:vAlign w:val="bottom"/>
            <w:tcBorders>
              <w:top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16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352,477</w:t>
            </w:r>
          </w:p>
        </w:tc>
        <w:tc>
          <w:tcPr>
            <w:tcW w:w="280" w:type="dxa"/>
            <w:vAlign w:val="bottom"/>
          </w:tcPr>
          <w:p>
            <w:pPr>
              <w:spacing w:after="0"/>
              <w:rPr>
                <w:sz w:val="12"/>
                <w:szCs w:val="12"/>
                <w:color w:val="auto"/>
              </w:rPr>
            </w:pPr>
          </w:p>
        </w:tc>
        <w:tc>
          <w:tcPr>
            <w:tcW w:w="440" w:type="dxa"/>
            <w:vAlign w:val="bottom"/>
            <w:tcBorders>
              <w:top w:val="single" w:sz="8" w:color="auto"/>
            </w:tcBorders>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346,051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17,410</w:t>
            </w: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38,005</w:t>
            </w:r>
          </w:p>
        </w:tc>
        <w:tc>
          <w:tcPr>
            <w:tcW w:w="28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33,669</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Change in fair value of contingent consideration</w:t>
            </w:r>
          </w:p>
        </w:tc>
        <w:tc>
          <w:tcPr>
            <w:tcW w:w="440" w:type="dxa"/>
            <w:vAlign w:val="bottom"/>
          </w:tcPr>
          <w:p>
            <w:pPr>
              <w:spacing w:after="0"/>
              <w:rPr>
                <w:sz w:val="13"/>
                <w:szCs w:val="13"/>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2"/>
                <w:szCs w:val="12"/>
                <w:color w:val="auto"/>
              </w:rPr>
              <w:t>(3,721)</w:t>
            </w:r>
          </w:p>
        </w:tc>
        <w:tc>
          <w:tcPr>
            <w:tcW w:w="240" w:type="dxa"/>
            <w:vAlign w:val="bottom"/>
          </w:tcPr>
          <w:p>
            <w:pPr>
              <w:spacing w:after="0"/>
              <w:rPr>
                <w:sz w:val="13"/>
                <w:szCs w:val="13"/>
                <w:color w:val="auto"/>
              </w:rPr>
            </w:pPr>
          </w:p>
        </w:tc>
        <w:tc>
          <w:tcPr>
            <w:tcW w:w="1620" w:type="dxa"/>
            <w:vAlign w:val="bottom"/>
          </w:tcPr>
          <w:p>
            <w:pPr>
              <w:jc w:val="right"/>
              <w:spacing w:after="0"/>
              <w:rPr>
                <w:sz w:val="20"/>
                <w:szCs w:val="20"/>
                <w:color w:val="auto"/>
              </w:rPr>
            </w:pPr>
            <w:r>
              <w:rPr>
                <w:rFonts w:ascii="Arial" w:cs="Arial" w:eastAsia="Arial" w:hAnsi="Arial"/>
                <w:sz w:val="12"/>
                <w:szCs w:val="12"/>
                <w:color w:val="auto"/>
              </w:rPr>
              <w:t>10,736</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Amortization of deferred financing costs and debt discount</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24,614</w:t>
            </w: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23,102</w:t>
            </w:r>
          </w:p>
        </w:tc>
        <w:tc>
          <w:tcPr>
            <w:tcW w:w="28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16,002</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Stock-based compensation</w:t>
            </w: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8,064</w:t>
            </w: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20" w:type="dxa"/>
            <w:vAlign w:val="bottom"/>
          </w:tcPr>
          <w:p>
            <w:pPr>
              <w:jc w:val="right"/>
              <w:spacing w:after="0"/>
              <w:rPr>
                <w:sz w:val="20"/>
                <w:szCs w:val="20"/>
                <w:color w:val="auto"/>
              </w:rPr>
            </w:pPr>
            <w:r>
              <w:rPr>
                <w:rFonts w:ascii="Arial" w:cs="Arial" w:eastAsia="Arial" w:hAnsi="Arial"/>
                <w:sz w:val="12"/>
                <w:szCs w:val="12"/>
                <w:color w:val="auto"/>
              </w:rPr>
              <w:t>7,713</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4,846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Non-real estate depreciation and amortization</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77,362</w:t>
            </w: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60,756</w:t>
            </w:r>
          </w:p>
        </w:tc>
        <w:tc>
          <w:tcPr>
            <w:tcW w:w="28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24,422</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Straight-line revenue</w:t>
            </w:r>
          </w:p>
        </w:tc>
        <w:tc>
          <w:tcPr>
            <w:tcW w:w="440" w:type="dxa"/>
            <w:vAlign w:val="bottom"/>
          </w:tcPr>
          <w:p>
            <w:pPr>
              <w:spacing w:after="0"/>
              <w:rPr>
                <w:sz w:val="13"/>
                <w:szCs w:val="13"/>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2"/>
                <w:szCs w:val="12"/>
                <w:color w:val="auto"/>
              </w:rPr>
              <w:t>(15,048)</w:t>
            </w:r>
          </w:p>
        </w:tc>
        <w:tc>
          <w:tcPr>
            <w:tcW w:w="240" w:type="dxa"/>
            <w:vAlign w:val="bottom"/>
          </w:tcPr>
          <w:p>
            <w:pPr>
              <w:spacing w:after="0"/>
              <w:rPr>
                <w:sz w:val="13"/>
                <w:szCs w:val="13"/>
                <w:color w:val="auto"/>
              </w:rPr>
            </w:pPr>
          </w:p>
        </w:tc>
        <w:tc>
          <w:tcPr>
            <w:tcW w:w="1900" w:type="dxa"/>
            <w:vAlign w:val="bottom"/>
            <w:gridSpan w:val="2"/>
          </w:tcPr>
          <w:p>
            <w:pPr>
              <w:jc w:val="right"/>
              <w:ind w:right="240"/>
              <w:spacing w:after="0"/>
              <w:rPr>
                <w:sz w:val="20"/>
                <w:szCs w:val="20"/>
                <w:color w:val="auto"/>
              </w:rPr>
            </w:pPr>
            <w:r>
              <w:rPr>
                <w:rFonts w:ascii="Arial" w:cs="Arial" w:eastAsia="Arial" w:hAnsi="Arial"/>
                <w:sz w:val="12"/>
                <w:szCs w:val="12"/>
                <w:color w:val="auto"/>
              </w:rPr>
              <w:t>(15,136)</w:t>
            </w:r>
          </w:p>
        </w:tc>
        <w:tc>
          <w:tcPr>
            <w:tcW w:w="440" w:type="dxa"/>
            <w:vAlign w:val="bottom"/>
          </w:tcPr>
          <w:p>
            <w:pPr>
              <w:spacing w:after="0"/>
              <w:rPr>
                <w:sz w:val="13"/>
                <w:szCs w:val="13"/>
                <w:color w:val="auto"/>
              </w:rPr>
            </w:pPr>
          </w:p>
        </w:tc>
        <w:tc>
          <w:tcPr>
            <w:tcW w:w="1520" w:type="dxa"/>
            <w:vAlign w:val="bottom"/>
            <w:gridSpan w:val="2"/>
          </w:tcPr>
          <w:p>
            <w:pPr>
              <w:jc w:val="right"/>
              <w:ind w:right="80"/>
              <w:spacing w:after="0"/>
              <w:rPr>
                <w:sz w:val="20"/>
                <w:szCs w:val="20"/>
                <w:color w:val="auto"/>
              </w:rPr>
            </w:pPr>
            <w:r>
              <w:rPr>
                <w:rFonts w:ascii="Arial" w:cs="Arial" w:eastAsia="Arial" w:hAnsi="Arial"/>
                <w:sz w:val="12"/>
                <w:szCs w:val="12"/>
                <w:color w:val="auto"/>
              </w:rPr>
              <w:t>(17,293)</w:t>
            </w: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Maintenance capital expenditures</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(5,686)</w:t>
            </w:r>
          </w:p>
        </w:tc>
        <w:tc>
          <w:tcPr>
            <w:tcW w:w="240" w:type="dxa"/>
            <w:vAlign w:val="bottom"/>
            <w:shd w:val="clear" w:color="auto" w:fill="CFF0FC"/>
          </w:tcPr>
          <w:p>
            <w:pPr>
              <w:spacing w:after="0"/>
              <w:rPr>
                <w:sz w:val="13"/>
                <w:szCs w:val="13"/>
                <w:color w:val="auto"/>
              </w:rPr>
            </w:pPr>
          </w:p>
        </w:tc>
        <w:tc>
          <w:tcPr>
            <w:tcW w:w="190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(4,434)</w:t>
            </w:r>
          </w:p>
        </w:tc>
        <w:tc>
          <w:tcPr>
            <w:tcW w:w="440" w:type="dxa"/>
            <w:vAlign w:val="bottom"/>
            <w:shd w:val="clear" w:color="auto" w:fill="CFF0FC"/>
          </w:tcPr>
          <w:p>
            <w:pPr>
              <w:spacing w:after="0"/>
              <w:rPr>
                <w:sz w:val="13"/>
                <w:szCs w:val="13"/>
                <w:color w:val="auto"/>
              </w:rPr>
            </w:pPr>
          </w:p>
        </w:tc>
        <w:tc>
          <w:tcPr>
            <w:tcW w:w="15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(3,327)</w:t>
            </w: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Amortization of discount on convertible preferred stock</w:t>
            </w: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2,980</w:t>
            </w: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20" w:type="dxa"/>
            <w:vAlign w:val="bottom"/>
          </w:tcPr>
          <w:p>
            <w:pPr>
              <w:jc w:val="right"/>
              <w:spacing w:after="0"/>
              <w:rPr>
                <w:sz w:val="20"/>
                <w:szCs w:val="20"/>
                <w:color w:val="auto"/>
              </w:rPr>
            </w:pPr>
            <w:r>
              <w:rPr>
                <w:rFonts w:ascii="Arial" w:cs="Arial" w:eastAsia="Arial" w:hAnsi="Arial"/>
                <w:sz w:val="12"/>
                <w:szCs w:val="12"/>
                <w:color w:val="auto"/>
              </w:rPr>
              <w:t>2,980</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1,985</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Adjustment to deferred tax valuation allowance and tax rate change</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90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(36,240)</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tcPr>
          <w:p>
            <w:pPr>
              <w:ind w:left="80"/>
              <w:spacing w:after="0"/>
              <w:rPr>
                <w:sz w:val="20"/>
                <w:szCs w:val="20"/>
                <w:color w:val="auto"/>
              </w:rPr>
            </w:pPr>
            <w:r>
              <w:rPr>
                <w:rFonts w:ascii="Arial" w:cs="Arial" w:eastAsia="Arial" w:hAnsi="Arial"/>
                <w:sz w:val="12"/>
                <w:szCs w:val="12"/>
                <w:color w:val="auto"/>
              </w:rPr>
              <w:t>Other non-cash (revenue) expense, net</w:t>
            </w:r>
          </w:p>
        </w:tc>
        <w:tc>
          <w:tcPr>
            <w:tcW w:w="440" w:type="dxa"/>
            <w:vAlign w:val="bottom"/>
          </w:tcPr>
          <w:p>
            <w:pPr>
              <w:spacing w:after="0"/>
              <w:rPr>
                <w:sz w:val="13"/>
                <w:szCs w:val="13"/>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2"/>
                <w:szCs w:val="12"/>
                <w:color w:val="auto"/>
              </w:rPr>
              <w:t>(34,426)</w:t>
            </w:r>
          </w:p>
        </w:tc>
        <w:tc>
          <w:tcPr>
            <w:tcW w:w="240" w:type="dxa"/>
            <w:vAlign w:val="bottom"/>
          </w:tcPr>
          <w:p>
            <w:pPr>
              <w:spacing w:after="0"/>
              <w:rPr>
                <w:sz w:val="13"/>
                <w:szCs w:val="13"/>
                <w:color w:val="auto"/>
              </w:rPr>
            </w:pPr>
          </w:p>
        </w:tc>
        <w:tc>
          <w:tcPr>
            <w:tcW w:w="1900" w:type="dxa"/>
            <w:vAlign w:val="bottom"/>
            <w:gridSpan w:val="2"/>
          </w:tcPr>
          <w:p>
            <w:pPr>
              <w:jc w:val="right"/>
              <w:ind w:right="240"/>
              <w:spacing w:after="0"/>
              <w:rPr>
                <w:sz w:val="20"/>
                <w:szCs w:val="20"/>
                <w:color w:val="auto"/>
              </w:rPr>
            </w:pPr>
            <w:r>
              <w:rPr>
                <w:rFonts w:ascii="Arial" w:cs="Arial" w:eastAsia="Arial" w:hAnsi="Arial"/>
                <w:sz w:val="12"/>
                <w:szCs w:val="12"/>
                <w:color w:val="auto"/>
              </w:rPr>
              <w:t>(14,871)</w:t>
            </w:r>
          </w:p>
        </w:tc>
        <w:tc>
          <w:tcPr>
            <w:tcW w:w="440" w:type="dxa"/>
            <w:vAlign w:val="bottom"/>
          </w:tcPr>
          <w:p>
            <w:pPr>
              <w:spacing w:after="0"/>
              <w:rPr>
                <w:sz w:val="13"/>
                <w:szCs w:val="13"/>
                <w:color w:val="auto"/>
              </w:rPr>
            </w:pPr>
          </w:p>
        </w:tc>
        <w:tc>
          <w:tcPr>
            <w:tcW w:w="1520" w:type="dxa"/>
            <w:vAlign w:val="bottom"/>
            <w:gridSpan w:val="2"/>
          </w:tcPr>
          <w:p>
            <w:pPr>
              <w:jc w:val="right"/>
              <w:ind w:right="80"/>
              <w:spacing w:after="0"/>
              <w:rPr>
                <w:sz w:val="20"/>
                <w:szCs w:val="20"/>
                <w:color w:val="auto"/>
              </w:rPr>
            </w:pPr>
            <w:r>
              <w:rPr>
                <w:rFonts w:ascii="Arial" w:cs="Arial" w:eastAsia="Arial" w:hAnsi="Arial"/>
                <w:sz w:val="12"/>
                <w:szCs w:val="12"/>
                <w:color w:val="auto"/>
              </w:rPr>
              <w:t>(7,818)</w:t>
            </w:r>
          </w:p>
        </w:tc>
        <w:tc>
          <w:tcPr>
            <w:tcW w:w="0" w:type="dxa"/>
            <w:vAlign w:val="bottom"/>
          </w:tcPr>
          <w:p>
            <w:pPr>
              <w:spacing w:after="0"/>
              <w:rPr>
                <w:sz w:val="1"/>
                <w:szCs w:val="1"/>
                <w:color w:val="auto"/>
              </w:rPr>
            </w:pPr>
          </w:p>
        </w:tc>
      </w:tr>
      <w:tr>
        <w:trPr>
          <w:trHeight w:val="153"/>
        </w:trPr>
        <w:tc>
          <w:tcPr>
            <w:tcW w:w="5280" w:type="dxa"/>
            <w:vAlign w:val="bottom"/>
            <w:shd w:val="clear" w:color="auto" w:fill="CFF0FC"/>
          </w:tcPr>
          <w:p>
            <w:pPr>
              <w:ind w:left="80"/>
              <w:spacing w:after="0"/>
              <w:rPr>
                <w:sz w:val="20"/>
                <w:szCs w:val="20"/>
                <w:color w:val="auto"/>
              </w:rPr>
            </w:pPr>
            <w:r>
              <w:rPr>
                <w:rFonts w:ascii="Arial" w:cs="Arial" w:eastAsia="Arial" w:hAnsi="Arial"/>
                <w:sz w:val="12"/>
                <w:szCs w:val="12"/>
                <w:color w:val="auto"/>
              </w:rPr>
              <w:t>Adjustments for noncontrolling interests</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(1,535)</w:t>
            </w:r>
          </w:p>
        </w:tc>
        <w:tc>
          <w:tcPr>
            <w:tcW w:w="240" w:type="dxa"/>
            <w:vAlign w:val="bottom"/>
            <w:shd w:val="clear" w:color="auto" w:fill="CFF0FC"/>
          </w:tcPr>
          <w:p>
            <w:pPr>
              <w:spacing w:after="0"/>
              <w:rPr>
                <w:sz w:val="13"/>
                <w:szCs w:val="13"/>
                <w:color w:val="auto"/>
              </w:rPr>
            </w:pPr>
          </w:p>
        </w:tc>
        <w:tc>
          <w:tcPr>
            <w:tcW w:w="190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(264)</w:t>
            </w: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280" w:type="dxa"/>
            <w:vAlign w:val="bottom"/>
          </w:tcPr>
          <w:p>
            <w:pPr>
              <w:spacing w:after="0"/>
              <w:rPr>
                <w:sz w:val="20"/>
                <w:szCs w:val="20"/>
                <w:color w:val="auto"/>
              </w:rPr>
            </w:pPr>
            <w:r>
              <w:rPr>
                <w:rFonts w:ascii="Arial" w:cs="Arial" w:eastAsia="Arial" w:hAnsi="Arial"/>
                <w:sz w:val="12"/>
                <w:szCs w:val="12"/>
                <w:b w:val="1"/>
                <w:bCs w:val="1"/>
                <w:color w:val="auto"/>
              </w:rPr>
              <w:t>AFFO attributable to common shareholders</w:t>
            </w:r>
          </w:p>
        </w:tc>
        <w:tc>
          <w:tcPr>
            <w:tcW w:w="4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443,755</w:t>
            </w:r>
          </w:p>
        </w:tc>
        <w:tc>
          <w:tcPr>
            <w:tcW w:w="26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1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424,824</w:t>
            </w:r>
          </w:p>
        </w:tc>
        <w:tc>
          <w:tcPr>
            <w:tcW w:w="28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398,537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13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Critical Accounting Estimates</w:t>
      </w:r>
    </w:p>
    <w:p>
      <w:pPr>
        <w:spacing w:after="0" w:line="154" w:lineRule="exact"/>
        <w:rPr>
          <w:sz w:val="20"/>
          <w:szCs w:val="20"/>
          <w:color w:val="auto"/>
        </w:rPr>
      </w:pPr>
    </w:p>
    <w:p>
      <w:pPr>
        <w:ind w:right="20"/>
        <w:spacing w:after="0" w:line="340" w:lineRule="auto"/>
        <w:rPr>
          <w:sz w:val="20"/>
          <w:szCs w:val="20"/>
          <w:color w:val="auto"/>
        </w:rPr>
      </w:pPr>
      <w:r>
        <w:rPr>
          <w:rFonts w:ascii="Arial" w:cs="Arial" w:eastAsia="Arial" w:hAnsi="Arial"/>
          <w:sz w:val="10"/>
          <w:szCs w:val="10"/>
          <w:color w:val="auto"/>
        </w:rPr>
        <w:t>We make certain judgments and use certain estimates and assumptions when applying accounting principles in the preparation of our financial statements. The nature of the estimates and assumptions are material due to the levels of subjectivity and judgment necessary to account for highly uncertain factors or the susceptibility of such factors to change. We have identified the accounting for income taxes, revenue recognition, useful lives of assets, the impairment of property, plant and equipment, goodwill impairment and business combinations as critical accounting estimates, as they are the most important to our financial statement presentation and require difficult, subjective and complex judgments.</w:t>
      </w:r>
    </w:p>
    <w:p>
      <w:pPr>
        <w:spacing w:after="0" w:line="88" w:lineRule="exact"/>
        <w:rPr>
          <w:sz w:val="20"/>
          <w:szCs w:val="20"/>
          <w:color w:val="auto"/>
        </w:rPr>
      </w:pPr>
    </w:p>
    <w:p>
      <w:pPr>
        <w:jc w:val="both"/>
        <w:ind w:right="340"/>
        <w:spacing w:after="0" w:line="380" w:lineRule="auto"/>
        <w:rPr>
          <w:sz w:val="20"/>
          <w:szCs w:val="20"/>
          <w:color w:val="auto"/>
        </w:rPr>
      </w:pPr>
      <w:r>
        <w:rPr>
          <w:rFonts w:ascii="Arial" w:cs="Arial" w:eastAsia="Arial" w:hAnsi="Arial"/>
          <w:sz w:val="10"/>
          <w:szCs w:val="10"/>
          <w:color w:val="auto"/>
        </w:rPr>
        <w:t>We believe the current assumptions and other considerations used to estimate amounts reflected in our financial statements are appropriate. However, if actual experience differs from the assumptions and other considerations used in estimating amounts reflected in our financial statements, the resulting changes could have a material adverse effect on our results of operations and, in certain situations, could have a material adverse effect on our financial condition.</w:t>
      </w:r>
    </w:p>
    <w:p>
      <w:pPr>
        <w:spacing w:after="0" w:line="68"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44" w:name="page45"/>
    <w:bookmarkEnd w:id="4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Income Taxes</w:t>
      </w:r>
    </w:p>
    <w:p>
      <w:pPr>
        <w:spacing w:after="0" w:line="154" w:lineRule="exact"/>
        <w:rPr>
          <w:sz w:val="20"/>
          <w:szCs w:val="20"/>
          <w:color w:val="auto"/>
        </w:rPr>
      </w:pPr>
    </w:p>
    <w:p>
      <w:pPr>
        <w:ind w:right="20"/>
        <w:spacing w:after="0" w:line="255" w:lineRule="auto"/>
        <w:rPr>
          <w:sz w:val="20"/>
          <w:szCs w:val="20"/>
          <w:color w:val="auto"/>
        </w:rPr>
      </w:pPr>
      <w:r>
        <w:rPr>
          <w:rFonts w:ascii="Arial" w:cs="Arial" w:eastAsia="Arial" w:hAnsi="Arial"/>
          <w:sz w:val="12"/>
          <w:szCs w:val="12"/>
          <w:color w:val="auto"/>
        </w:rPr>
        <w:t>We elected on our initial U.S. federal income tax return to be treated as a REIT under the Internal Revenue Code of 1986, as amended (the “Code”). To qualify as a REIT, we must distribute at least 90% of our annual REIT taxable income to shareholders, and meet certain organizational and operational requirements, including asset holding requirements. As a REIT, we will generally not be subject to U.S. federal income tax on income that we distribute as dividends to our shareholders. If we fail to qualify as a REIT in any taxable year, we will be subject to U.S. federal income tax, including any applicable alternative minimum tax for open taxable years through 2018, on our taxable income at regular corporate income tax rates, and we could not deduct dividends paid to our shareholders in computing taxable income. Any resulting corporate liability could be substantial and could materially and adversely affect our net income and net cash available for distribution to shareholders. Unless we were entitled to relief under certain Code provisions, we also would be disqualified from reelecting to be taxed as a REIT for the four taxable years following the year in which we failed to qualify as a REIT.</w:t>
      </w:r>
    </w:p>
    <w:p>
      <w:pPr>
        <w:spacing w:after="0" w:line="129" w:lineRule="exact"/>
        <w:rPr>
          <w:sz w:val="20"/>
          <w:szCs w:val="20"/>
          <w:color w:val="auto"/>
        </w:rPr>
      </w:pPr>
    </w:p>
    <w:p>
      <w:pPr>
        <w:ind w:right="60"/>
        <w:spacing w:after="0" w:line="290" w:lineRule="auto"/>
        <w:rPr>
          <w:sz w:val="20"/>
          <w:szCs w:val="20"/>
          <w:color w:val="auto"/>
        </w:rPr>
      </w:pPr>
      <w:r>
        <w:rPr>
          <w:rFonts w:ascii="Arial" w:cs="Arial" w:eastAsia="Arial" w:hAnsi="Arial"/>
          <w:sz w:val="11"/>
          <w:szCs w:val="11"/>
          <w:color w:val="auto"/>
        </w:rPr>
        <w:t>Subject to the restrictions imposed by the waiver and amendment to our Credit Agreement (as discussed below under “—Liquidity and Capital Resources—Credit Agreement”), our ability to make cash distributions to our shareholders in amounts exceeding 90% of our REIT taxable income, determined without regard to the dividends paid deduction and excluding any capital gains, generally will be restricted. As a result, we may be required to record a provision in our Consolidated Financial Statements for U.S. federal income taxes related to the activities of the REIT and its passthrough subsidiaries for any undistributed income. We are subject to the statutory requirements of the locations in which we conduct business, and state and local income taxes are accrued as deemed required in the best judgment of management based on analysis and interpretation of respective tax laws.</w:t>
      </w:r>
    </w:p>
    <w:p>
      <w:pPr>
        <w:spacing w:after="0" w:line="109"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We have elected to treat the subsidiaries through which we operate Uniti Fiber and Talk America as TRSs. TRSs enable us to engage in activities that result in income that does not constitute qualifying income for a REIT. Our TRSs are subject to U.S. federal, state and local corporate income taxes.</w:t>
      </w:r>
    </w:p>
    <w:p>
      <w:pPr>
        <w:spacing w:after="0" w:line="115"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Deferred tax assets and liabilities are recognized under the asset and liability method for the estimated future tax consequences attributable to differences between the financial statement carrying amounts of existing assets and liabilities and their respective tax bases. Deferred tax balances are adjusted to reflect tax rates based on currently enacted tax laws, which will be in effect in the years in which the temporary differences are expected to reverse. The effect on deferred tax assets and liabilities of a change in tax rates is recognized in the results of operations in the period of the enactment date. A valuation allowance is recorded to reduce the carrying amounts of deferred tax assets unless it is more likely than not that such assets will be realized.</w:t>
      </w:r>
    </w:p>
    <w:p>
      <w:pPr>
        <w:spacing w:after="0" w:line="125"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color w:val="auto"/>
        </w:rPr>
        <w:t>We recognize the benefit of tax positions that are "more likely than not" to be sustained upon examination based on their technical merit. The benefit of a tax position is measured at the largest amount that has a greater than 50 percent likelihood of being realized upon ultimate settlement. If applicable, we will report tax-related penalties and interest expense as a component of income tax expense.</w:t>
      </w:r>
    </w:p>
    <w:p>
      <w:pPr>
        <w:spacing w:after="0" w:line="115" w:lineRule="exact"/>
        <w:rPr>
          <w:sz w:val="20"/>
          <w:szCs w:val="20"/>
          <w:color w:val="auto"/>
        </w:rPr>
      </w:pPr>
    </w:p>
    <w:p>
      <w:pPr>
        <w:ind w:right="180"/>
        <w:spacing w:after="0" w:line="276" w:lineRule="auto"/>
        <w:rPr>
          <w:sz w:val="20"/>
          <w:szCs w:val="20"/>
          <w:color w:val="auto"/>
        </w:rPr>
      </w:pPr>
      <w:r>
        <w:rPr>
          <w:rFonts w:ascii="Arial" w:cs="Arial" w:eastAsia="Arial" w:hAnsi="Arial"/>
          <w:sz w:val="12"/>
          <w:szCs w:val="12"/>
          <w:color w:val="auto"/>
        </w:rPr>
        <w:t>The Company will be subject to a federal corporate level tax on any gain recognized from the sale of assets occurring within a five year recognition period after the Spin-Off up to the amount of the built in gain that existed on April 24, 2015, which is based on the fair market value of the assets in excess of the Company’s tax basis as of such date.</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Revenue Recognition</w:t>
      </w:r>
    </w:p>
    <w:p>
      <w:pPr>
        <w:spacing w:after="0" w:line="154" w:lineRule="exact"/>
        <w:rPr>
          <w:sz w:val="20"/>
          <w:szCs w:val="20"/>
          <w:color w:val="auto"/>
        </w:rPr>
      </w:pPr>
    </w:p>
    <w:p>
      <w:pPr>
        <w:ind w:right="160"/>
        <w:spacing w:after="0" w:line="263" w:lineRule="auto"/>
        <w:rPr>
          <w:sz w:val="20"/>
          <w:szCs w:val="20"/>
          <w:color w:val="auto"/>
        </w:rPr>
      </w:pPr>
      <w:r>
        <w:rPr>
          <w:rFonts w:ascii="Arial" w:cs="Arial" w:eastAsia="Arial" w:hAnsi="Arial"/>
          <w:sz w:val="12"/>
          <w:szCs w:val="12"/>
          <w:color w:val="auto"/>
        </w:rPr>
        <w:t>Leasing revenues are primarily derived from providing access to or usage of leased networks and facilities. Leasing revenues are recognized on a straight-line basis over the initial lease term. Revenues derived from other telecommunications services, including broadband, long distance and enhanced service revenues are recognized monthly as services are provided. Sales of customer premise equipment are recognized when products are delivered to and accepted by customers.</w:t>
      </w:r>
    </w:p>
    <w:p>
      <w:pPr>
        <w:spacing w:after="0" w:line="123" w:lineRule="exact"/>
        <w:rPr>
          <w:sz w:val="20"/>
          <w:szCs w:val="20"/>
          <w:color w:val="auto"/>
        </w:rPr>
      </w:pPr>
    </w:p>
    <w:p>
      <w:pPr>
        <w:jc w:val="center"/>
        <w:ind w:right="280"/>
        <w:spacing w:after="0"/>
        <w:rPr>
          <w:sz w:val="20"/>
          <w:szCs w:val="20"/>
          <w:color w:val="auto"/>
        </w:rPr>
      </w:pPr>
      <w:r>
        <w:rPr>
          <w:rFonts w:ascii="Arial" w:cs="Arial" w:eastAsia="Arial" w:hAnsi="Arial"/>
          <w:sz w:val="10"/>
          <w:szCs w:val="10"/>
          <w:color w:val="auto"/>
        </w:rPr>
        <w:t>Service revenues are primarily derived from providing broadband transport and backhaul communications services and are recognized when (i) persuasive evidence of an arrangement exists, (ii) the services have been provided to the</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45" w:name="page46"/>
    <w:bookmarkEnd w:id="4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line="146" w:lineRule="exact"/>
        <w:rPr>
          <w:sz w:val="20"/>
          <w:szCs w:val="20"/>
          <w:color w:val="auto"/>
        </w:rPr>
      </w:pPr>
      <w:r>
        <w:rPr>
          <w:rFonts w:ascii="Arial" w:cs="Arial" w:eastAsia="Arial" w:hAnsi="Arial"/>
          <w:sz w:val="11"/>
          <w:szCs w:val="11"/>
          <w:color w:val="auto"/>
        </w:rPr>
        <w:t>customer, (iii) the sales price is fixed or determinable, and (iv) the collection of the sales price is reasonably assured. Services provided to the Company’s customers are pursuant to contractual fee</w:t>
      </w:r>
      <w:r>
        <w:rPr>
          <w:rFonts w:ascii="MS PGothic" w:cs="MS PGothic" w:eastAsia="MS PGothic" w:hAnsi="MS PGothic"/>
          <w:sz w:val="11"/>
          <w:szCs w:val="11"/>
          <w:color w:val="auto"/>
        </w:rPr>
        <w:t>‑</w:t>
      </w:r>
      <w:r>
        <w:rPr>
          <w:rFonts w:ascii="Arial" w:cs="Arial" w:eastAsia="Arial" w:hAnsi="Arial"/>
          <w:sz w:val="11"/>
          <w:szCs w:val="11"/>
          <w:color w:val="auto"/>
        </w:rPr>
        <w:t>based arrangements, which generally provide for recurring fees charged for the use of designated portions of the Company’s network and typically range for a period of three to ten years. The Company’s revenue arrangements often include upfront fees charged to the customer for the cost of establishing the necessary components of the Company’s network prior to the commencement of use by the customer. Fees charged to customers for the recurring use of the Company’s network are recognized during the related periods of service. Upfront fees that are billed in advance of providing services are deferred until such time the customer accepts the Company’s network and then are recognized as service revenues ratably over a period in which substantive services required under the revenue arrangement are expected to be performed, which is the initial term of the arrangement.</w:t>
      </w:r>
    </w:p>
    <w:p>
      <w:pPr>
        <w:spacing w:after="0" w:line="13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Useful Lives of Assets</w:t>
      </w:r>
    </w:p>
    <w:p>
      <w:pPr>
        <w:spacing w:after="0" w:line="154" w:lineRule="exact"/>
        <w:rPr>
          <w:sz w:val="20"/>
          <w:szCs w:val="20"/>
          <w:color w:val="auto"/>
        </w:rPr>
      </w:pPr>
    </w:p>
    <w:p>
      <w:pPr>
        <w:ind w:right="240"/>
        <w:spacing w:after="0" w:line="263" w:lineRule="auto"/>
        <w:rPr>
          <w:sz w:val="20"/>
          <w:szCs w:val="20"/>
          <w:color w:val="auto"/>
        </w:rPr>
      </w:pPr>
      <w:r>
        <w:rPr>
          <w:rFonts w:ascii="Arial" w:cs="Arial" w:eastAsia="Arial" w:hAnsi="Arial"/>
          <w:sz w:val="12"/>
          <w:szCs w:val="12"/>
          <w:color w:val="auto"/>
        </w:rPr>
        <w:t>The calculation of depreciation and amortization expense is based on the estimated economic useful lives of the underlying property, plant and equipment and customer lists, tenant contracts and network intangible assets. Some of our Distribution Systems assets use a group composite depreciation method. Under this method, when a plant is retired, the original cost, net of salvage value, is charged against accumulated depreciation and no immediate gain or loss is recognized on the disposition of the plant.</w:t>
      </w:r>
    </w:p>
    <w:p>
      <w:pPr>
        <w:spacing w:after="0" w:line="123" w:lineRule="exact"/>
        <w:rPr>
          <w:sz w:val="20"/>
          <w:szCs w:val="20"/>
          <w:color w:val="auto"/>
        </w:rPr>
      </w:pPr>
    </w:p>
    <w:p>
      <w:pPr>
        <w:ind w:right="20"/>
        <w:spacing w:after="0" w:line="263" w:lineRule="auto"/>
        <w:rPr>
          <w:sz w:val="20"/>
          <w:szCs w:val="20"/>
          <w:color w:val="auto"/>
        </w:rPr>
      </w:pPr>
      <w:r>
        <w:rPr>
          <w:rFonts w:ascii="Arial" w:cs="Arial" w:eastAsia="Arial" w:hAnsi="Arial"/>
          <w:sz w:val="12"/>
          <w:szCs w:val="12"/>
          <w:color w:val="auto"/>
        </w:rPr>
        <w:t>Rapid changes in technology or changes in market conditions could result in significant changes to the estimated useful lives of our property, plant and equipment that could materially affect the carrying value of these assets and our future operating results. An extension of the average useful life of our property, plant and equipment of one year would decrease depreciation expense by approximately $27.2 million per year, while a reduction in the average useful life of one year would increase depreciation expense by approximately $36.6 million per year.</w:t>
      </w:r>
    </w:p>
    <w:p>
      <w:pPr>
        <w:spacing w:after="0" w:line="123" w:lineRule="exact"/>
        <w:rPr>
          <w:sz w:val="20"/>
          <w:szCs w:val="20"/>
          <w:color w:val="auto"/>
        </w:rPr>
      </w:pPr>
    </w:p>
    <w:p>
      <w:pPr>
        <w:ind w:right="40"/>
        <w:spacing w:after="0" w:line="263" w:lineRule="auto"/>
        <w:rPr>
          <w:sz w:val="20"/>
          <w:szCs w:val="20"/>
          <w:color w:val="auto"/>
        </w:rPr>
      </w:pPr>
      <w:r>
        <w:rPr>
          <w:rFonts w:ascii="Arial" w:cs="Arial" w:eastAsia="Arial" w:hAnsi="Arial"/>
          <w:sz w:val="12"/>
          <w:szCs w:val="12"/>
          <w:color w:val="auto"/>
        </w:rPr>
        <w:t>At December 31, 2018, our unamortized finite lived intangible assets totaled $432.8 million, and are amortized using the straight-line method over their estimated useful lives with the exception of the customer list intangible assets related to our Consumer CLEC Business, which were brought over at carry-over basis at the time of the Spin-Off, and are amortized using the sum-of-the-years’-digits method over their estimated useful lives. A reduction in the average useful lives of our finite lived intangible asset of one year would have increased the amount of amortization expense recorded in 2018 by approximately $1.2 million.</w:t>
      </w:r>
    </w:p>
    <w:p>
      <w:pPr>
        <w:spacing w:after="0" w:line="119"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Impairment of Property, Plant and Equipment</w:t>
      </w:r>
    </w:p>
    <w:p>
      <w:pPr>
        <w:spacing w:after="0" w:line="154" w:lineRule="exact"/>
        <w:rPr>
          <w:sz w:val="20"/>
          <w:szCs w:val="20"/>
          <w:color w:val="auto"/>
        </w:rPr>
      </w:pPr>
    </w:p>
    <w:p>
      <w:pPr>
        <w:ind w:right="20"/>
        <w:spacing w:after="0" w:line="259" w:lineRule="auto"/>
        <w:rPr>
          <w:sz w:val="20"/>
          <w:szCs w:val="20"/>
          <w:color w:val="auto"/>
        </w:rPr>
      </w:pPr>
      <w:r>
        <w:rPr>
          <w:rFonts w:ascii="Arial" w:cs="Arial" w:eastAsia="Arial" w:hAnsi="Arial"/>
          <w:sz w:val="12"/>
          <w:szCs w:val="12"/>
          <w:color w:val="auto"/>
        </w:rPr>
        <w:t>We continually monitor events and changes in circumstances that could indicate that the carrying amount of our property, plant and equipment may not be recoverable or realized. When indicators of potential impairment suggest that the carrying value may not be recoverable, we assess the recoverability by estimating whether we will recover the carrying value of those assets through its undiscounted future cash flows and the eventual disposition of the asset. If, based on this analysis, we do not believe that we will be able to recover the carrying value of our property, plant and equipment, we would record an impairment loss to the extent that the carrying value exceeds the estimated fair value of the related assets. During the years ended December 31, 2018, 2017 and 2016, no impairment losses were recognized.</w:t>
      </w:r>
    </w:p>
    <w:p>
      <w:pPr>
        <w:spacing w:after="0" w:line="12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Business Combinations</w:t>
      </w:r>
    </w:p>
    <w:p>
      <w:pPr>
        <w:spacing w:after="0" w:line="154" w:lineRule="exact"/>
        <w:rPr>
          <w:sz w:val="20"/>
          <w:szCs w:val="20"/>
          <w:color w:val="auto"/>
        </w:rPr>
      </w:pPr>
    </w:p>
    <w:p>
      <w:pPr>
        <w:ind w:right="60"/>
        <w:spacing w:after="0" w:line="255" w:lineRule="auto"/>
        <w:rPr>
          <w:sz w:val="20"/>
          <w:szCs w:val="20"/>
          <w:color w:val="auto"/>
        </w:rPr>
      </w:pPr>
      <w:r>
        <w:rPr>
          <w:rFonts w:ascii="Arial" w:cs="Arial" w:eastAsia="Arial" w:hAnsi="Arial"/>
          <w:sz w:val="12"/>
          <w:szCs w:val="12"/>
          <w:color w:val="auto"/>
        </w:rPr>
        <w:t>We apply the acquisition method of accounting for acquisitions meeting the definition of a business combination or asset acquisition, where assets acquired and liabilities assumed are recorded at fair value at the date of each acquisition, and the results of operations are included with those of the Company from the dates of the respective acquisitions. The fair value of the acquired assets and liabilities are estimated using the income, market and/or cost approach. The income approach utilizes the present value of estimated future cash flows that a business or asset can be expected to generate, while under the market approach, the fair value of an asset or business reflects the price at which comparable assets are purchased under similar circumstances. Inherent in our preparation of cash flow projections are significant assumptions and estimates derived from a review of operating results, business plans, expected growth rates, capital expenditure plans, cost of capital and tax rates. We also make certain forecasts about future economic conditions, interest rates and other market data. Many of the factors used in assessing fair value are outside the control of management. Small changes in these assumptions or estimates could materially affect the cash</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46" w:name="page47"/>
    <w:bookmarkEnd w:id="4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flow projections, and therefore could affect the estimated fair value. Impact these assumptions or estimates include customer retention, execution of our business plans, which impact growth, cost escalation impacting margin, the level of capital expenditures required to sustain our growth and market factors, including stock price fluctuations and increased rates, impacting our cost of capital.</w:t>
      </w:r>
    </w:p>
    <w:p>
      <w:pPr>
        <w:spacing w:after="0" w:line="115" w:lineRule="exact"/>
        <w:rPr>
          <w:sz w:val="20"/>
          <w:szCs w:val="20"/>
          <w:color w:val="auto"/>
        </w:rPr>
      </w:pPr>
    </w:p>
    <w:p>
      <w:pPr>
        <w:ind w:right="60"/>
        <w:spacing w:after="0" w:line="286" w:lineRule="auto"/>
        <w:rPr>
          <w:sz w:val="20"/>
          <w:szCs w:val="20"/>
          <w:color w:val="auto"/>
        </w:rPr>
      </w:pPr>
      <w:r>
        <w:rPr>
          <w:rFonts w:ascii="Arial" w:cs="Arial" w:eastAsia="Arial" w:hAnsi="Arial"/>
          <w:sz w:val="11"/>
          <w:szCs w:val="11"/>
          <w:color w:val="auto"/>
        </w:rPr>
        <w:t xml:space="preserve">For acquisitions meeting the definition of a business combination, any excess of the purchase price paid by the Company over the amounts recognized for assets acquired and liabilities assumed is recorded as goodwill. ASC 805, </w:t>
      </w:r>
      <w:r>
        <w:rPr>
          <w:rFonts w:ascii="Arial" w:cs="Arial" w:eastAsia="Arial" w:hAnsi="Arial"/>
          <w:sz w:val="11"/>
          <w:szCs w:val="11"/>
          <w:i w:val="1"/>
          <w:iCs w:val="1"/>
          <w:color w:val="auto"/>
        </w:rPr>
        <w:t>Business</w:t>
      </w:r>
      <w:r>
        <w:rPr>
          <w:rFonts w:ascii="Arial" w:cs="Arial" w:eastAsia="Arial" w:hAnsi="Arial"/>
          <w:sz w:val="11"/>
          <w:szCs w:val="11"/>
          <w:color w:val="auto"/>
        </w:rPr>
        <w:t xml:space="preserve"> </w:t>
      </w:r>
      <w:r>
        <w:rPr>
          <w:rFonts w:ascii="Arial" w:cs="Arial" w:eastAsia="Arial" w:hAnsi="Arial"/>
          <w:sz w:val="11"/>
          <w:szCs w:val="11"/>
          <w:i w:val="1"/>
          <w:iCs w:val="1"/>
          <w:color w:val="auto"/>
        </w:rPr>
        <w:t>Combinations</w:t>
      </w:r>
      <w:r>
        <w:rPr>
          <w:rFonts w:ascii="Arial" w:cs="Arial" w:eastAsia="Arial" w:hAnsi="Arial"/>
          <w:sz w:val="11"/>
          <w:szCs w:val="11"/>
          <w:color w:val="auto"/>
        </w:rPr>
        <w:t>, also requires acquirers to, among other things, estimate the acquisition date fair value of any contingent consideration and recognize any subsequent changes in the fair value of contingent consideration in earnings. When</w:t>
      </w:r>
      <w:r>
        <w:rPr>
          <w:rFonts w:ascii="Arial" w:cs="Arial" w:eastAsia="Arial" w:hAnsi="Arial"/>
          <w:sz w:val="11"/>
          <w:szCs w:val="11"/>
          <w:i w:val="1"/>
          <w:iCs w:val="1"/>
          <w:color w:val="auto"/>
        </w:rPr>
        <w:t xml:space="preserve"> </w:t>
      </w:r>
      <w:r>
        <w:rPr>
          <w:rFonts w:ascii="Arial" w:cs="Arial" w:eastAsia="Arial" w:hAnsi="Arial"/>
          <w:sz w:val="11"/>
          <w:szCs w:val="11"/>
          <w:color w:val="auto"/>
        </w:rPr>
        <w:t>provisional amounts are initially recorded, the Company continues to evaluate acquisitions for a period not to exceed one year after the applicable acquisition date of each transaction to determine whether any additional adjustments are needed to the allocation of the purchase price paid for the assets acquired and liabilities assumed. For acquisitions meeting the definition of an asset acquisition, the fair value of the consideration transferred, including transaction costs, is allocated to the assets acquired and liabilities assumed based on their relative fair values. No goodwill is recognized in an asset acquisition.</w:t>
      </w:r>
    </w:p>
    <w:p>
      <w:pPr>
        <w:spacing w:after="0" w:line="107"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Goodwill</w:t>
      </w:r>
    </w:p>
    <w:p>
      <w:pPr>
        <w:spacing w:after="0" w:line="154" w:lineRule="exact"/>
        <w:rPr>
          <w:sz w:val="20"/>
          <w:szCs w:val="20"/>
          <w:color w:val="auto"/>
        </w:rPr>
      </w:pPr>
    </w:p>
    <w:p>
      <w:pPr>
        <w:ind w:right="100"/>
        <w:spacing w:after="0" w:line="257" w:lineRule="auto"/>
        <w:rPr>
          <w:sz w:val="20"/>
          <w:szCs w:val="20"/>
          <w:color w:val="auto"/>
        </w:rPr>
      </w:pPr>
      <w:r>
        <w:rPr>
          <w:rFonts w:ascii="Arial" w:cs="Arial" w:eastAsia="Arial" w:hAnsi="Arial"/>
          <w:sz w:val="12"/>
          <w:szCs w:val="12"/>
          <w:color w:val="auto"/>
        </w:rPr>
        <w:t>Goodwill is recognized for the excess of purchase price over the fair value of net assets of businesses acquired. Goodwill is reviewed for impairment at least annually. In accordance with ASC 350-20, Intangibles-Goodwill and Other, we evaluate goodwill for impairment between annual impairment tests if an event occurs or circumstances change that would more likely than not reduce the fair value of a reporting unit below its carrying amount. Unless circumstances otherwise dictate, the annual impairment test is performed in the fourth quarter. Application of the goodwill impairment test requires significant judgment, including: the identification of reporting units; assignment of assets and liabilities to reporting units; assignment of goodwill to reporting units; determination of the fair value of each reporting unit; and an assumption as to the form of the transaction in which the reporting unit would be acquired by a market participant (either a taxable or nontaxable transaction).</w:t>
      </w:r>
    </w:p>
    <w:p>
      <w:pPr>
        <w:spacing w:after="0" w:line="126"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We estimate the fair value of our reporting units (which are our segments) using a combination of an income approach based on the present value of estimated future cash flows and a market approach based on market data of comparable businesses and acquisition multiples paid in recent transactions. If the carrying value of a reporting unit's net assets is less than its fair value, no indication of impairment exists. If the carrying amount of the reporting unit is greater than the fair value of the reporting unit, an impairment loss must be recognized for the excess and charged to operations not exceed the carrying value of goodwill.</w:t>
      </w:r>
    </w:p>
    <w:p>
      <w:pPr>
        <w:spacing w:after="0" w:line="123" w:lineRule="exact"/>
        <w:rPr>
          <w:sz w:val="20"/>
          <w:szCs w:val="20"/>
          <w:color w:val="auto"/>
        </w:rPr>
      </w:pPr>
    </w:p>
    <w:p>
      <w:pPr>
        <w:ind w:right="20"/>
        <w:spacing w:after="0" w:line="255" w:lineRule="auto"/>
        <w:rPr>
          <w:sz w:val="20"/>
          <w:szCs w:val="20"/>
          <w:color w:val="auto"/>
        </w:rPr>
      </w:pPr>
      <w:r>
        <w:rPr>
          <w:rFonts w:ascii="Arial" w:cs="Arial" w:eastAsia="Arial" w:hAnsi="Arial"/>
          <w:sz w:val="12"/>
          <w:szCs w:val="12"/>
          <w:color w:val="auto"/>
        </w:rPr>
        <w:t>Inherent in our preparation of cash flow projections are significant assumptions and estimates derived from a review of our operating results, business plans, expected growth rates, capital expenditure plans, cost of capital and tax rates. We also make certain forecasts about future economic conditions, interest rates and other market data. Many of the factors used in assessing fair value are outside the control of management, and these assumptions and estimates may change in future periods. Small changes in these assumptions or estimates could materially affect our cash flow projections, and therefore could affect the likelihood and amount of potential impairment. Potential events that could negatively impact these assumptions or estimates include customer losses or poor execution of our business plans, which impact growth, cost escalation impacting margin, the level of capital expenditures required to sustain our growth and market factors, including stock price fluctuations and increased rates, impacting our cost of capital. The market approach uses market data of comparable business and acquisition multiples paid in recent transactions to estimate fair value, and a declines in these multiples could affect the likelihood and amount of potential impairment.</w:t>
      </w:r>
    </w:p>
    <w:p>
      <w:pPr>
        <w:spacing w:after="0" w:line="129" w:lineRule="exact"/>
        <w:rPr>
          <w:sz w:val="20"/>
          <w:szCs w:val="20"/>
          <w:color w:val="auto"/>
        </w:rPr>
      </w:pPr>
    </w:p>
    <w:p>
      <w:pPr>
        <w:ind w:right="320"/>
        <w:spacing w:after="0" w:line="276" w:lineRule="auto"/>
        <w:rPr>
          <w:sz w:val="20"/>
          <w:szCs w:val="20"/>
          <w:color w:val="auto"/>
        </w:rPr>
      </w:pPr>
      <w:r>
        <w:rPr>
          <w:rFonts w:ascii="Arial" w:cs="Arial" w:eastAsia="Arial" w:hAnsi="Arial"/>
          <w:sz w:val="12"/>
          <w:szCs w:val="12"/>
          <w:color w:val="auto"/>
        </w:rPr>
        <w:t>As of December 31, 2018 and 2017, all of our Goodwill is included in our Fiber Infrastructure segment. We performed our goodwill impairment analysis during the fourth quarter and we concluded the implied fair value of our Fiber Infrastructure reporting unit was in excess of its carrying value by less than 5%. During the years ended December 31, 2018 and 2017, no impairment losses were recognized.</w:t>
      </w:r>
    </w:p>
    <w:p>
      <w:pPr>
        <w:spacing w:after="0" w:line="115" w:lineRule="exact"/>
        <w:rPr>
          <w:sz w:val="20"/>
          <w:szCs w:val="20"/>
          <w:color w:val="auto"/>
        </w:rPr>
      </w:pPr>
    </w:p>
    <w:p>
      <w:pPr>
        <w:ind w:right="220"/>
        <w:spacing w:after="0" w:line="276" w:lineRule="auto"/>
        <w:rPr>
          <w:sz w:val="20"/>
          <w:szCs w:val="20"/>
          <w:color w:val="auto"/>
        </w:rPr>
      </w:pPr>
      <w:r>
        <w:rPr>
          <w:rFonts w:ascii="Arial" w:cs="Arial" w:eastAsia="Arial" w:hAnsi="Arial"/>
          <w:sz w:val="12"/>
          <w:szCs w:val="12"/>
          <w:color w:val="auto"/>
        </w:rPr>
        <w:t>In light of the recent developments surrounding Windstream, as noted in Item 1A Risk factors, if there were to be a material change in the forecasted cash flows at Uniti Fiber, including the level of capital expenditures, our conclusions regarding the likelihood and amount of any potential impairment could change.</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47" w:name="page48"/>
    <w:bookmarkEnd w:id="4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Liquidity and Capital Resources</w:t>
      </w:r>
    </w:p>
    <w:p>
      <w:pPr>
        <w:spacing w:after="0" w:line="154" w:lineRule="exact"/>
        <w:rPr>
          <w:sz w:val="20"/>
          <w:szCs w:val="20"/>
          <w:color w:val="auto"/>
        </w:rPr>
      </w:pPr>
    </w:p>
    <w:p>
      <w:pPr>
        <w:spacing w:after="0" w:line="298" w:lineRule="auto"/>
        <w:rPr>
          <w:sz w:val="20"/>
          <w:szCs w:val="20"/>
          <w:color w:val="auto"/>
        </w:rPr>
      </w:pPr>
      <w:r>
        <w:rPr>
          <w:rFonts w:ascii="Arial" w:cs="Arial" w:eastAsia="Arial" w:hAnsi="Arial"/>
          <w:sz w:val="11"/>
          <w:szCs w:val="11"/>
          <w:color w:val="auto"/>
        </w:rPr>
        <w:t>Our principal liquidity needs are to fund operating expenses, meet debt service requirements, fund investment activities, and make dividend distributions. Our primary sources of liquidity and capital resources are cash on hand, cash provided by operating activities (primarily arising under the Master Lease with Windstream), borrowings under our credit agreement by and among the Operating Partnership, CSL Capital, LLC and Uniti Group Finance Inc., the guarantors and lenders party thereto and Bank of America, N.A., as administrative agent and collateral agent (the “Credit Agreement”), and proceeds from the issuance of debt and equity securities.</w:t>
      </w:r>
    </w:p>
    <w:p>
      <w:pPr>
        <w:spacing w:after="0" w:line="105" w:lineRule="exact"/>
        <w:rPr>
          <w:sz w:val="20"/>
          <w:szCs w:val="20"/>
          <w:color w:val="auto"/>
        </w:rPr>
      </w:pPr>
    </w:p>
    <w:p>
      <w:pPr>
        <w:ind w:right="220"/>
        <w:spacing w:after="0" w:line="276" w:lineRule="auto"/>
        <w:rPr>
          <w:sz w:val="20"/>
          <w:szCs w:val="20"/>
          <w:color w:val="auto"/>
        </w:rPr>
      </w:pPr>
      <w:r>
        <w:rPr>
          <w:rFonts w:ascii="Arial" w:cs="Arial" w:eastAsia="Arial" w:hAnsi="Arial"/>
          <w:sz w:val="12"/>
          <w:szCs w:val="12"/>
          <w:color w:val="auto"/>
        </w:rPr>
        <w:t>As of December 31, 2018, we had $38.0 million of unrestricted cash and cash equivalents, and $110.0 million of undrawn borrowing capacity under the senior secured revolving credit facility pursuant to the Credit Agreement, variable rate, that matures April 24, 2020 (the “Revolving Credit Facility”). Subsequent to December 31, 2018, we have borrowed substantially all remaining capacity under the Revolving Credit Facility.</w:t>
      </w:r>
    </w:p>
    <w:p>
      <w:pPr>
        <w:spacing w:after="0" w:line="115"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color w:val="auto"/>
        </w:rPr>
        <w:t>Cash provided by operating activities totaled $472.8 million, $405.3 million and $376.0 million for the years ended December 31, 2018, 2017 and 2016, respectively. Cash provided by operating activities is primarily attributable to our leasing activities.</w:t>
      </w:r>
    </w:p>
    <w:p>
      <w:pPr>
        <w:spacing w:after="0" w:line="115" w:lineRule="exact"/>
        <w:rPr>
          <w:sz w:val="20"/>
          <w:szCs w:val="20"/>
          <w:color w:val="auto"/>
        </w:rPr>
      </w:pPr>
    </w:p>
    <w:p>
      <w:pPr>
        <w:ind w:right="40"/>
        <w:spacing w:after="0" w:line="290" w:lineRule="auto"/>
        <w:rPr>
          <w:sz w:val="20"/>
          <w:szCs w:val="20"/>
          <w:color w:val="auto"/>
        </w:rPr>
      </w:pPr>
      <w:r>
        <w:rPr>
          <w:rFonts w:ascii="Arial" w:cs="Arial" w:eastAsia="Arial" w:hAnsi="Arial"/>
          <w:sz w:val="11"/>
          <w:szCs w:val="11"/>
          <w:color w:val="auto"/>
        </w:rPr>
        <w:t>Cash used in investing activities was $480.5 million for the year ended December 31, 2018, which was driven by capital expenditures ($423.6 million), primarily related to our Uniti Fiber and Uniti Leasing businesses, and the acquisition of ITS ($53.7 million). Cash used in investing activities was $1.0 billion for the year ended December 31, 2017, which was driven by the acquisitions of Southern Light ($636.1 million), Hunt ($126.0 million), NMS assets ($69.7 million), ground lease investments ($21.8 million), partially offset by a Tower Cloud working capital adjustment ($0.2 million) and capital expenditures ($166.0 million), primarily related to our Uniti Fiber and Uniti Towers businesses. Cash used in investing activities was $535.2 million for the year ended December 31, 2016, which was driven by the acquisitions of PEG Bandwidth ($315.4 million) and Tower Cloud ($173.4 million) and capital expenditures ($46.4 million).</w:t>
      </w:r>
    </w:p>
    <w:p>
      <w:pPr>
        <w:spacing w:after="0" w:line="109" w:lineRule="exact"/>
        <w:rPr>
          <w:sz w:val="20"/>
          <w:szCs w:val="20"/>
          <w:color w:val="auto"/>
        </w:rPr>
      </w:pPr>
    </w:p>
    <w:p>
      <w:pPr>
        <w:ind w:right="40"/>
        <w:spacing w:after="0" w:line="281" w:lineRule="auto"/>
        <w:rPr>
          <w:sz w:val="20"/>
          <w:szCs w:val="20"/>
          <w:color w:val="auto"/>
        </w:rPr>
      </w:pPr>
      <w:r>
        <w:rPr>
          <w:rFonts w:ascii="Arial" w:cs="Arial" w:eastAsia="Arial" w:hAnsi="Arial"/>
          <w:sz w:val="11"/>
          <w:szCs w:val="11"/>
          <w:color w:val="auto"/>
        </w:rPr>
        <w:t>Cash used in financing activities was $13.8 million for the year ended December 31, 2018, which was driven by dividend payments ($426.1 million), principal payments on our senior secured term loan ($21.1 million), contingent consideration payments ($18.6 million), distributions to noncontrolling interest ($9.9 million), partially offset by net borrowings under the Revolving Credit Facility ($360.0 million) and net proceeds under our ATM Program ($109.4 million). Cash provided by financing activities was $502.0 million for the year ended December 31, 2017, which primarily represents the net proceeds from the sale of common stock through a public offering ($498.9 million) and proceeds from the 2024 Notes issued in May 2017 ($201.0 million), which were used to fund the acquisitions of Southern Light and Hunt, and net borrowings under the Revolving Credit Facility ($280.0 million), partially offset by dividend payments ($400.2 million), deferred financing costs related to the term loan repricing and 2024 Notes issued in May 2017 ($28.5 million), contingent consideration payments ($19.9 million), and principal payments related to the senior secured term loan ($21.1 million). Cash provided by financing activities was $188.8 million for the year ended December 31, 2016, which primarily represents the proceeds from the 2024 Notes ($400 million), add-on Notes issued in June 2016 ($148.9 million), proceeds from the sale of common stock ($54.2 million), partially offset by dividend payments ($367.8 million) and principal payments related to the Term Loan Facility ($22.0 million).</w:t>
      </w:r>
    </w:p>
    <w:p>
      <w:pPr>
        <w:spacing w:after="0" w:line="116"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Windstream Master Lease</w:t>
      </w:r>
    </w:p>
    <w:p>
      <w:pPr>
        <w:spacing w:after="0" w:line="150" w:lineRule="exact"/>
        <w:rPr>
          <w:sz w:val="20"/>
          <w:szCs w:val="20"/>
          <w:color w:val="auto"/>
        </w:rPr>
      </w:pPr>
    </w:p>
    <w:p>
      <w:pPr>
        <w:ind w:right="120"/>
        <w:spacing w:after="0" w:line="286" w:lineRule="auto"/>
        <w:rPr>
          <w:sz w:val="20"/>
          <w:szCs w:val="20"/>
          <w:color w:val="auto"/>
        </w:rPr>
      </w:pPr>
      <w:r>
        <w:rPr>
          <w:rFonts w:ascii="Arial" w:cs="Arial" w:eastAsia="Arial" w:hAnsi="Arial"/>
          <w:sz w:val="11"/>
          <w:szCs w:val="11"/>
          <w:color w:val="auto"/>
        </w:rPr>
        <w:t>A substantial portion of our leasing revenue and cash flow from operations is derived from the Master Lease with Windstream. The Master Lease has an initial term of 15 years which, at the option of Windstream, may be extended for up to four renewal terms of five years each beyond the initial term. In addition, Windstream has the right to extend the initial term from 15 years to 20 years and, if exercised, the number of renewal terms will be reduced to three so that the maximum term (taking into account all renewals) is 35 years. Commencing with the fourth year, the rent is subject to annual escalation of 0.5%, and cash rents recorded during the year ended December 31, 2018 was $655.7 million. The rent for the first year of each renewal term will be an amount agreed to by us and Windstream, or if we are unable to agree, the renewal rent will be determined by an independent appraisal process. Commencing with the second year of each renewal term, the renewal rent will increase at an escalation rate of 0.5%. In addition, if we fund any capital improvements requested by Windstream, the rent will be increased to account for such funding.</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48" w:name="page49"/>
    <w:bookmarkEnd w:id="4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20"/>
        <w:spacing w:after="0" w:line="263" w:lineRule="auto"/>
        <w:rPr>
          <w:sz w:val="20"/>
          <w:szCs w:val="20"/>
          <w:color w:val="auto"/>
        </w:rPr>
      </w:pPr>
      <w:r>
        <w:rPr>
          <w:rFonts w:ascii="Arial" w:cs="Arial" w:eastAsia="Arial" w:hAnsi="Arial"/>
          <w:sz w:val="12"/>
          <w:szCs w:val="12"/>
          <w:color w:val="auto"/>
        </w:rPr>
        <w:t>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 In response to the adverse outcome, on February 25, 2019, Windstream filed a voluntary petition for relief under Chapter 11 of the Bankruptcy Code in the U.S. Bankruptcy Court for the Southern District of New York.</w:t>
      </w:r>
    </w:p>
    <w:p>
      <w:pPr>
        <w:spacing w:after="0" w:line="123"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In bankruptcy,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insurance and maintenance expenses) to preserve the value of our properties and avoid the imposition of liens on our properties and could impact our ability to fund other cash obligations, including dividends necessary to maintain REIT status, non-essential capital expenditures, compliance with debt covenants and, in an extreme case, our debt service obligations. See Item 1A Risk Factors for additional information concerning the impact Windstream’s bankruptcy may have on our operations and financial condition. A rejection by Windstream of the Master Lease or its inability or unwillingness to meet its rent and other obligations under the Master Lease could materially adversely affect our consolidated results of operations, liquidity, and financial condition, including our ability to service debt and pay dividends to our stockholders as required to maintain our status as a REIT.</w:t>
      </w:r>
    </w:p>
    <w:p>
      <w:pPr>
        <w:spacing w:after="0" w:line="129" w:lineRule="exact"/>
        <w:rPr>
          <w:sz w:val="20"/>
          <w:szCs w:val="20"/>
          <w:color w:val="auto"/>
        </w:rPr>
      </w:pPr>
    </w:p>
    <w:p>
      <w:pPr>
        <w:ind w:right="120"/>
        <w:spacing w:after="0" w:line="340" w:lineRule="auto"/>
        <w:rPr>
          <w:sz w:val="20"/>
          <w:szCs w:val="20"/>
          <w:color w:val="auto"/>
        </w:rPr>
      </w:pPr>
      <w:r>
        <w:rPr>
          <w:rFonts w:ascii="Arial" w:cs="Arial" w:eastAsia="Arial" w:hAnsi="Arial"/>
          <w:sz w:val="10"/>
          <w:szCs w:val="10"/>
          <w:color w:val="auto"/>
        </w:rPr>
        <w:t>In the event of a rejection of the Master Lease, we cannot assure you that we will be able to locate a suitable replacement tenant or if we are successful in locating a replacement tenant, that the rental payments from the new tenant would not be significantly less than the existing rental payments. In addition, a rejection of the Master Lease by Windstream would result in an “event of default” under our Credit Agreement if we are unable to enter into a replacement lease that satisfies certain criteria set forth in the Credit Agreement within ninety (90) calendar days and we do not maintain pro forma compliance with a consolidated secured leverage ratio, as defined in the Credit Agreement, of 5.00 to 1.00.</w:t>
      </w:r>
    </w:p>
    <w:p>
      <w:pPr>
        <w:spacing w:after="0" w:line="88"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At-the-Market Common Stock Offering Program</w:t>
      </w:r>
    </w:p>
    <w:p>
      <w:pPr>
        <w:spacing w:after="0" w:line="150" w:lineRule="exact"/>
        <w:rPr>
          <w:sz w:val="20"/>
          <w:szCs w:val="20"/>
          <w:color w:val="auto"/>
        </w:rPr>
      </w:pPr>
    </w:p>
    <w:p>
      <w:pPr>
        <w:ind w:right="40"/>
        <w:spacing w:after="0" w:line="290" w:lineRule="auto"/>
        <w:rPr>
          <w:sz w:val="20"/>
          <w:szCs w:val="20"/>
          <w:color w:val="auto"/>
        </w:rPr>
      </w:pPr>
      <w:r>
        <w:rPr>
          <w:rFonts w:ascii="Arial" w:cs="Arial" w:eastAsia="Arial" w:hAnsi="Arial"/>
          <w:sz w:val="11"/>
          <w:szCs w:val="11"/>
          <w:color w:val="auto"/>
        </w:rPr>
        <w:t>We have an effective shelf registration statement on file with the SEC (the “Registration Statement”) to offer and sell various securities from time to time. Under the Registration Statement, we have established an at-the-market common stock offering program (the “ATM Program”) to sell shares of common stock having an aggregate offering price of up to $250.0 million. During the year ended December 31, 2018, we issued and sold 5.5 million shares of common stock at a weighted average price of $20.19 per share under the ATM Program, receiving net proceeds of $109.4 million, after commissions of $1.4 million and other offering costs. As of December 31, 2018, we have approximately $139.0 million available for issuance under the ATM Program. This program provides additional financial flexibility and an alternative mechanism to access the capital markets at an efficient cost as and when we need financing.</w:t>
      </w:r>
    </w:p>
    <w:p>
      <w:pPr>
        <w:spacing w:after="0" w:line="109"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UPREIT Operating Partnership Units</w:t>
      </w:r>
    </w:p>
    <w:p>
      <w:pPr>
        <w:spacing w:after="0" w:line="150"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During 2017, the Company completed its reorganization (the “up-REIT Reorganization”) to operate through a customary “up-REIT” structure. Under this structure, the Operating Partnership now holds substantially all of the Company’s assets and is the parent company of, among others, CSL Capital, LLC, Uniti Group Finance Inc. and Uniti Fiber Holdings Inc.</w:t>
      </w:r>
    </w:p>
    <w:p>
      <w:pPr>
        <w:spacing w:after="0" w:line="115" w:lineRule="exact"/>
        <w:rPr>
          <w:sz w:val="20"/>
          <w:szCs w:val="20"/>
          <w:color w:val="auto"/>
        </w:rPr>
      </w:pPr>
    </w:p>
    <w:p>
      <w:pPr>
        <w:ind w:right="80"/>
        <w:spacing w:after="0" w:line="259" w:lineRule="auto"/>
        <w:rPr>
          <w:sz w:val="20"/>
          <w:szCs w:val="20"/>
          <w:color w:val="auto"/>
        </w:rPr>
      </w:pPr>
      <w:r>
        <w:rPr>
          <w:rFonts w:ascii="Arial" w:cs="Arial" w:eastAsia="Arial" w:hAnsi="Arial"/>
          <w:sz w:val="12"/>
          <w:szCs w:val="12"/>
          <w:color w:val="auto"/>
        </w:rPr>
        <w:t>Our UPREIT structure, enables us to acquire properties by issuing to sellers, as a form of consideration, limited partnership interests in our operating partnership, (commonly called “OP Units”). The limited partner equity interests in the Operating Partnership are exchangeable on a one-for-one basis for shares of our common stock or, at our election, cash of equivalent value. We believe that this structure will facilitate our ability to acquire individual properties and portfolios of properties by enabling us to structure transactions which will defer taxes payable by a seller while preserving our available cash for other purposes, including the possible payment of dividends. We issued limited partnership interests as part of the acquisition consideration for the acquisitions of Hunt and Southern Light in 2017.</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49" w:name="page50"/>
    <w:bookmarkEnd w:id="4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Senior Notes</w:t>
      </w:r>
    </w:p>
    <w:p>
      <w:pPr>
        <w:spacing w:after="0" w:line="150" w:lineRule="exact"/>
        <w:rPr>
          <w:sz w:val="20"/>
          <w:szCs w:val="20"/>
          <w:color w:val="auto"/>
        </w:rPr>
      </w:pPr>
    </w:p>
    <w:p>
      <w:pPr>
        <w:ind w:right="180"/>
        <w:spacing w:after="0" w:line="263" w:lineRule="auto"/>
        <w:rPr>
          <w:sz w:val="20"/>
          <w:szCs w:val="20"/>
          <w:color w:val="auto"/>
        </w:rPr>
      </w:pPr>
      <w:r>
        <w:rPr>
          <w:rFonts w:ascii="Arial" w:cs="Arial" w:eastAsia="Arial" w:hAnsi="Arial"/>
          <w:sz w:val="12"/>
          <w:szCs w:val="12"/>
          <w:color w:val="auto"/>
        </w:rPr>
        <w:t>At December 31, 2018, the Operating Partnership and its wholly-owned subsidiaries, CSL Capital, LLC, and Uniti Group Finance Inc. (collectively, the “Borrowers”) had outstanding $550.0 million aggregate principal amount of 6.00% Senior Secured Notes due April 15, 2023 (the “Secured Notes”), $1.11 billion aggregate principal amount of 8.25% Senior Notes due October 15, 2023 (the “2023 Notes”) and $600 million aggregate principal amount of 7.125% Senior Unsecured Notes due December 15, 2024 (the “2024 Notes,” and together with the Secured Notes and 2023 Notes, the “Notes”).</w:t>
      </w:r>
    </w:p>
    <w:p>
      <w:pPr>
        <w:spacing w:after="0" w:line="123" w:lineRule="exact"/>
        <w:rPr>
          <w:sz w:val="20"/>
          <w:szCs w:val="20"/>
          <w:color w:val="auto"/>
        </w:rPr>
      </w:pPr>
    </w:p>
    <w:p>
      <w:pPr>
        <w:ind w:right="80"/>
        <w:spacing w:after="0" w:line="269" w:lineRule="auto"/>
        <w:rPr>
          <w:sz w:val="20"/>
          <w:szCs w:val="20"/>
          <w:color w:val="auto"/>
        </w:rPr>
      </w:pPr>
      <w:r>
        <w:rPr>
          <w:rFonts w:ascii="Arial" w:cs="Arial" w:eastAsia="Arial" w:hAnsi="Arial"/>
          <w:sz w:val="12"/>
          <w:szCs w:val="12"/>
          <w:color w:val="auto"/>
        </w:rPr>
        <w:t>In connection with the up-REIT Reorganization, the Operating Partnership replaced the Company and assumed its obligations as an obligor under the Notes and Facilities. The Company subsequently became a guarantor of the Notes and Facilities. Because the Operating Partnership is not a corporation, a corporate co-obligor that is a subsidiary of the Operating Partnership was also added to the Notes and Credit Agreement as part of the up-REIT Reorganization. Uniti Group Finance Inc. is the corporate co-obligor under the Credit Agreement and co-issuer of the Secured Notes and the 2023 Notes, and Uniti Fiber Holdings Inc. is the co-issuer of the 2024 Notes. Separate financial statements of the Operating Partnership have not been included since the Operating Partnership is not a registrant.</w:t>
      </w:r>
    </w:p>
    <w:p>
      <w:pPr>
        <w:spacing w:after="0" w:line="120"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Credit Agreement</w:t>
      </w:r>
    </w:p>
    <w:p>
      <w:pPr>
        <w:spacing w:after="0" w:line="150" w:lineRule="exact"/>
        <w:rPr>
          <w:sz w:val="20"/>
          <w:szCs w:val="20"/>
          <w:color w:val="auto"/>
        </w:rPr>
      </w:pPr>
    </w:p>
    <w:p>
      <w:pPr>
        <w:ind w:right="140"/>
        <w:spacing w:after="0" w:line="290" w:lineRule="auto"/>
        <w:rPr>
          <w:sz w:val="20"/>
          <w:szCs w:val="20"/>
          <w:color w:val="auto"/>
        </w:rPr>
      </w:pPr>
      <w:r>
        <w:rPr>
          <w:rFonts w:ascii="Arial" w:cs="Arial" w:eastAsia="Arial" w:hAnsi="Arial"/>
          <w:sz w:val="11"/>
          <w:szCs w:val="11"/>
          <w:color w:val="auto"/>
        </w:rPr>
        <w:t>The Borrowers are party to the Credit Agreement, which provides for the Term Loan Facility (in an initial principal amount of $2.14 billion) and the Revolving Credit Facility (in an aggregate principal amount of up to $750 million). The term loans bear interest at a rate equal to LIBOR, subject to a 1.0% floor, plus an applicable margin equal to 3.00%, and are subject to amortization of 1.0% per annum. All obligations under the Credit Agreement are guaranteed by (i) the Company and (ii) certain of the Operating Partnership’s wholly-owned subsidiaries (the “Subsidiary Guarantors”) and are secured by substantially all of the assets of the Borrowers and the Subsidiary Guarantors, which assets also secure the Secured Notes. The Revolving Credit Facility bears interest at a rate equal to LIBOR plus 1.75% to 2.25% based on our consolidated secured leverage ratio, as defined in the Credit Agreement.</w:t>
      </w:r>
    </w:p>
    <w:p>
      <w:pPr>
        <w:spacing w:after="0" w:line="109" w:lineRule="exact"/>
        <w:rPr>
          <w:sz w:val="20"/>
          <w:szCs w:val="20"/>
          <w:color w:val="auto"/>
        </w:rPr>
      </w:pPr>
    </w:p>
    <w:p>
      <w:pPr>
        <w:ind w:right="60"/>
        <w:spacing w:after="0" w:line="279" w:lineRule="auto"/>
        <w:rPr>
          <w:sz w:val="20"/>
          <w:szCs w:val="20"/>
          <w:color w:val="auto"/>
        </w:rPr>
      </w:pPr>
      <w:r>
        <w:rPr>
          <w:rFonts w:ascii="Arial" w:cs="Arial" w:eastAsia="Arial" w:hAnsi="Arial"/>
          <w:sz w:val="11"/>
          <w:szCs w:val="11"/>
          <w:color w:val="auto"/>
        </w:rPr>
        <w:t>The Borrowers are subject to customary covenants under the Credit Agreement, including an obligation to maintain a consolidated secured leverage ratio, as defined in the Credit Agreement, not to exceed 5.00 to 1.00. We are permitted, subject to customary conditions, to incur (i) incremental term loan borrowings and/or increased commitments under the Credit Agreement in an unlimited amount, so long as, on a pro forma basis after giving effect to any such borrowings or increases, our consolidated secured leverage ratio, as defined in the Credit Agreement, does not exceed 4.00 to 1.00 and (ii) other indebtedness, so long as, on a pro forma basis after giving effect to any such indebtedness, our consolidated total leverage ratio, as defined in the Credit Agreement, does not exceed 6.50 to 1.00 and our consolidated secured leverage ratio, as defined in the Credit Agreement, does not exceed 4.00 to 1.00. In addition, the Credit Agreement contains customary events of default, including a cross default provision whereby the failure of the Borrowers or certain of their subsidiaries to make payments under other debt obligations, or the occurrence of certain events affecting those other borrowing arrangements, could trigger an obligation to repay any amounts outstanding under the Credit Agreement. In particular, a repayment obligation could be triggered if (i) the Borrowers or certain of their subsidiaries fail to make a payment when due of any principal or interest on any other indebtedness aggregating $75.0 million or more, or (ii) an event occurs that causes, or would permit the holders of any other indebtedness aggregating $75.0 million or more to cause, such indebtedness to become due prior to its stated maturity. As of December 31, 2018, the Borrowers were in compliance with all of the covenants under the Credit Agreement. However, we would be in breach of the requirement to deliver audited financial statements without a going concern opinion if we are unable to provide 2018 audited financial statements without a going concern opinion to lenders under our Credit Agreement by March 31, 2019.</w:t>
      </w:r>
    </w:p>
    <w:p>
      <w:pPr>
        <w:spacing w:after="0" w:line="115" w:lineRule="exact"/>
        <w:rPr>
          <w:sz w:val="20"/>
          <w:szCs w:val="20"/>
          <w:color w:val="auto"/>
        </w:rPr>
      </w:pPr>
    </w:p>
    <w:p>
      <w:pPr>
        <w:spacing w:after="0" w:line="298" w:lineRule="auto"/>
        <w:rPr>
          <w:sz w:val="20"/>
          <w:szCs w:val="20"/>
          <w:color w:val="auto"/>
        </w:rPr>
      </w:pPr>
      <w:r>
        <w:rPr>
          <w:rFonts w:ascii="Arial" w:cs="Arial" w:eastAsia="Arial" w:hAnsi="Arial"/>
          <w:sz w:val="11"/>
          <w:szCs w:val="11"/>
          <w:color w:val="auto"/>
        </w:rPr>
        <w:t>On March 18, 2019, we received a limited waiver from our lenders under our Credit Agreement, waiving an event of default related solely to the receipt of a going concern opinion from our auditors for our 2018 audited financial statements. The limited waiver was issued in connection with the Amendment to our Credit Agreement. During the pendency of Windstream’s bankruptcy, or at such earlier time when certain other conditions are specified, the Amendment generally limits our ability under the Credit Agreement to (i) prepay unsecured indebtedness and (ii) pay cash dividends in excess of 90% of our REIT taxable income, determined without regard to the dividends paid</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50" w:name="page51"/>
    <w:bookmarkEnd w:id="5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deduction and excluding any net capital gains. The Amendment also increases the interest rate on our Term Loan Facility, which will now bear a rate of LIBOR, subject to a 1.0% floor, plus an applicable margin equal to 5.0%, a 200 basis point increase over our previous rate. This increase will be in effect though the remaining term of the facility, which matures on October 24, 2022.</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Interest Rate Swaps</w:t>
      </w:r>
    </w:p>
    <w:p>
      <w:pPr>
        <w:spacing w:after="0" w:line="150"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color w:val="auto"/>
        </w:rPr>
        <w:t>We are party to interest rate swap agreements to mitigate the interest rate risk inherent in our variable rate Term Loan Facility. These interest rate swaps are designated as cash flow hedges and have a notional value of $2.07 billion and mature on October 24, 2022. The weighted average fixed rate paid is 2.105%, and the variable rate received resets monthly to the one-month LIBOR subject to a minimum rate of 1.0%.</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Outlook</w:t>
      </w:r>
    </w:p>
    <w:p>
      <w:pPr>
        <w:spacing w:after="0" w:line="150"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We anticipate continuing to invest in our network infrastructure across our Uniti Leasing, Uniti Fiber and Uniti Towers portfolios. We have also committed to spend $175 million on our proposed acquisition of Bluebird (for which we have obtained committed financing), net of the collection of prepaid rent. We anticipate declaring dividends for the 2019 tax year to comply with our REIT distribution requirements. We anticipate that we will partially finance these needs, together with operating expenses (including debt service) from our $38 million of cash on hand and $110 million of borrowing availability under the Revolving Credit Facility (although we have since drawn substantially all of our revolver capacity), cash flows provided by operating activities, together with funds anticipated from announced divestures. However, we may need to access the capital markets to generate additional funds that will be sufficient to fund our business operations, announced investment activities, capital expenditures, debt service and distributions to our shareholders. We are closely monitoring the equity and debt markets and will seek to access them promptly when we determine market conditions are appropriate.</w:t>
      </w:r>
    </w:p>
    <w:p>
      <w:pPr>
        <w:spacing w:after="0" w:line="129" w:lineRule="exact"/>
        <w:rPr>
          <w:sz w:val="20"/>
          <w:szCs w:val="20"/>
          <w:color w:val="auto"/>
        </w:rPr>
      </w:pPr>
    </w:p>
    <w:p>
      <w:pPr>
        <w:ind w:right="100"/>
        <w:spacing w:after="0" w:line="259" w:lineRule="auto"/>
        <w:rPr>
          <w:sz w:val="20"/>
          <w:szCs w:val="20"/>
          <w:color w:val="auto"/>
        </w:rPr>
      </w:pPr>
      <w:r>
        <w:rPr>
          <w:rFonts w:ascii="Arial" w:cs="Arial" w:eastAsia="Arial" w:hAnsi="Arial"/>
          <w:sz w:val="12"/>
          <w:szCs w:val="12"/>
          <w:color w:val="auto"/>
        </w:rPr>
        <w:t>The amount, nature and timing of any capital markets transactions will depend on: our operating performance and other circumstances; our then-current commitments and obligations; the amount, nature and timing of our capital requirements; any limitations imposed by our current credit arrangements; and overall market conditions. These expectations are forward-looking and subject to a number of uncertainties and assumptions. If our expectations about our liquidity prove to be incorrect or we are unable to access the capital markets as we anticipate, we would be subject to a shortfall in liquidity in the future which could lead to a reduction in our capital expenditures and/or dividends. If this shortfall occurs rapidly and with little or no notice, it could limit our ability to address the shortfall on a timely basis.</w:t>
      </w:r>
    </w:p>
    <w:p>
      <w:pPr>
        <w:spacing w:after="0" w:line="125" w:lineRule="exact"/>
        <w:rPr>
          <w:sz w:val="20"/>
          <w:szCs w:val="20"/>
          <w:color w:val="auto"/>
        </w:rPr>
      </w:pPr>
    </w:p>
    <w:p>
      <w:pPr>
        <w:ind w:right="40"/>
        <w:spacing w:after="0" w:line="263" w:lineRule="auto"/>
        <w:rPr>
          <w:sz w:val="20"/>
          <w:szCs w:val="20"/>
          <w:color w:val="auto"/>
        </w:rPr>
      </w:pPr>
      <w:r>
        <w:rPr>
          <w:rFonts w:ascii="Arial" w:cs="Arial" w:eastAsia="Arial" w:hAnsi="Arial"/>
          <w:sz w:val="12"/>
          <w:szCs w:val="12"/>
          <w:color w:val="auto"/>
        </w:rPr>
        <w:t>In addition to exploring potential capital markets transactions, the Company regularly evaluates market conditions, its liquidity profile, and various financing alternatives for opportunities to enhance its capital structure. If opportunities are favorable, the Company may refinance or repurchase existing debt. However, there can be no assurances that any debt refinancing would be on similar or more favorable terms than our existing arrangements. This would include the risk that interest rates could increase and/or there may be changes to our existing covenants.</w:t>
      </w:r>
    </w:p>
    <w:p>
      <w:pPr>
        <w:spacing w:after="0" w:line="123" w:lineRule="exact"/>
        <w:rPr>
          <w:sz w:val="20"/>
          <w:szCs w:val="20"/>
          <w:color w:val="auto"/>
        </w:rPr>
      </w:pPr>
    </w:p>
    <w:p>
      <w:pPr>
        <w:ind w:right="40"/>
        <w:spacing w:after="0" w:line="286" w:lineRule="auto"/>
        <w:rPr>
          <w:sz w:val="20"/>
          <w:szCs w:val="20"/>
          <w:color w:val="auto"/>
        </w:rPr>
      </w:pPr>
      <w:r>
        <w:rPr>
          <w:rFonts w:ascii="Arial" w:cs="Arial" w:eastAsia="Arial" w:hAnsi="Arial"/>
          <w:sz w:val="11"/>
          <w:szCs w:val="11"/>
          <w:color w:val="auto"/>
        </w:rPr>
        <w:t>In light of recent developments and uncertainty surrounding Windstream and the effect of substantial doubt about our ability to continue a going concern, each as set forth under “Risk Factors”, we may take measures to conserve cash as we anticipate that it may be difficult for us to access the capital markets at attractive rates until such uncertainty is clarified. Accordingly, we may elect to suspend, delay or reduce success-based capital expenditures and dividend payments to conserve cash. If our assumptions are incorrect, we could need additional sources of liquidity to fund our cash needs and cannot assure that we will obtain them. Because our Master Lease is essential to Windstream’s operations, we expect that any disruption in payments by Windstream would be limited, and we believe that if we take such actions, we would have enough liquidity to fund our cash needs within one year after the date the financial statements are issued. If our assumptions are incorrect, we could need additional sources of liquidity to fund our cash needs and cannot assure that we will obtain them.</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51" w:name="page52"/>
    <w:bookmarkEnd w:id="51"/>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46" w:lineRule="exact"/>
        <w:rPr>
          <w:sz w:val="20"/>
          <w:szCs w:val="20"/>
          <w:color w:val="auto"/>
        </w:rPr>
      </w:pPr>
    </w:p>
    <w:p>
      <w:pPr>
        <w:ind w:left="8"/>
        <w:spacing w:after="0"/>
        <w:rPr>
          <w:sz w:val="20"/>
          <w:szCs w:val="20"/>
          <w:color w:val="auto"/>
        </w:rPr>
      </w:pPr>
      <w:r>
        <w:rPr>
          <w:rFonts w:ascii="Arial" w:cs="Arial" w:eastAsia="Arial" w:hAnsi="Arial"/>
          <w:sz w:val="12"/>
          <w:szCs w:val="12"/>
          <w:b w:val="1"/>
          <w:bCs w:val="1"/>
          <w:color w:val="auto"/>
        </w:rPr>
        <w:t>Contractual Obligations</w:t>
      </w:r>
    </w:p>
    <w:p>
      <w:pPr>
        <w:spacing w:after="0" w:line="154" w:lineRule="exact"/>
        <w:rPr>
          <w:sz w:val="20"/>
          <w:szCs w:val="20"/>
          <w:color w:val="auto"/>
        </w:rPr>
      </w:pPr>
    </w:p>
    <w:p>
      <w:pPr>
        <w:ind w:left="8"/>
        <w:spacing w:after="0"/>
        <w:rPr>
          <w:sz w:val="20"/>
          <w:szCs w:val="20"/>
          <w:color w:val="auto"/>
        </w:rPr>
      </w:pPr>
      <w:r>
        <w:rPr>
          <w:rFonts w:ascii="Arial" w:cs="Arial" w:eastAsia="Arial" w:hAnsi="Arial"/>
          <w:sz w:val="12"/>
          <w:szCs w:val="12"/>
          <w:color w:val="auto"/>
        </w:rPr>
        <w:t>As of December 31, 2018, we had contractual obligations and commitments as follows:</w:t>
      </w:r>
    </w:p>
    <w:p>
      <w:pPr>
        <w:spacing w:after="0" w:line="197"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34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gridSpan w:val="2"/>
          </w:tcPr>
          <w:p>
            <w:pPr>
              <w:jc w:val="right"/>
              <w:ind w:right="32"/>
              <w:spacing w:after="0"/>
              <w:rPr>
                <w:sz w:val="20"/>
                <w:szCs w:val="20"/>
                <w:color w:val="auto"/>
              </w:rPr>
            </w:pPr>
            <w:r>
              <w:rPr>
                <w:rFonts w:ascii="Arial" w:cs="Arial" w:eastAsia="Arial" w:hAnsi="Arial"/>
                <w:sz w:val="10"/>
                <w:szCs w:val="10"/>
                <w:b w:val="1"/>
                <w:bCs w:val="1"/>
                <w:color w:val="auto"/>
                <w:w w:val="97"/>
              </w:rPr>
              <w:t>Payments Due by Period</w:t>
            </w:r>
          </w:p>
        </w:tc>
        <w:tc>
          <w:tcPr>
            <w:tcW w:w="38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40" w:type="dxa"/>
            <w:vAlign w:val="bottom"/>
          </w:tcPr>
          <w:p>
            <w:pPr>
              <w:spacing w:after="0"/>
              <w:rPr>
                <w:sz w:val="10"/>
                <w:szCs w:val="10"/>
                <w:color w:val="auto"/>
              </w:rPr>
            </w:pPr>
          </w:p>
        </w:tc>
      </w:tr>
      <w:tr>
        <w:trPr>
          <w:trHeight w:val="83"/>
        </w:trPr>
        <w:tc>
          <w:tcPr>
            <w:tcW w:w="34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400" w:type="dxa"/>
            <w:vAlign w:val="bottom"/>
          </w:tcPr>
          <w:p>
            <w:pPr>
              <w:spacing w:after="0"/>
              <w:rPr>
                <w:sz w:val="7"/>
                <w:szCs w:val="7"/>
                <w:color w:val="auto"/>
              </w:rPr>
            </w:pPr>
          </w:p>
        </w:tc>
        <w:tc>
          <w:tcPr>
            <w:tcW w:w="840" w:type="dxa"/>
            <w:vAlign w:val="bottom"/>
          </w:tcPr>
          <w:p>
            <w:pPr>
              <w:jc w:val="right"/>
              <w:ind w:right="112"/>
              <w:spacing w:after="0" w:line="83" w:lineRule="exact"/>
              <w:rPr>
                <w:sz w:val="20"/>
                <w:szCs w:val="20"/>
                <w:color w:val="auto"/>
              </w:rPr>
            </w:pPr>
            <w:r>
              <w:rPr>
                <w:rFonts w:ascii="Arial" w:cs="Arial" w:eastAsia="Arial" w:hAnsi="Arial"/>
                <w:sz w:val="8"/>
                <w:szCs w:val="8"/>
                <w:b w:val="1"/>
                <w:bCs w:val="1"/>
                <w:color w:val="auto"/>
              </w:rPr>
              <w:t>1-3</w:t>
            </w:r>
          </w:p>
        </w:tc>
        <w:tc>
          <w:tcPr>
            <w:tcW w:w="400" w:type="dxa"/>
            <w:vAlign w:val="bottom"/>
          </w:tcPr>
          <w:p>
            <w:pPr>
              <w:spacing w:after="0"/>
              <w:rPr>
                <w:sz w:val="7"/>
                <w:szCs w:val="7"/>
                <w:color w:val="auto"/>
              </w:rPr>
            </w:pPr>
          </w:p>
        </w:tc>
        <w:tc>
          <w:tcPr>
            <w:tcW w:w="1240" w:type="dxa"/>
            <w:vAlign w:val="bottom"/>
            <w:gridSpan w:val="2"/>
          </w:tcPr>
          <w:p>
            <w:pPr>
              <w:jc w:val="right"/>
              <w:ind w:right="132"/>
              <w:spacing w:after="0" w:line="83" w:lineRule="exact"/>
              <w:rPr>
                <w:sz w:val="20"/>
                <w:szCs w:val="20"/>
                <w:color w:val="auto"/>
              </w:rPr>
            </w:pPr>
            <w:r>
              <w:rPr>
                <w:rFonts w:ascii="Arial" w:cs="Arial" w:eastAsia="Arial" w:hAnsi="Arial"/>
                <w:sz w:val="8"/>
                <w:szCs w:val="8"/>
                <w:b w:val="1"/>
                <w:bCs w:val="1"/>
                <w:color w:val="auto"/>
              </w:rPr>
              <w:t>3-5</w:t>
            </w:r>
          </w:p>
        </w:tc>
        <w:tc>
          <w:tcPr>
            <w:tcW w:w="380" w:type="dxa"/>
            <w:vAlign w:val="bottom"/>
          </w:tcPr>
          <w:p>
            <w:pPr>
              <w:spacing w:after="0"/>
              <w:rPr>
                <w:sz w:val="7"/>
                <w:szCs w:val="7"/>
                <w:color w:val="auto"/>
              </w:rPr>
            </w:pPr>
          </w:p>
        </w:tc>
        <w:tc>
          <w:tcPr>
            <w:tcW w:w="4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20" w:type="dxa"/>
            <w:vAlign w:val="bottom"/>
            <w:gridSpan w:val="2"/>
          </w:tcPr>
          <w:p>
            <w:pPr>
              <w:ind w:left="180"/>
              <w:spacing w:after="0" w:line="83" w:lineRule="exact"/>
              <w:rPr>
                <w:sz w:val="20"/>
                <w:szCs w:val="20"/>
                <w:color w:val="auto"/>
              </w:rPr>
            </w:pPr>
            <w:r>
              <w:rPr>
                <w:rFonts w:ascii="Arial" w:cs="Arial" w:eastAsia="Arial" w:hAnsi="Arial"/>
                <w:sz w:val="8"/>
                <w:szCs w:val="8"/>
                <w:b w:val="1"/>
                <w:bCs w:val="1"/>
                <w:color w:val="auto"/>
              </w:rPr>
              <w:t>More than</w:t>
            </w: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40" w:type="dxa"/>
            <w:vAlign w:val="bottom"/>
          </w:tcPr>
          <w:p>
            <w:pPr>
              <w:spacing w:after="0"/>
              <w:rPr>
                <w:sz w:val="7"/>
                <w:szCs w:val="7"/>
                <w:color w:val="auto"/>
              </w:rPr>
            </w:pPr>
          </w:p>
        </w:tc>
      </w:tr>
      <w:tr>
        <w:trPr>
          <w:trHeight w:val="114"/>
        </w:trPr>
        <w:tc>
          <w:tcPr>
            <w:tcW w:w="340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(millions)</w:t>
            </w:r>
          </w:p>
        </w:tc>
        <w:tc>
          <w:tcPr>
            <w:tcW w:w="100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jc w:val="right"/>
              <w:ind w:right="221"/>
              <w:spacing w:after="0" w:line="114" w:lineRule="exact"/>
              <w:rPr>
                <w:sz w:val="20"/>
                <w:szCs w:val="20"/>
                <w:color w:val="auto"/>
              </w:rPr>
            </w:pPr>
            <w:r>
              <w:rPr>
                <w:rFonts w:ascii="Arial" w:cs="Arial" w:eastAsia="Arial" w:hAnsi="Arial"/>
                <w:sz w:val="10"/>
                <w:szCs w:val="10"/>
                <w:b w:val="1"/>
                <w:bCs w:val="1"/>
                <w:color w:val="auto"/>
                <w:w w:val="95"/>
              </w:rPr>
              <w:t>Less than 1 Year</w:t>
            </w:r>
          </w:p>
        </w:tc>
        <w:tc>
          <w:tcPr>
            <w:tcW w:w="400" w:type="dxa"/>
            <w:vAlign w:val="bottom"/>
            <w:tcBorders>
              <w:bottom w:val="single" w:sz="8" w:color="CFF0FC"/>
            </w:tcBorders>
          </w:tcPr>
          <w:p>
            <w:pPr>
              <w:spacing w:after="0"/>
              <w:rPr>
                <w:sz w:val="9"/>
                <w:szCs w:val="9"/>
                <w:color w:val="auto"/>
              </w:rPr>
            </w:pPr>
          </w:p>
        </w:tc>
        <w:tc>
          <w:tcPr>
            <w:tcW w:w="840" w:type="dxa"/>
            <w:vAlign w:val="bottom"/>
            <w:tcBorders>
              <w:bottom w:val="single" w:sz="8" w:color="auto"/>
            </w:tcBorders>
          </w:tcPr>
          <w:p>
            <w:pPr>
              <w:jc w:val="right"/>
              <w:ind w:right="72"/>
              <w:spacing w:after="0" w:line="114" w:lineRule="exact"/>
              <w:rPr>
                <w:sz w:val="20"/>
                <w:szCs w:val="20"/>
                <w:color w:val="auto"/>
              </w:rPr>
            </w:pPr>
            <w:r>
              <w:rPr>
                <w:rFonts w:ascii="Arial" w:cs="Arial" w:eastAsia="Arial" w:hAnsi="Arial"/>
                <w:sz w:val="10"/>
                <w:szCs w:val="10"/>
                <w:b w:val="1"/>
                <w:bCs w:val="1"/>
                <w:color w:val="auto"/>
              </w:rPr>
              <w:t>Years</w:t>
            </w:r>
          </w:p>
        </w:tc>
        <w:tc>
          <w:tcPr>
            <w:tcW w:w="400" w:type="dxa"/>
            <w:vAlign w:val="bottom"/>
            <w:tcBorders>
              <w:bottom w:val="single" w:sz="8" w:color="auto"/>
            </w:tcBorders>
          </w:tcPr>
          <w:p>
            <w:pPr>
              <w:spacing w:after="0"/>
              <w:rPr>
                <w:sz w:val="9"/>
                <w:szCs w:val="9"/>
                <w:color w:val="auto"/>
              </w:rPr>
            </w:pPr>
          </w:p>
        </w:tc>
        <w:tc>
          <w:tcPr>
            <w:tcW w:w="380" w:type="dxa"/>
            <w:vAlign w:val="bottom"/>
            <w:tcBorders>
              <w:bottom w:val="single" w:sz="8" w:color="CFF0FC"/>
            </w:tcBorders>
          </w:tcPr>
          <w:p>
            <w:pPr>
              <w:spacing w:after="0"/>
              <w:rPr>
                <w:sz w:val="9"/>
                <w:szCs w:val="9"/>
                <w:color w:val="auto"/>
              </w:rPr>
            </w:pPr>
          </w:p>
        </w:tc>
        <w:tc>
          <w:tcPr>
            <w:tcW w:w="860" w:type="dxa"/>
            <w:vAlign w:val="bottom"/>
            <w:tcBorders>
              <w:bottom w:val="single" w:sz="8" w:color="auto"/>
            </w:tcBorders>
          </w:tcPr>
          <w:p>
            <w:pPr>
              <w:jc w:val="right"/>
              <w:ind w:right="72"/>
              <w:spacing w:after="0" w:line="114" w:lineRule="exact"/>
              <w:rPr>
                <w:sz w:val="20"/>
                <w:szCs w:val="20"/>
                <w:color w:val="auto"/>
              </w:rPr>
            </w:pPr>
            <w:r>
              <w:rPr>
                <w:rFonts w:ascii="Arial" w:cs="Arial" w:eastAsia="Arial" w:hAnsi="Arial"/>
                <w:sz w:val="10"/>
                <w:szCs w:val="10"/>
                <w:b w:val="1"/>
                <w:bCs w:val="1"/>
                <w:color w:val="auto"/>
              </w:rPr>
              <w:t>Years</w:t>
            </w: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CFF0FC"/>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020" w:type="dxa"/>
            <w:vAlign w:val="bottom"/>
            <w:tcBorders>
              <w:bottom w:val="single" w:sz="8" w:color="auto"/>
            </w:tcBorders>
          </w:tcPr>
          <w:p>
            <w:pPr>
              <w:jc w:val="right"/>
              <w:ind w:right="423"/>
              <w:spacing w:after="0" w:line="114" w:lineRule="exact"/>
              <w:rPr>
                <w:sz w:val="20"/>
                <w:szCs w:val="20"/>
                <w:color w:val="auto"/>
              </w:rPr>
            </w:pPr>
            <w:r>
              <w:rPr>
                <w:rFonts w:ascii="Arial" w:cs="Arial" w:eastAsia="Arial" w:hAnsi="Arial"/>
                <w:sz w:val="10"/>
                <w:szCs w:val="10"/>
                <w:b w:val="1"/>
                <w:bCs w:val="1"/>
                <w:color w:val="auto"/>
              </w:rPr>
              <w:t>5 Years</w:t>
            </w:r>
          </w:p>
        </w:tc>
        <w:tc>
          <w:tcPr>
            <w:tcW w:w="200" w:type="dxa"/>
            <w:vAlign w:val="bottom"/>
            <w:tcBorders>
              <w:bottom w:val="single" w:sz="8" w:color="CFF0FC"/>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560" w:type="dxa"/>
            <w:vAlign w:val="bottom"/>
            <w:tcBorders>
              <w:bottom w:val="single" w:sz="8" w:color="auto"/>
            </w:tcBorders>
          </w:tcPr>
          <w:p>
            <w:pPr>
              <w:jc w:val="right"/>
              <w:ind w:right="201"/>
              <w:spacing w:after="0" w:line="114" w:lineRule="exact"/>
              <w:rPr>
                <w:sz w:val="20"/>
                <w:szCs w:val="20"/>
                <w:color w:val="auto"/>
              </w:rPr>
            </w:pPr>
            <w:r>
              <w:rPr>
                <w:rFonts w:ascii="Arial" w:cs="Arial" w:eastAsia="Arial" w:hAnsi="Arial"/>
                <w:sz w:val="10"/>
                <w:szCs w:val="10"/>
                <w:b w:val="1"/>
                <w:bCs w:val="1"/>
                <w:color w:val="auto"/>
              </w:rPr>
              <w:t>Total</w:t>
            </w:r>
          </w:p>
        </w:tc>
        <w:tc>
          <w:tcPr>
            <w:tcW w:w="40" w:type="dxa"/>
            <w:vAlign w:val="bottom"/>
            <w:tcBorders>
              <w:bottom w:val="single" w:sz="8" w:color="CFF0FC"/>
            </w:tcBorders>
          </w:tcPr>
          <w:p>
            <w:pPr>
              <w:spacing w:after="0"/>
              <w:rPr>
                <w:sz w:val="9"/>
                <w:szCs w:val="9"/>
                <w:color w:val="auto"/>
              </w:rPr>
            </w:pPr>
          </w:p>
        </w:tc>
      </w:tr>
      <w:tr>
        <w:trPr>
          <w:trHeight w:val="142"/>
        </w:trPr>
        <w:tc>
          <w:tcPr>
            <w:tcW w:w="3400" w:type="dxa"/>
            <w:vAlign w:val="bottom"/>
            <w:shd w:val="clear" w:color="auto" w:fill="CFF0FC"/>
          </w:tcPr>
          <w:p>
            <w:pPr>
              <w:spacing w:after="0"/>
              <w:rPr>
                <w:sz w:val="20"/>
                <w:szCs w:val="20"/>
                <w:color w:val="auto"/>
              </w:rPr>
            </w:pPr>
            <w:r>
              <w:rPr>
                <w:rFonts w:ascii="Arial" w:cs="Arial" w:eastAsia="Arial" w:hAnsi="Arial"/>
                <w:sz w:val="12"/>
                <w:szCs w:val="12"/>
                <w:color w:val="auto"/>
              </w:rPr>
              <w:t>Long-term debt</w:t>
            </w:r>
            <w:r>
              <w:rPr>
                <w:rFonts w:ascii="Arial" w:cs="Arial" w:eastAsia="Arial" w:hAnsi="Arial"/>
                <w:sz w:val="10"/>
                <w:szCs w:val="10"/>
                <w:color w:val="auto"/>
              </w:rPr>
              <w:t>(a)</w:t>
            </w:r>
          </w:p>
        </w:tc>
        <w:tc>
          <w:tcPr>
            <w:tcW w:w="116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w:t>
            </w:r>
          </w:p>
        </w:tc>
        <w:tc>
          <w:tcPr>
            <w:tcW w:w="400" w:type="dxa"/>
            <w:vAlign w:val="bottom"/>
            <w:shd w:val="clear" w:color="auto" w:fill="CFF0FC"/>
          </w:tcPr>
          <w:p>
            <w:pPr>
              <w:spacing w:after="0"/>
              <w:rPr>
                <w:sz w:val="12"/>
                <w:szCs w:val="12"/>
                <w:color w:val="auto"/>
              </w:rPr>
            </w:pPr>
          </w:p>
        </w:tc>
        <w:tc>
          <w:tcPr>
            <w:tcW w:w="840" w:type="dxa"/>
            <w:vAlign w:val="bottom"/>
            <w:shd w:val="clear" w:color="auto" w:fill="CFF0FC"/>
          </w:tcPr>
          <w:p>
            <w:pPr>
              <w:jc w:val="right"/>
              <w:ind w:right="732"/>
              <w:spacing w:after="0"/>
              <w:rPr>
                <w:sz w:val="20"/>
                <w:szCs w:val="20"/>
                <w:color w:val="auto"/>
              </w:rPr>
            </w:pPr>
            <w:r>
              <w:rPr>
                <w:rFonts w:ascii="Arial" w:cs="Arial" w:eastAsia="Arial" w:hAnsi="Arial"/>
                <w:sz w:val="10"/>
                <w:szCs w:val="10"/>
                <w:color w:val="auto"/>
                <w:w w:val="71"/>
              </w:rPr>
              <w:t>$</w:t>
            </w: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682</w:t>
            </w:r>
          </w:p>
        </w:tc>
        <w:tc>
          <w:tcPr>
            <w:tcW w:w="1240" w:type="dxa"/>
            <w:vAlign w:val="bottom"/>
            <w:gridSpan w:val="2"/>
            <w:shd w:val="clear" w:color="auto" w:fill="CFF0FC"/>
          </w:tcPr>
          <w:p>
            <w:pPr>
              <w:jc w:val="right"/>
              <w:ind w:right="752"/>
              <w:spacing w:after="0"/>
              <w:rPr>
                <w:sz w:val="20"/>
                <w:szCs w:val="20"/>
                <w:color w:val="auto"/>
              </w:rPr>
            </w:pPr>
            <w:r>
              <w:rPr>
                <w:rFonts w:ascii="Arial" w:cs="Arial" w:eastAsia="Arial" w:hAnsi="Arial"/>
                <w:sz w:val="12"/>
                <w:szCs w:val="12"/>
                <w:color w:val="auto"/>
              </w:rPr>
              <w:t>$</w:t>
            </w:r>
          </w:p>
        </w:tc>
        <w:tc>
          <w:tcPr>
            <w:tcW w:w="3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3,663</w:t>
            </w:r>
          </w:p>
        </w:tc>
        <w:tc>
          <w:tcPr>
            <w:tcW w:w="62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600</w:t>
            </w:r>
          </w:p>
        </w:tc>
        <w:tc>
          <w:tcPr>
            <w:tcW w:w="200" w:type="dxa"/>
            <w:vAlign w:val="bottom"/>
            <w:shd w:val="clear" w:color="auto" w:fill="CFF0FC"/>
          </w:tcPr>
          <w:p>
            <w:pPr>
              <w:spacing w:after="0"/>
              <w:rPr>
                <w:sz w:val="12"/>
                <w:szCs w:val="12"/>
                <w:color w:val="auto"/>
              </w:rPr>
            </w:pPr>
          </w:p>
        </w:tc>
        <w:tc>
          <w:tcPr>
            <w:tcW w:w="160" w:type="dxa"/>
            <w:vAlign w:val="bottom"/>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4,966</w:t>
            </w:r>
          </w:p>
        </w:tc>
        <w:tc>
          <w:tcPr>
            <w:tcW w:w="40" w:type="dxa"/>
            <w:vAlign w:val="bottom"/>
            <w:shd w:val="clear" w:color="auto" w:fill="CFF0FC"/>
          </w:tcPr>
          <w:p>
            <w:pPr>
              <w:spacing w:after="0"/>
              <w:rPr>
                <w:sz w:val="12"/>
                <w:szCs w:val="12"/>
                <w:color w:val="auto"/>
              </w:rPr>
            </w:pPr>
          </w:p>
        </w:tc>
      </w:tr>
      <w:tr>
        <w:trPr>
          <w:trHeight w:val="153"/>
        </w:trPr>
        <w:tc>
          <w:tcPr>
            <w:tcW w:w="3400" w:type="dxa"/>
            <w:vAlign w:val="bottom"/>
          </w:tcPr>
          <w:p>
            <w:pPr>
              <w:spacing w:after="0"/>
              <w:rPr>
                <w:sz w:val="20"/>
                <w:szCs w:val="20"/>
                <w:color w:val="auto"/>
              </w:rPr>
            </w:pPr>
            <w:r>
              <w:rPr>
                <w:rFonts w:ascii="Arial" w:cs="Arial" w:eastAsia="Arial" w:hAnsi="Arial"/>
                <w:sz w:val="12"/>
                <w:szCs w:val="12"/>
                <w:color w:val="auto"/>
              </w:rPr>
              <w:t>Interest payments on long-term debt obligations</w:t>
            </w:r>
            <w:r>
              <w:rPr>
                <w:rFonts w:ascii="Arial" w:cs="Arial" w:eastAsia="Arial" w:hAnsi="Arial"/>
                <w:sz w:val="10"/>
                <w:szCs w:val="10"/>
                <w:color w:val="auto"/>
              </w:rPr>
              <w:t>(b)</w:t>
            </w: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250</w:t>
            </w: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497</w:t>
            </w:r>
          </w:p>
        </w:tc>
        <w:tc>
          <w:tcPr>
            <w:tcW w:w="3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80" w:type="dxa"/>
            <w:vAlign w:val="bottom"/>
          </w:tcPr>
          <w:p>
            <w:pPr>
              <w:jc w:val="right"/>
              <w:spacing w:after="0"/>
              <w:rPr>
                <w:sz w:val="20"/>
                <w:szCs w:val="20"/>
                <w:color w:val="auto"/>
              </w:rPr>
            </w:pPr>
            <w:r>
              <w:rPr>
                <w:rFonts w:ascii="Arial" w:cs="Arial" w:eastAsia="Arial" w:hAnsi="Arial"/>
                <w:sz w:val="12"/>
                <w:szCs w:val="12"/>
                <w:color w:val="auto"/>
              </w:rPr>
              <w:t>384</w:t>
            </w:r>
          </w:p>
        </w:tc>
        <w:tc>
          <w:tcPr>
            <w:tcW w:w="4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jc w:val="right"/>
              <w:spacing w:after="0"/>
              <w:rPr>
                <w:sz w:val="20"/>
                <w:szCs w:val="20"/>
                <w:color w:val="auto"/>
              </w:rPr>
            </w:pPr>
            <w:r>
              <w:rPr>
                <w:rFonts w:ascii="Arial" w:cs="Arial" w:eastAsia="Arial" w:hAnsi="Arial"/>
                <w:sz w:val="12"/>
                <w:szCs w:val="12"/>
                <w:color w:val="auto"/>
              </w:rPr>
              <w:t>42</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jc w:val="right"/>
              <w:spacing w:after="0"/>
              <w:rPr>
                <w:sz w:val="20"/>
                <w:szCs w:val="20"/>
                <w:color w:val="auto"/>
              </w:rPr>
            </w:pPr>
            <w:r>
              <w:rPr>
                <w:rFonts w:ascii="Arial" w:cs="Arial" w:eastAsia="Arial" w:hAnsi="Arial"/>
                <w:sz w:val="12"/>
                <w:szCs w:val="12"/>
                <w:color w:val="auto"/>
              </w:rPr>
              <w:t>1,173</w:t>
            </w:r>
          </w:p>
        </w:tc>
        <w:tc>
          <w:tcPr>
            <w:tcW w:w="40" w:type="dxa"/>
            <w:vAlign w:val="bottom"/>
          </w:tcPr>
          <w:p>
            <w:pPr>
              <w:spacing w:after="0"/>
              <w:rPr>
                <w:sz w:val="13"/>
                <w:szCs w:val="13"/>
                <w:color w:val="auto"/>
              </w:rPr>
            </w:pPr>
          </w:p>
        </w:tc>
      </w:tr>
      <w:tr>
        <w:trPr>
          <w:trHeight w:val="153"/>
        </w:trPr>
        <w:tc>
          <w:tcPr>
            <w:tcW w:w="3400" w:type="dxa"/>
            <w:vAlign w:val="bottom"/>
            <w:shd w:val="clear" w:color="auto" w:fill="CFF0FC"/>
          </w:tcPr>
          <w:p>
            <w:pPr>
              <w:spacing w:after="0"/>
              <w:rPr>
                <w:sz w:val="20"/>
                <w:szCs w:val="20"/>
                <w:color w:val="auto"/>
              </w:rPr>
            </w:pPr>
            <w:r>
              <w:rPr>
                <w:rFonts w:ascii="Arial" w:cs="Arial" w:eastAsia="Arial" w:hAnsi="Arial"/>
                <w:sz w:val="12"/>
                <w:szCs w:val="12"/>
                <w:color w:val="auto"/>
              </w:rPr>
              <w:t>Operating leases</w:t>
            </w:r>
          </w:p>
        </w:tc>
        <w:tc>
          <w:tcPr>
            <w:tcW w:w="10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w:t>
            </w:r>
          </w:p>
        </w:tc>
        <w:tc>
          <w:tcPr>
            <w:tcW w:w="400" w:type="dxa"/>
            <w:vAlign w:val="bottom"/>
            <w:shd w:val="clear" w:color="auto" w:fill="CFF0FC"/>
          </w:tcPr>
          <w:p>
            <w:pPr>
              <w:spacing w:after="0"/>
              <w:rPr>
                <w:sz w:val="13"/>
                <w:szCs w:val="13"/>
                <w:color w:val="auto"/>
              </w:rPr>
            </w:pPr>
          </w:p>
        </w:tc>
        <w:tc>
          <w:tcPr>
            <w:tcW w:w="840" w:type="dxa"/>
            <w:vAlign w:val="bottom"/>
            <w:shd w:val="clear" w:color="auto" w:fill="CFF0FC"/>
          </w:tcPr>
          <w:p>
            <w:pPr>
              <w:spacing w:after="0"/>
              <w:rPr>
                <w:sz w:val="13"/>
                <w:szCs w:val="13"/>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12</w:t>
            </w:r>
          </w:p>
        </w:tc>
        <w:tc>
          <w:tcPr>
            <w:tcW w:w="38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3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w:t>
            </w:r>
          </w:p>
        </w:tc>
        <w:tc>
          <w:tcPr>
            <w:tcW w:w="4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w:t>
            </w:r>
          </w:p>
        </w:tc>
        <w:tc>
          <w:tcPr>
            <w:tcW w:w="2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44</w:t>
            </w:r>
          </w:p>
        </w:tc>
        <w:tc>
          <w:tcPr>
            <w:tcW w:w="40" w:type="dxa"/>
            <w:vAlign w:val="bottom"/>
            <w:shd w:val="clear" w:color="auto" w:fill="CFF0FC"/>
          </w:tcPr>
          <w:p>
            <w:pPr>
              <w:spacing w:after="0"/>
              <w:rPr>
                <w:sz w:val="13"/>
                <w:szCs w:val="13"/>
                <w:color w:val="auto"/>
              </w:rPr>
            </w:pPr>
          </w:p>
        </w:tc>
      </w:tr>
      <w:tr>
        <w:trPr>
          <w:trHeight w:val="153"/>
        </w:trPr>
        <w:tc>
          <w:tcPr>
            <w:tcW w:w="3400" w:type="dxa"/>
            <w:vAlign w:val="bottom"/>
          </w:tcPr>
          <w:p>
            <w:pPr>
              <w:spacing w:after="0"/>
              <w:rPr>
                <w:sz w:val="20"/>
                <w:szCs w:val="20"/>
                <w:color w:val="auto"/>
              </w:rPr>
            </w:pPr>
            <w:r>
              <w:rPr>
                <w:rFonts w:ascii="Arial" w:cs="Arial" w:eastAsia="Arial" w:hAnsi="Arial"/>
                <w:sz w:val="12"/>
                <w:szCs w:val="12"/>
                <w:color w:val="auto"/>
              </w:rPr>
              <w:t>Capital leases</w:t>
            </w: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9</w:t>
            </w: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00" w:type="dxa"/>
            <w:vAlign w:val="bottom"/>
          </w:tcPr>
          <w:p>
            <w:pPr>
              <w:jc w:val="right"/>
              <w:spacing w:after="0"/>
              <w:rPr>
                <w:sz w:val="20"/>
                <w:szCs w:val="20"/>
                <w:color w:val="auto"/>
              </w:rPr>
            </w:pPr>
            <w:r>
              <w:rPr>
                <w:rFonts w:ascii="Arial" w:cs="Arial" w:eastAsia="Arial" w:hAnsi="Arial"/>
                <w:sz w:val="12"/>
                <w:szCs w:val="12"/>
                <w:color w:val="auto"/>
              </w:rPr>
              <w:t>14</w:t>
            </w:r>
          </w:p>
        </w:tc>
        <w:tc>
          <w:tcPr>
            <w:tcW w:w="3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80" w:type="dxa"/>
            <w:vAlign w:val="bottom"/>
          </w:tcPr>
          <w:p>
            <w:pPr>
              <w:jc w:val="right"/>
              <w:spacing w:after="0"/>
              <w:rPr>
                <w:sz w:val="20"/>
                <w:szCs w:val="20"/>
                <w:color w:val="auto"/>
              </w:rPr>
            </w:pPr>
            <w:r>
              <w:rPr>
                <w:rFonts w:ascii="Arial" w:cs="Arial" w:eastAsia="Arial" w:hAnsi="Arial"/>
                <w:sz w:val="12"/>
                <w:szCs w:val="12"/>
                <w:color w:val="auto"/>
              </w:rPr>
              <w:t>13</w:t>
            </w:r>
          </w:p>
        </w:tc>
        <w:tc>
          <w:tcPr>
            <w:tcW w:w="4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jc w:val="right"/>
              <w:spacing w:after="0"/>
              <w:rPr>
                <w:sz w:val="20"/>
                <w:szCs w:val="20"/>
                <w:color w:val="auto"/>
              </w:rPr>
            </w:pPr>
            <w:r>
              <w:rPr>
                <w:rFonts w:ascii="Arial" w:cs="Arial" w:eastAsia="Arial" w:hAnsi="Arial"/>
                <w:sz w:val="12"/>
                <w:szCs w:val="12"/>
                <w:color w:val="auto"/>
              </w:rPr>
              <w:t>52</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jc w:val="right"/>
              <w:spacing w:after="0"/>
              <w:rPr>
                <w:sz w:val="20"/>
                <w:szCs w:val="20"/>
                <w:color w:val="auto"/>
              </w:rPr>
            </w:pPr>
            <w:r>
              <w:rPr>
                <w:rFonts w:ascii="Arial" w:cs="Arial" w:eastAsia="Arial" w:hAnsi="Arial"/>
                <w:sz w:val="12"/>
                <w:szCs w:val="12"/>
                <w:color w:val="auto"/>
              </w:rPr>
              <w:t>88</w:t>
            </w:r>
          </w:p>
        </w:tc>
        <w:tc>
          <w:tcPr>
            <w:tcW w:w="40" w:type="dxa"/>
            <w:vAlign w:val="bottom"/>
          </w:tcPr>
          <w:p>
            <w:pPr>
              <w:spacing w:after="0"/>
              <w:rPr>
                <w:sz w:val="13"/>
                <w:szCs w:val="13"/>
                <w:color w:val="auto"/>
              </w:rPr>
            </w:pPr>
          </w:p>
        </w:tc>
      </w:tr>
      <w:tr>
        <w:trPr>
          <w:trHeight w:val="153"/>
        </w:trPr>
        <w:tc>
          <w:tcPr>
            <w:tcW w:w="3400" w:type="dxa"/>
            <w:vAlign w:val="bottom"/>
            <w:shd w:val="clear" w:color="auto" w:fill="CFF0FC"/>
          </w:tcPr>
          <w:p>
            <w:pPr>
              <w:spacing w:after="0"/>
              <w:rPr>
                <w:sz w:val="20"/>
                <w:szCs w:val="20"/>
                <w:color w:val="auto"/>
              </w:rPr>
            </w:pPr>
            <w:r>
              <w:rPr>
                <w:rFonts w:ascii="Arial" w:cs="Arial" w:eastAsia="Arial" w:hAnsi="Arial"/>
                <w:sz w:val="12"/>
                <w:szCs w:val="12"/>
                <w:color w:val="auto"/>
              </w:rPr>
              <w:t>Network deployment</w:t>
            </w:r>
            <w:r>
              <w:rPr>
                <w:rFonts w:ascii="Arial" w:cs="Arial" w:eastAsia="Arial" w:hAnsi="Arial"/>
                <w:sz w:val="10"/>
                <w:szCs w:val="10"/>
                <w:color w:val="auto"/>
              </w:rPr>
              <w:t>(c)</w:t>
            </w:r>
          </w:p>
        </w:tc>
        <w:tc>
          <w:tcPr>
            <w:tcW w:w="10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w:t>
            </w:r>
          </w:p>
        </w:tc>
        <w:tc>
          <w:tcPr>
            <w:tcW w:w="400" w:type="dxa"/>
            <w:vAlign w:val="bottom"/>
            <w:shd w:val="clear" w:color="auto" w:fill="CFF0FC"/>
          </w:tcPr>
          <w:p>
            <w:pPr>
              <w:spacing w:after="0"/>
              <w:rPr>
                <w:sz w:val="13"/>
                <w:szCs w:val="13"/>
                <w:color w:val="auto"/>
              </w:rPr>
            </w:pPr>
          </w:p>
        </w:tc>
        <w:tc>
          <w:tcPr>
            <w:tcW w:w="840" w:type="dxa"/>
            <w:vAlign w:val="bottom"/>
            <w:shd w:val="clear" w:color="auto" w:fill="CFF0FC"/>
          </w:tcPr>
          <w:p>
            <w:pPr>
              <w:spacing w:after="0"/>
              <w:rPr>
                <w:sz w:val="13"/>
                <w:szCs w:val="13"/>
                <w:color w:val="auto"/>
              </w:rPr>
            </w:pPr>
          </w:p>
        </w:tc>
        <w:tc>
          <w:tcPr>
            <w:tcW w:w="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38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3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4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w:t>
            </w:r>
          </w:p>
        </w:tc>
        <w:tc>
          <w:tcPr>
            <w:tcW w:w="40" w:type="dxa"/>
            <w:vAlign w:val="bottom"/>
            <w:shd w:val="clear" w:color="auto" w:fill="CFF0FC"/>
          </w:tcPr>
          <w:p>
            <w:pPr>
              <w:spacing w:after="0"/>
              <w:rPr>
                <w:sz w:val="13"/>
                <w:szCs w:val="13"/>
                <w:color w:val="auto"/>
              </w:rPr>
            </w:pPr>
          </w:p>
        </w:tc>
      </w:tr>
      <w:tr>
        <w:trPr>
          <w:trHeight w:val="153"/>
        </w:trPr>
        <w:tc>
          <w:tcPr>
            <w:tcW w:w="3400" w:type="dxa"/>
            <w:vAlign w:val="bottom"/>
          </w:tcPr>
          <w:p>
            <w:pPr>
              <w:spacing w:after="0"/>
              <w:rPr>
                <w:sz w:val="20"/>
                <w:szCs w:val="20"/>
                <w:color w:val="auto"/>
              </w:rPr>
            </w:pPr>
            <w:r>
              <w:rPr>
                <w:rFonts w:ascii="Arial" w:cs="Arial" w:eastAsia="Arial" w:hAnsi="Arial"/>
                <w:sz w:val="12"/>
                <w:szCs w:val="12"/>
                <w:color w:val="auto"/>
              </w:rPr>
              <w:t>Other Long-Term Liabilities</w:t>
            </w: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r>
      <w:tr>
        <w:trPr>
          <w:trHeight w:val="153"/>
        </w:trPr>
        <w:tc>
          <w:tcPr>
            <w:tcW w:w="3400" w:type="dxa"/>
            <w:vAlign w:val="bottom"/>
            <w:shd w:val="clear" w:color="auto" w:fill="CFF0FC"/>
          </w:tcPr>
          <w:p>
            <w:pPr>
              <w:ind w:left="160"/>
              <w:spacing w:after="0"/>
              <w:rPr>
                <w:sz w:val="20"/>
                <w:szCs w:val="20"/>
                <w:color w:val="auto"/>
              </w:rPr>
            </w:pPr>
            <w:r>
              <w:rPr>
                <w:rFonts w:ascii="Arial" w:cs="Arial" w:eastAsia="Arial" w:hAnsi="Arial"/>
                <w:sz w:val="12"/>
                <w:szCs w:val="12"/>
                <w:color w:val="auto"/>
              </w:rPr>
              <w:t>Contingent consideration</w:t>
            </w:r>
            <w:r>
              <w:rPr>
                <w:rFonts w:ascii="Arial" w:cs="Arial" w:eastAsia="Arial" w:hAnsi="Arial"/>
                <w:sz w:val="10"/>
                <w:szCs w:val="10"/>
                <w:color w:val="auto"/>
              </w:rPr>
              <w:t>(d)</w:t>
            </w:r>
          </w:p>
        </w:tc>
        <w:tc>
          <w:tcPr>
            <w:tcW w:w="1000" w:type="dxa"/>
            <w:vAlign w:val="bottom"/>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spacing w:after="0"/>
              <w:rPr>
                <w:sz w:val="13"/>
                <w:szCs w:val="13"/>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56</w:t>
            </w:r>
          </w:p>
        </w:tc>
        <w:tc>
          <w:tcPr>
            <w:tcW w:w="400" w:type="dxa"/>
            <w:vAlign w:val="bottom"/>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spacing w:after="0"/>
              <w:rPr>
                <w:sz w:val="13"/>
                <w:szCs w:val="13"/>
                <w:color w:val="auto"/>
              </w:rPr>
            </w:pPr>
          </w:p>
        </w:tc>
        <w:tc>
          <w:tcPr>
            <w:tcW w:w="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17</w:t>
            </w:r>
          </w:p>
        </w:tc>
        <w:tc>
          <w:tcPr>
            <w:tcW w:w="380" w:type="dxa"/>
            <w:vAlign w:val="bottom"/>
            <w:shd w:val="clear" w:color="auto" w:fill="CFF0FC"/>
          </w:tcPr>
          <w:p>
            <w:pPr>
              <w:spacing w:after="0"/>
              <w:rPr>
                <w:sz w:val="13"/>
                <w:szCs w:val="13"/>
                <w:color w:val="auto"/>
              </w:rPr>
            </w:pPr>
          </w:p>
        </w:tc>
        <w:tc>
          <w:tcPr>
            <w:tcW w:w="860" w:type="dxa"/>
            <w:vAlign w:val="bottom"/>
            <w:tcBorders>
              <w:bottom w:val="single" w:sz="8" w:color="auto"/>
            </w:tcBorders>
            <w:shd w:val="clear" w:color="auto" w:fill="CFF0FC"/>
          </w:tcPr>
          <w:p>
            <w:pPr>
              <w:spacing w:after="0"/>
              <w:rPr>
                <w:sz w:val="13"/>
                <w:szCs w:val="13"/>
                <w:color w:val="auto"/>
              </w:rPr>
            </w:pP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40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00" w:type="dxa"/>
            <w:vAlign w:val="bottom"/>
            <w:shd w:val="clear" w:color="auto" w:fill="CFF0FC"/>
          </w:tcPr>
          <w:p>
            <w:pPr>
              <w:spacing w:after="0"/>
              <w:rPr>
                <w:sz w:val="13"/>
                <w:szCs w:val="13"/>
                <w:color w:val="auto"/>
              </w:rPr>
            </w:pPr>
          </w:p>
        </w:tc>
        <w:tc>
          <w:tcPr>
            <w:tcW w:w="160" w:type="dxa"/>
            <w:vAlign w:val="bottom"/>
            <w:tcBorders>
              <w:bottom w:val="single" w:sz="8" w:color="auto"/>
            </w:tcBorders>
            <w:shd w:val="clear" w:color="auto" w:fill="CFF0FC"/>
          </w:tcPr>
          <w:p>
            <w:pPr>
              <w:spacing w:after="0"/>
              <w:rPr>
                <w:sz w:val="13"/>
                <w:szCs w:val="13"/>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73</w:t>
            </w:r>
          </w:p>
        </w:tc>
        <w:tc>
          <w:tcPr>
            <w:tcW w:w="40" w:type="dxa"/>
            <w:vAlign w:val="bottom"/>
            <w:shd w:val="clear" w:color="auto" w:fill="CFF0FC"/>
          </w:tcPr>
          <w:p>
            <w:pPr>
              <w:spacing w:after="0"/>
              <w:rPr>
                <w:sz w:val="13"/>
                <w:szCs w:val="13"/>
                <w:color w:val="auto"/>
              </w:rPr>
            </w:pPr>
          </w:p>
        </w:tc>
      </w:tr>
      <w:tr>
        <w:trPr>
          <w:trHeight w:val="142"/>
        </w:trPr>
        <w:tc>
          <w:tcPr>
            <w:tcW w:w="3400" w:type="dxa"/>
            <w:vAlign w:val="bottom"/>
          </w:tcPr>
          <w:p>
            <w:pPr>
              <w:spacing w:after="0"/>
              <w:rPr>
                <w:sz w:val="20"/>
                <w:szCs w:val="20"/>
                <w:color w:val="auto"/>
              </w:rPr>
            </w:pPr>
            <w:r>
              <w:rPr>
                <w:rFonts w:ascii="Arial" w:cs="Arial" w:eastAsia="Arial" w:hAnsi="Arial"/>
                <w:sz w:val="12"/>
                <w:szCs w:val="12"/>
                <w:b w:val="1"/>
                <w:bCs w:val="1"/>
                <w:color w:val="auto"/>
              </w:rPr>
              <w:t>Total projected obligations and commitments</w:t>
            </w:r>
            <w:r>
              <w:rPr>
                <w:rFonts w:ascii="Arial" w:cs="Arial" w:eastAsia="Arial" w:hAnsi="Arial"/>
                <w:sz w:val="10"/>
                <w:szCs w:val="10"/>
                <w:b w:val="1"/>
                <w:bCs w:val="1"/>
                <w:color w:val="auto"/>
              </w:rPr>
              <w:t>(e)</w:t>
            </w:r>
          </w:p>
        </w:tc>
        <w:tc>
          <w:tcPr>
            <w:tcW w:w="1160" w:type="dxa"/>
            <w:vAlign w:val="bottom"/>
            <w:gridSpan w:val="2"/>
          </w:tcPr>
          <w:p>
            <w:pPr>
              <w:jc w:val="right"/>
              <w:ind w:right="10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385</w:t>
            </w:r>
          </w:p>
        </w:tc>
        <w:tc>
          <w:tcPr>
            <w:tcW w:w="400" w:type="dxa"/>
            <w:vAlign w:val="bottom"/>
          </w:tcPr>
          <w:p>
            <w:pPr>
              <w:spacing w:after="0"/>
              <w:rPr>
                <w:sz w:val="12"/>
                <w:szCs w:val="12"/>
                <w:color w:val="auto"/>
              </w:rPr>
            </w:pPr>
          </w:p>
        </w:tc>
        <w:tc>
          <w:tcPr>
            <w:tcW w:w="840" w:type="dxa"/>
            <w:vAlign w:val="bottom"/>
          </w:tcPr>
          <w:p>
            <w:pPr>
              <w:jc w:val="right"/>
              <w:ind w:right="732"/>
              <w:spacing w:after="0"/>
              <w:rPr>
                <w:sz w:val="20"/>
                <w:szCs w:val="20"/>
                <w:color w:val="auto"/>
              </w:rPr>
            </w:pPr>
            <w:r>
              <w:rPr>
                <w:rFonts w:ascii="Arial" w:cs="Arial" w:eastAsia="Arial" w:hAnsi="Arial"/>
                <w:sz w:val="10"/>
                <w:szCs w:val="10"/>
                <w:color w:val="auto"/>
                <w:w w:val="71"/>
              </w:rPr>
              <w:t>$</w:t>
            </w:r>
          </w:p>
        </w:tc>
        <w:tc>
          <w:tcPr>
            <w:tcW w:w="400" w:type="dxa"/>
            <w:vAlign w:val="bottom"/>
          </w:tcPr>
          <w:p>
            <w:pPr>
              <w:jc w:val="right"/>
              <w:spacing w:after="0"/>
              <w:rPr>
                <w:sz w:val="20"/>
                <w:szCs w:val="20"/>
                <w:color w:val="auto"/>
              </w:rPr>
            </w:pPr>
            <w:r>
              <w:rPr>
                <w:rFonts w:ascii="Arial" w:cs="Arial" w:eastAsia="Arial" w:hAnsi="Arial"/>
                <w:sz w:val="12"/>
                <w:szCs w:val="12"/>
                <w:color w:val="auto"/>
              </w:rPr>
              <w:t>1,222</w:t>
            </w:r>
          </w:p>
        </w:tc>
        <w:tc>
          <w:tcPr>
            <w:tcW w:w="1240" w:type="dxa"/>
            <w:vAlign w:val="bottom"/>
            <w:gridSpan w:val="2"/>
          </w:tcPr>
          <w:p>
            <w:pPr>
              <w:jc w:val="right"/>
              <w:ind w:right="752"/>
              <w:spacing w:after="0"/>
              <w:rPr>
                <w:sz w:val="20"/>
                <w:szCs w:val="20"/>
                <w:color w:val="auto"/>
              </w:rPr>
            </w:pPr>
            <w:r>
              <w:rPr>
                <w:rFonts w:ascii="Arial" w:cs="Arial" w:eastAsia="Arial" w:hAnsi="Arial"/>
                <w:sz w:val="12"/>
                <w:szCs w:val="12"/>
                <w:color w:val="auto"/>
              </w:rPr>
              <w:t>$</w:t>
            </w:r>
          </w:p>
        </w:tc>
        <w:tc>
          <w:tcPr>
            <w:tcW w:w="380" w:type="dxa"/>
            <w:vAlign w:val="bottom"/>
          </w:tcPr>
          <w:p>
            <w:pPr>
              <w:jc w:val="right"/>
              <w:spacing w:after="0"/>
              <w:rPr>
                <w:sz w:val="20"/>
                <w:szCs w:val="20"/>
                <w:color w:val="auto"/>
              </w:rPr>
            </w:pPr>
            <w:r>
              <w:rPr>
                <w:rFonts w:ascii="Arial" w:cs="Arial" w:eastAsia="Arial" w:hAnsi="Arial"/>
                <w:sz w:val="12"/>
                <w:szCs w:val="12"/>
                <w:color w:val="auto"/>
              </w:rPr>
              <w:t>4,066</w:t>
            </w: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20" w:type="dxa"/>
            <w:vAlign w:val="bottom"/>
          </w:tcPr>
          <w:p>
            <w:pPr>
              <w:jc w:val="right"/>
              <w:spacing w:after="0"/>
              <w:rPr>
                <w:sz w:val="20"/>
                <w:szCs w:val="20"/>
                <w:color w:val="auto"/>
              </w:rPr>
            </w:pPr>
            <w:r>
              <w:rPr>
                <w:rFonts w:ascii="Arial" w:cs="Arial" w:eastAsia="Arial" w:hAnsi="Arial"/>
                <w:sz w:val="12"/>
                <w:szCs w:val="12"/>
                <w:color w:val="auto"/>
              </w:rPr>
              <w:t>709</w:t>
            </w:r>
          </w:p>
        </w:tc>
        <w:tc>
          <w:tcPr>
            <w:tcW w:w="200" w:type="dxa"/>
            <w:vAlign w:val="bottom"/>
          </w:tcPr>
          <w:p>
            <w:pPr>
              <w:spacing w:after="0"/>
              <w:rPr>
                <w:sz w:val="12"/>
                <w:szCs w:val="12"/>
                <w:color w:val="auto"/>
              </w:rPr>
            </w:pPr>
          </w:p>
        </w:tc>
        <w:tc>
          <w:tcPr>
            <w:tcW w:w="160" w:type="dxa"/>
            <w:vAlign w:val="bottom"/>
          </w:tcPr>
          <w:p>
            <w:pPr>
              <w:jc w:val="right"/>
              <w:ind w:right="50"/>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rPr>
                <w:sz w:val="20"/>
                <w:szCs w:val="20"/>
                <w:color w:val="auto"/>
              </w:rPr>
            </w:pPr>
            <w:r>
              <w:rPr>
                <w:rFonts w:ascii="Arial" w:cs="Arial" w:eastAsia="Arial" w:hAnsi="Arial"/>
                <w:sz w:val="12"/>
                <w:szCs w:val="12"/>
                <w:color w:val="auto"/>
              </w:rPr>
              <w:t>6,382</w:t>
            </w:r>
          </w:p>
        </w:tc>
        <w:tc>
          <w:tcPr>
            <w:tcW w:w="40" w:type="dxa"/>
            <w:vAlign w:val="bottom"/>
          </w:tcPr>
          <w:p>
            <w:pPr>
              <w:spacing w:after="0"/>
              <w:rPr>
                <w:sz w:val="12"/>
                <w:szCs w:val="12"/>
                <w:color w:val="auto"/>
              </w:rPr>
            </w:pPr>
          </w:p>
        </w:tc>
      </w:tr>
      <w:tr>
        <w:trPr>
          <w:trHeight w:val="27"/>
        </w:trPr>
        <w:tc>
          <w:tcPr>
            <w:tcW w:w="34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r>
    </w:tbl>
    <w:p>
      <w:pPr>
        <w:spacing w:after="0" w:line="63" w:lineRule="exact"/>
        <w:rPr>
          <w:sz w:val="20"/>
          <w:szCs w:val="20"/>
          <w:color w:val="auto"/>
        </w:rPr>
      </w:pPr>
    </w:p>
    <w:p>
      <w:pPr>
        <w:ind w:left="588" w:hanging="588"/>
        <w:spacing w:after="0"/>
        <w:tabs>
          <w:tab w:leader="none" w:pos="588" w:val="left"/>
        </w:tabs>
        <w:numPr>
          <w:ilvl w:val="0"/>
          <w:numId w:val="9"/>
        </w:numPr>
        <w:rPr>
          <w:rFonts w:ascii="Arial" w:cs="Arial" w:eastAsia="Arial" w:hAnsi="Arial"/>
          <w:sz w:val="12"/>
          <w:szCs w:val="12"/>
          <w:color w:val="auto"/>
        </w:rPr>
      </w:pPr>
      <w:r>
        <w:rPr>
          <w:rFonts w:ascii="Arial" w:cs="Arial" w:eastAsia="Arial" w:hAnsi="Arial"/>
          <w:sz w:val="12"/>
          <w:szCs w:val="12"/>
          <w:color w:val="auto"/>
        </w:rPr>
        <w:t>Excludes $119.6 million of unamortized discounts on long-term debt and deferred financing costs.</w:t>
      </w:r>
    </w:p>
    <w:p>
      <w:pPr>
        <w:spacing w:after="0" w:line="14" w:lineRule="exact"/>
        <w:rPr>
          <w:rFonts w:ascii="Arial" w:cs="Arial" w:eastAsia="Arial" w:hAnsi="Arial"/>
          <w:sz w:val="12"/>
          <w:szCs w:val="12"/>
          <w:color w:val="auto"/>
        </w:rPr>
      </w:pPr>
    </w:p>
    <w:p>
      <w:pPr>
        <w:ind w:left="588" w:hanging="588"/>
        <w:spacing w:after="0"/>
        <w:tabs>
          <w:tab w:leader="none" w:pos="588" w:val="left"/>
        </w:tabs>
        <w:numPr>
          <w:ilvl w:val="0"/>
          <w:numId w:val="9"/>
        </w:numPr>
        <w:rPr>
          <w:rFonts w:ascii="Arial" w:cs="Arial" w:eastAsia="Arial" w:hAnsi="Arial"/>
          <w:sz w:val="11"/>
          <w:szCs w:val="11"/>
          <w:color w:val="auto"/>
        </w:rPr>
      </w:pPr>
      <w:r>
        <w:rPr>
          <w:rFonts w:ascii="Arial" w:cs="Arial" w:eastAsia="Arial" w:hAnsi="Arial"/>
          <w:sz w:val="11"/>
          <w:szCs w:val="11"/>
          <w:color w:val="auto"/>
        </w:rPr>
        <w:t>Interest rates on our Term Loan Facility are based on our swap rates. Excludes the impact to the fourth amendment to our Credit Agreement discussed above in “Liquidity and Capital Resources—Credit Agreement”.</w:t>
      </w:r>
    </w:p>
    <w:p>
      <w:pPr>
        <w:spacing w:after="0" w:line="17" w:lineRule="exact"/>
        <w:rPr>
          <w:rFonts w:ascii="Arial" w:cs="Arial" w:eastAsia="Arial" w:hAnsi="Arial"/>
          <w:sz w:val="11"/>
          <w:szCs w:val="11"/>
          <w:color w:val="auto"/>
        </w:rPr>
      </w:pPr>
    </w:p>
    <w:p>
      <w:pPr>
        <w:ind w:left="588" w:hanging="588"/>
        <w:spacing w:after="0"/>
        <w:tabs>
          <w:tab w:leader="none" w:pos="588" w:val="left"/>
        </w:tabs>
        <w:numPr>
          <w:ilvl w:val="0"/>
          <w:numId w:val="9"/>
        </w:numPr>
        <w:rPr>
          <w:rFonts w:ascii="Arial" w:cs="Arial" w:eastAsia="Arial" w:hAnsi="Arial"/>
          <w:sz w:val="12"/>
          <w:szCs w:val="12"/>
          <w:color w:val="auto"/>
        </w:rPr>
      </w:pPr>
      <w:r>
        <w:rPr>
          <w:rFonts w:ascii="Arial" w:cs="Arial" w:eastAsia="Arial" w:hAnsi="Arial"/>
          <w:sz w:val="12"/>
          <w:szCs w:val="12"/>
          <w:color w:val="auto"/>
        </w:rPr>
        <w:t>Network deployment purchase commitments are for success-based projects for which we have a signed customer contract before we commit resources to expand our network.</w:t>
      </w:r>
    </w:p>
    <w:p>
      <w:pPr>
        <w:spacing w:after="0" w:line="6" w:lineRule="exact"/>
        <w:rPr>
          <w:rFonts w:ascii="Arial" w:cs="Arial" w:eastAsia="Arial" w:hAnsi="Arial"/>
          <w:sz w:val="12"/>
          <w:szCs w:val="12"/>
          <w:color w:val="auto"/>
        </w:rPr>
      </w:pPr>
    </w:p>
    <w:p>
      <w:pPr>
        <w:ind w:left="588" w:hanging="588"/>
        <w:spacing w:after="0"/>
        <w:tabs>
          <w:tab w:leader="none" w:pos="588" w:val="left"/>
        </w:tabs>
        <w:numPr>
          <w:ilvl w:val="0"/>
          <w:numId w:val="9"/>
        </w:numPr>
        <w:rPr>
          <w:rFonts w:ascii="Arial" w:cs="Arial" w:eastAsia="Arial" w:hAnsi="Arial"/>
          <w:sz w:val="12"/>
          <w:szCs w:val="12"/>
          <w:color w:val="auto"/>
        </w:rPr>
      </w:pPr>
      <w:r>
        <w:rPr>
          <w:rFonts w:ascii="Arial" w:cs="Arial" w:eastAsia="Arial" w:hAnsi="Arial"/>
          <w:sz w:val="12"/>
          <w:szCs w:val="12"/>
          <w:color w:val="auto"/>
        </w:rPr>
        <w:t>Cash settled contingent consideration related to the August 31, 2016 acquisition of Tower Cloud, Inc. Excludes $10.0 million of share settled contingent consideration.</w:t>
      </w:r>
    </w:p>
    <w:p>
      <w:pPr>
        <w:spacing w:after="0" w:line="6" w:lineRule="exact"/>
        <w:rPr>
          <w:rFonts w:ascii="Arial" w:cs="Arial" w:eastAsia="Arial" w:hAnsi="Arial"/>
          <w:sz w:val="12"/>
          <w:szCs w:val="12"/>
          <w:color w:val="auto"/>
        </w:rPr>
      </w:pPr>
    </w:p>
    <w:p>
      <w:pPr>
        <w:ind w:left="588" w:hanging="588"/>
        <w:spacing w:after="0"/>
        <w:tabs>
          <w:tab w:leader="none" w:pos="588" w:val="left"/>
        </w:tabs>
        <w:numPr>
          <w:ilvl w:val="0"/>
          <w:numId w:val="9"/>
        </w:numPr>
        <w:rPr>
          <w:rFonts w:ascii="Arial" w:cs="Arial" w:eastAsia="Arial" w:hAnsi="Arial"/>
          <w:sz w:val="12"/>
          <w:szCs w:val="12"/>
          <w:color w:val="auto"/>
        </w:rPr>
      </w:pPr>
      <w:r>
        <w:rPr>
          <w:rFonts w:ascii="Arial" w:cs="Arial" w:eastAsia="Arial" w:hAnsi="Arial"/>
          <w:sz w:val="12"/>
          <w:szCs w:val="12"/>
          <w:color w:val="auto"/>
        </w:rPr>
        <w:t>Excludes $31.0 million of derivative asset related to interest rate swaps maturing on October 24, 2022.</w:t>
      </w:r>
    </w:p>
    <w:p>
      <w:pPr>
        <w:spacing w:after="0" w:line="137" w:lineRule="exact"/>
        <w:rPr>
          <w:sz w:val="20"/>
          <w:szCs w:val="20"/>
          <w:color w:val="auto"/>
        </w:rPr>
      </w:pPr>
    </w:p>
    <w:p>
      <w:pPr>
        <w:ind w:left="8"/>
        <w:spacing w:after="0"/>
        <w:rPr>
          <w:sz w:val="20"/>
          <w:szCs w:val="20"/>
          <w:color w:val="auto"/>
        </w:rPr>
      </w:pPr>
      <w:r>
        <w:rPr>
          <w:rFonts w:ascii="Arial" w:cs="Arial" w:eastAsia="Arial" w:hAnsi="Arial"/>
          <w:sz w:val="12"/>
          <w:szCs w:val="12"/>
          <w:b w:val="1"/>
          <w:bCs w:val="1"/>
          <w:color w:val="auto"/>
        </w:rPr>
        <w:t>Dividends</w:t>
      </w:r>
    </w:p>
    <w:p>
      <w:pPr>
        <w:spacing w:after="0" w:line="154" w:lineRule="exact"/>
        <w:rPr>
          <w:sz w:val="20"/>
          <w:szCs w:val="20"/>
          <w:color w:val="auto"/>
        </w:rPr>
      </w:pPr>
    </w:p>
    <w:p>
      <w:pPr>
        <w:ind w:left="8" w:right="120"/>
        <w:spacing w:after="0" w:line="286" w:lineRule="auto"/>
        <w:rPr>
          <w:sz w:val="20"/>
          <w:szCs w:val="20"/>
          <w:color w:val="auto"/>
        </w:rPr>
      </w:pPr>
      <w:r>
        <w:rPr>
          <w:rFonts w:ascii="Arial" w:cs="Arial" w:eastAsia="Arial" w:hAnsi="Arial"/>
          <w:sz w:val="11"/>
          <w:szCs w:val="11"/>
          <w:color w:val="auto"/>
        </w:rPr>
        <w:t>We have elected to be taxed as a REIT for U.S. federal income tax purposes. U.S. federal income tax law generally requires that a REIT distribute annually at least 90% of its REIT taxable income, without regard to the deduction for dividends paid and excluding net capital gains, and that it pay tax at regular corporate rates to the extent that it annually distributes less than 100% of its taxable income. In order to maintain our REIT status, we intend to make dividend payments of all or substantially all of our taxable income to holders of our common stock out of assets legally available for this purpose, if and to the extent authorized by our board of directors. Before we make any dividend payments, whether for U.S. federal income tax purposes or otherwise, we must first meet both our operating requirements and debt service obligations. If our cash available for distribution is less than our taxable income, we could be required to sell assets or borrow funds to make cash dividends or we may make a portion of the required dividend in the form of a taxable distribution of stock or debt securities.</w:t>
      </w:r>
    </w:p>
    <w:p>
      <w:pPr>
        <w:spacing w:after="0" w:line="111" w:lineRule="exact"/>
        <w:rPr>
          <w:sz w:val="20"/>
          <w:szCs w:val="20"/>
          <w:color w:val="auto"/>
        </w:rPr>
      </w:pPr>
    </w:p>
    <w:p>
      <w:pPr>
        <w:ind w:left="8"/>
        <w:spacing w:after="0"/>
        <w:rPr>
          <w:sz w:val="20"/>
          <w:szCs w:val="20"/>
          <w:color w:val="auto"/>
        </w:rPr>
      </w:pPr>
      <w:r>
        <w:rPr>
          <w:rFonts w:ascii="Arial" w:cs="Arial" w:eastAsia="Arial" w:hAnsi="Arial"/>
          <w:sz w:val="12"/>
          <w:szCs w:val="12"/>
          <w:color w:val="auto"/>
        </w:rPr>
        <w:t>The following table below sets out details regarding our cash dividends on our common stock:</w:t>
      </w:r>
    </w:p>
    <w:p>
      <w:pPr>
        <w:spacing w:after="0" w:line="206"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4680" w:type="dxa"/>
            <w:vAlign w:val="bottom"/>
            <w:tcBorders>
              <w:bottom w:val="single" w:sz="8" w:color="auto"/>
            </w:tcBorders>
          </w:tcPr>
          <w:p>
            <w:pPr>
              <w:spacing w:after="0"/>
              <w:rPr>
                <w:sz w:val="20"/>
                <w:szCs w:val="20"/>
                <w:color w:val="auto"/>
              </w:rPr>
            </w:pPr>
            <w:r>
              <w:rPr>
                <w:rFonts w:ascii="Arial" w:cs="Arial" w:eastAsia="Arial" w:hAnsi="Arial"/>
                <w:sz w:val="10"/>
                <w:szCs w:val="10"/>
                <w:b w:val="1"/>
                <w:bCs w:val="1"/>
                <w:color w:val="auto"/>
              </w:rPr>
              <w:t>Period</w:t>
            </w:r>
          </w:p>
        </w:tc>
        <w:tc>
          <w:tcPr>
            <w:tcW w:w="200" w:type="dxa"/>
            <w:vAlign w:val="bottom"/>
            <w:tcBorders>
              <w:bottom w:val="single" w:sz="8" w:color="CFF0FC"/>
            </w:tcBorders>
          </w:tcPr>
          <w:p>
            <w:pPr>
              <w:spacing w:after="0"/>
              <w:rPr>
                <w:sz w:val="10"/>
                <w:szCs w:val="10"/>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0"/>
                <w:szCs w:val="10"/>
                <w:b w:val="1"/>
                <w:bCs w:val="1"/>
                <w:color w:val="auto"/>
                <w:w w:val="87"/>
              </w:rPr>
              <w:t>Payment Date</w:t>
            </w:r>
          </w:p>
        </w:tc>
        <w:tc>
          <w:tcPr>
            <w:tcW w:w="200" w:type="dxa"/>
            <w:vAlign w:val="bottom"/>
            <w:tcBorders>
              <w:bottom w:val="single" w:sz="8" w:color="CFF0FC"/>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680" w:type="dxa"/>
            <w:vAlign w:val="bottom"/>
            <w:tcBorders>
              <w:bottom w:val="single" w:sz="8" w:color="auto"/>
            </w:tcBorders>
          </w:tcPr>
          <w:p>
            <w:pPr>
              <w:jc w:val="right"/>
              <w:ind w:right="402"/>
              <w:spacing w:after="0"/>
              <w:rPr>
                <w:sz w:val="20"/>
                <w:szCs w:val="20"/>
                <w:color w:val="auto"/>
              </w:rPr>
            </w:pPr>
            <w:r>
              <w:rPr>
                <w:rFonts w:ascii="Arial" w:cs="Arial" w:eastAsia="Arial" w:hAnsi="Arial"/>
                <w:sz w:val="10"/>
                <w:szCs w:val="10"/>
                <w:b w:val="1"/>
                <w:bCs w:val="1"/>
                <w:color w:val="auto"/>
              </w:rPr>
              <w:t>Cash Dividend Per Share</w:t>
            </w:r>
          </w:p>
        </w:tc>
        <w:tc>
          <w:tcPr>
            <w:tcW w:w="300" w:type="dxa"/>
            <w:vAlign w:val="bottom"/>
            <w:tcBorders>
              <w:bottom w:val="single" w:sz="8" w:color="CFF0FC"/>
            </w:tcBorders>
          </w:tcPr>
          <w:p>
            <w:pPr>
              <w:spacing w:after="0"/>
              <w:rPr>
                <w:sz w:val="10"/>
                <w:szCs w:val="10"/>
                <w:color w:val="auto"/>
              </w:rPr>
            </w:pPr>
          </w:p>
        </w:tc>
        <w:tc>
          <w:tcPr>
            <w:tcW w:w="2100" w:type="dxa"/>
            <w:vAlign w:val="bottom"/>
            <w:tcBorders>
              <w:bottom w:val="single" w:sz="8" w:color="auto"/>
            </w:tcBorders>
          </w:tcPr>
          <w:p>
            <w:pPr>
              <w:jc w:val="center"/>
              <w:spacing w:after="0"/>
              <w:rPr>
                <w:sz w:val="20"/>
                <w:szCs w:val="20"/>
                <w:color w:val="auto"/>
              </w:rPr>
            </w:pPr>
            <w:r>
              <w:rPr>
                <w:rFonts w:ascii="Arial" w:cs="Arial" w:eastAsia="Arial" w:hAnsi="Arial"/>
                <w:sz w:val="10"/>
                <w:szCs w:val="10"/>
                <w:b w:val="1"/>
                <w:bCs w:val="1"/>
                <w:color w:val="auto"/>
                <w:w w:val="88"/>
              </w:rPr>
              <w:t>Record Date</w:t>
            </w:r>
          </w:p>
        </w:tc>
        <w:tc>
          <w:tcPr>
            <w:tcW w:w="20" w:type="dxa"/>
            <w:vAlign w:val="bottom"/>
          </w:tcPr>
          <w:p>
            <w:pPr>
              <w:spacing w:after="0"/>
              <w:rPr>
                <w:sz w:val="10"/>
                <w:szCs w:val="10"/>
                <w:color w:val="auto"/>
              </w:rPr>
            </w:pPr>
          </w:p>
        </w:tc>
      </w:tr>
      <w:tr>
        <w:trPr>
          <w:trHeight w:val="142"/>
        </w:trPr>
        <w:tc>
          <w:tcPr>
            <w:tcW w:w="48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October 1, 2017 - December 31, 2017</w:t>
            </w:r>
          </w:p>
        </w:tc>
        <w:tc>
          <w:tcPr>
            <w:tcW w:w="2260" w:type="dxa"/>
            <w:vAlign w:val="bottom"/>
            <w:gridSpan w:val="2"/>
            <w:shd w:val="clear" w:color="auto" w:fill="CFF0FC"/>
          </w:tcPr>
          <w:p>
            <w:pPr>
              <w:jc w:val="center"/>
              <w:ind w:right="200"/>
              <w:spacing w:after="0"/>
              <w:rPr>
                <w:sz w:val="20"/>
                <w:szCs w:val="20"/>
                <w:color w:val="auto"/>
              </w:rPr>
            </w:pPr>
            <w:r>
              <w:rPr>
                <w:rFonts w:ascii="Arial" w:cs="Arial" w:eastAsia="Arial" w:hAnsi="Arial"/>
                <w:sz w:val="12"/>
                <w:szCs w:val="12"/>
                <w:color w:val="auto"/>
                <w:w w:val="88"/>
              </w:rPr>
              <w:t>January 12, 2018</w:t>
            </w: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0.60</w:t>
            </w:r>
          </w:p>
        </w:tc>
        <w:tc>
          <w:tcPr>
            <w:tcW w:w="300" w:type="dxa"/>
            <w:vAlign w:val="bottom"/>
            <w:shd w:val="clear" w:color="auto" w:fill="CFF0FC"/>
          </w:tcPr>
          <w:p>
            <w:pPr>
              <w:spacing w:after="0"/>
              <w:rPr>
                <w:sz w:val="12"/>
                <w:szCs w:val="12"/>
                <w:color w:val="auto"/>
              </w:rPr>
            </w:pPr>
          </w:p>
        </w:tc>
        <w:tc>
          <w:tcPr>
            <w:tcW w:w="21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9"/>
              </w:rPr>
              <w:t>December 29, 2017</w:t>
            </w:r>
          </w:p>
        </w:tc>
        <w:tc>
          <w:tcPr>
            <w:tcW w:w="20" w:type="dxa"/>
            <w:vAlign w:val="bottom"/>
          </w:tcPr>
          <w:p>
            <w:pPr>
              <w:spacing w:after="0"/>
              <w:rPr>
                <w:sz w:val="12"/>
                <w:szCs w:val="12"/>
                <w:color w:val="auto"/>
              </w:rPr>
            </w:pPr>
          </w:p>
        </w:tc>
      </w:tr>
      <w:tr>
        <w:trPr>
          <w:trHeight w:val="153"/>
        </w:trPr>
        <w:tc>
          <w:tcPr>
            <w:tcW w:w="4880" w:type="dxa"/>
            <w:vAlign w:val="bottom"/>
            <w:gridSpan w:val="2"/>
          </w:tcPr>
          <w:p>
            <w:pPr>
              <w:spacing w:after="0"/>
              <w:rPr>
                <w:sz w:val="20"/>
                <w:szCs w:val="20"/>
                <w:color w:val="auto"/>
              </w:rPr>
            </w:pPr>
            <w:r>
              <w:rPr>
                <w:rFonts w:ascii="Arial" w:cs="Arial" w:eastAsia="Arial" w:hAnsi="Arial"/>
                <w:sz w:val="12"/>
                <w:szCs w:val="12"/>
                <w:color w:val="auto"/>
              </w:rPr>
              <w:t>January 1, 2018 - March 31, 2018</w:t>
            </w:r>
          </w:p>
        </w:tc>
        <w:tc>
          <w:tcPr>
            <w:tcW w:w="2260" w:type="dxa"/>
            <w:vAlign w:val="bottom"/>
            <w:gridSpan w:val="2"/>
          </w:tcPr>
          <w:p>
            <w:pPr>
              <w:jc w:val="center"/>
              <w:ind w:right="200"/>
              <w:spacing w:after="0"/>
              <w:rPr>
                <w:sz w:val="20"/>
                <w:szCs w:val="20"/>
                <w:color w:val="auto"/>
              </w:rPr>
            </w:pPr>
            <w:r>
              <w:rPr>
                <w:rFonts w:ascii="Arial" w:cs="Arial" w:eastAsia="Arial" w:hAnsi="Arial"/>
                <w:sz w:val="12"/>
                <w:szCs w:val="12"/>
                <w:color w:val="auto"/>
                <w:w w:val="94"/>
              </w:rPr>
              <w:t>April 13, 2018</w:t>
            </w: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680" w:type="dxa"/>
            <w:vAlign w:val="bottom"/>
          </w:tcPr>
          <w:p>
            <w:pPr>
              <w:jc w:val="right"/>
              <w:spacing w:after="0"/>
              <w:rPr>
                <w:sz w:val="20"/>
                <w:szCs w:val="20"/>
                <w:color w:val="auto"/>
              </w:rPr>
            </w:pPr>
            <w:r>
              <w:rPr>
                <w:rFonts w:ascii="Arial" w:cs="Arial" w:eastAsia="Arial" w:hAnsi="Arial"/>
                <w:sz w:val="12"/>
                <w:szCs w:val="12"/>
                <w:color w:val="auto"/>
              </w:rPr>
              <w:t>0.60</w:t>
            </w:r>
          </w:p>
        </w:tc>
        <w:tc>
          <w:tcPr>
            <w:tcW w:w="300" w:type="dxa"/>
            <w:vAlign w:val="bottom"/>
          </w:tcPr>
          <w:p>
            <w:pPr>
              <w:spacing w:after="0"/>
              <w:rPr>
                <w:sz w:val="13"/>
                <w:szCs w:val="13"/>
                <w:color w:val="auto"/>
              </w:rPr>
            </w:pPr>
          </w:p>
        </w:tc>
        <w:tc>
          <w:tcPr>
            <w:tcW w:w="2100" w:type="dxa"/>
            <w:vAlign w:val="bottom"/>
          </w:tcPr>
          <w:p>
            <w:pPr>
              <w:jc w:val="center"/>
              <w:spacing w:after="0"/>
              <w:rPr>
                <w:sz w:val="20"/>
                <w:szCs w:val="20"/>
                <w:color w:val="auto"/>
              </w:rPr>
            </w:pPr>
            <w:r>
              <w:rPr>
                <w:rFonts w:ascii="Arial" w:cs="Arial" w:eastAsia="Arial" w:hAnsi="Arial"/>
                <w:sz w:val="12"/>
                <w:szCs w:val="12"/>
                <w:color w:val="auto"/>
                <w:w w:val="91"/>
              </w:rPr>
              <w:t>March 30, 2018</w:t>
            </w:r>
          </w:p>
        </w:tc>
        <w:tc>
          <w:tcPr>
            <w:tcW w:w="20" w:type="dxa"/>
            <w:vAlign w:val="bottom"/>
          </w:tcPr>
          <w:p>
            <w:pPr>
              <w:spacing w:after="0"/>
              <w:rPr>
                <w:sz w:val="13"/>
                <w:szCs w:val="13"/>
                <w:color w:val="auto"/>
              </w:rPr>
            </w:pPr>
          </w:p>
        </w:tc>
      </w:tr>
      <w:tr>
        <w:trPr>
          <w:trHeight w:val="153"/>
        </w:trPr>
        <w:tc>
          <w:tcPr>
            <w:tcW w:w="48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April 1, 2018 - June 30, 2018</w:t>
            </w:r>
          </w:p>
        </w:tc>
        <w:tc>
          <w:tcPr>
            <w:tcW w:w="2260" w:type="dxa"/>
            <w:vAlign w:val="bottom"/>
            <w:gridSpan w:val="2"/>
            <w:shd w:val="clear" w:color="auto" w:fill="CFF0FC"/>
          </w:tcPr>
          <w:p>
            <w:pPr>
              <w:jc w:val="center"/>
              <w:ind w:right="200"/>
              <w:spacing w:after="0"/>
              <w:rPr>
                <w:sz w:val="20"/>
                <w:szCs w:val="20"/>
                <w:color w:val="auto"/>
              </w:rPr>
            </w:pPr>
            <w:r>
              <w:rPr>
                <w:rFonts w:ascii="Arial" w:cs="Arial" w:eastAsia="Arial" w:hAnsi="Arial"/>
                <w:sz w:val="12"/>
                <w:szCs w:val="12"/>
                <w:color w:val="auto"/>
                <w:w w:val="92"/>
              </w:rPr>
              <w:t>July 13, 2018</w:t>
            </w: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0.60</w:t>
            </w:r>
          </w:p>
        </w:tc>
        <w:tc>
          <w:tcPr>
            <w:tcW w:w="300" w:type="dxa"/>
            <w:vAlign w:val="bottom"/>
            <w:shd w:val="clear" w:color="auto" w:fill="CFF0FC"/>
          </w:tcPr>
          <w:p>
            <w:pPr>
              <w:spacing w:after="0"/>
              <w:rPr>
                <w:sz w:val="13"/>
                <w:szCs w:val="13"/>
                <w:color w:val="auto"/>
              </w:rPr>
            </w:pPr>
          </w:p>
        </w:tc>
        <w:tc>
          <w:tcPr>
            <w:tcW w:w="21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6"/>
              </w:rPr>
              <w:t>June 29, 2018</w:t>
            </w:r>
          </w:p>
        </w:tc>
        <w:tc>
          <w:tcPr>
            <w:tcW w:w="20" w:type="dxa"/>
            <w:vAlign w:val="bottom"/>
          </w:tcPr>
          <w:p>
            <w:pPr>
              <w:spacing w:after="0"/>
              <w:rPr>
                <w:sz w:val="13"/>
                <w:szCs w:val="13"/>
                <w:color w:val="auto"/>
              </w:rPr>
            </w:pPr>
          </w:p>
        </w:tc>
      </w:tr>
      <w:tr>
        <w:trPr>
          <w:trHeight w:val="153"/>
        </w:trPr>
        <w:tc>
          <w:tcPr>
            <w:tcW w:w="4880" w:type="dxa"/>
            <w:vAlign w:val="bottom"/>
            <w:gridSpan w:val="2"/>
          </w:tcPr>
          <w:p>
            <w:pPr>
              <w:spacing w:after="0"/>
              <w:rPr>
                <w:sz w:val="20"/>
                <w:szCs w:val="20"/>
                <w:color w:val="auto"/>
              </w:rPr>
            </w:pPr>
            <w:r>
              <w:rPr>
                <w:rFonts w:ascii="Arial" w:cs="Arial" w:eastAsia="Arial" w:hAnsi="Arial"/>
                <w:sz w:val="12"/>
                <w:szCs w:val="12"/>
                <w:color w:val="auto"/>
              </w:rPr>
              <w:t>July 1, 2018 - September 30, 2018</w:t>
            </w:r>
          </w:p>
        </w:tc>
        <w:tc>
          <w:tcPr>
            <w:tcW w:w="2260" w:type="dxa"/>
            <w:vAlign w:val="bottom"/>
            <w:gridSpan w:val="2"/>
          </w:tcPr>
          <w:p>
            <w:pPr>
              <w:jc w:val="center"/>
              <w:ind w:right="220"/>
              <w:spacing w:after="0"/>
              <w:rPr>
                <w:sz w:val="20"/>
                <w:szCs w:val="20"/>
                <w:color w:val="auto"/>
              </w:rPr>
            </w:pPr>
            <w:r>
              <w:rPr>
                <w:rFonts w:ascii="Arial" w:cs="Arial" w:eastAsia="Arial" w:hAnsi="Arial"/>
                <w:sz w:val="12"/>
                <w:szCs w:val="12"/>
                <w:color w:val="auto"/>
                <w:w w:val="90"/>
              </w:rPr>
              <w:t>October 15, 2018</w:t>
            </w: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680" w:type="dxa"/>
            <w:vAlign w:val="bottom"/>
          </w:tcPr>
          <w:p>
            <w:pPr>
              <w:jc w:val="right"/>
              <w:spacing w:after="0"/>
              <w:rPr>
                <w:sz w:val="20"/>
                <w:szCs w:val="20"/>
                <w:color w:val="auto"/>
              </w:rPr>
            </w:pPr>
            <w:r>
              <w:rPr>
                <w:rFonts w:ascii="Arial" w:cs="Arial" w:eastAsia="Arial" w:hAnsi="Arial"/>
                <w:sz w:val="12"/>
                <w:szCs w:val="12"/>
                <w:color w:val="auto"/>
              </w:rPr>
              <w:t>0.60</w:t>
            </w:r>
          </w:p>
        </w:tc>
        <w:tc>
          <w:tcPr>
            <w:tcW w:w="300" w:type="dxa"/>
            <w:vAlign w:val="bottom"/>
          </w:tcPr>
          <w:p>
            <w:pPr>
              <w:spacing w:after="0"/>
              <w:rPr>
                <w:sz w:val="13"/>
                <w:szCs w:val="13"/>
                <w:color w:val="auto"/>
              </w:rPr>
            </w:pPr>
          </w:p>
        </w:tc>
        <w:tc>
          <w:tcPr>
            <w:tcW w:w="2100" w:type="dxa"/>
            <w:vAlign w:val="bottom"/>
          </w:tcPr>
          <w:p>
            <w:pPr>
              <w:jc w:val="center"/>
              <w:spacing w:after="0"/>
              <w:rPr>
                <w:sz w:val="20"/>
                <w:szCs w:val="20"/>
                <w:color w:val="auto"/>
              </w:rPr>
            </w:pPr>
            <w:r>
              <w:rPr>
                <w:rFonts w:ascii="Arial" w:cs="Arial" w:eastAsia="Arial" w:hAnsi="Arial"/>
                <w:sz w:val="12"/>
                <w:szCs w:val="12"/>
                <w:color w:val="auto"/>
                <w:w w:val="88"/>
              </w:rPr>
              <w:t>September 28, 2018</w:t>
            </w:r>
          </w:p>
        </w:tc>
        <w:tc>
          <w:tcPr>
            <w:tcW w:w="20" w:type="dxa"/>
            <w:vAlign w:val="bottom"/>
          </w:tcPr>
          <w:p>
            <w:pPr>
              <w:spacing w:after="0"/>
              <w:rPr>
                <w:sz w:val="13"/>
                <w:szCs w:val="13"/>
                <w:color w:val="auto"/>
              </w:rPr>
            </w:pPr>
          </w:p>
        </w:tc>
      </w:tr>
      <w:tr>
        <w:trPr>
          <w:trHeight w:val="153"/>
        </w:trPr>
        <w:tc>
          <w:tcPr>
            <w:tcW w:w="48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October 1, 2018 - December 31, 2018</w:t>
            </w:r>
          </w:p>
        </w:tc>
        <w:tc>
          <w:tcPr>
            <w:tcW w:w="2260" w:type="dxa"/>
            <w:vAlign w:val="bottom"/>
            <w:gridSpan w:val="2"/>
            <w:shd w:val="clear" w:color="auto" w:fill="CFF0FC"/>
          </w:tcPr>
          <w:p>
            <w:pPr>
              <w:jc w:val="center"/>
              <w:ind w:right="200"/>
              <w:spacing w:after="0"/>
              <w:rPr>
                <w:sz w:val="20"/>
                <w:szCs w:val="20"/>
                <w:color w:val="auto"/>
              </w:rPr>
            </w:pPr>
            <w:r>
              <w:rPr>
                <w:rFonts w:ascii="Arial" w:cs="Arial" w:eastAsia="Arial" w:hAnsi="Arial"/>
                <w:sz w:val="12"/>
                <w:szCs w:val="12"/>
                <w:color w:val="auto"/>
                <w:w w:val="88"/>
              </w:rPr>
              <w:t>January 15, 2019</w:t>
            </w: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0.60</w:t>
            </w:r>
          </w:p>
        </w:tc>
        <w:tc>
          <w:tcPr>
            <w:tcW w:w="300" w:type="dxa"/>
            <w:vAlign w:val="bottom"/>
            <w:shd w:val="clear" w:color="auto" w:fill="CFF0FC"/>
          </w:tcPr>
          <w:p>
            <w:pPr>
              <w:spacing w:after="0"/>
              <w:rPr>
                <w:sz w:val="13"/>
                <w:szCs w:val="13"/>
                <w:color w:val="auto"/>
              </w:rPr>
            </w:pPr>
          </w:p>
        </w:tc>
        <w:tc>
          <w:tcPr>
            <w:tcW w:w="2100" w:type="dxa"/>
            <w:vAlign w:val="bottom"/>
            <w:shd w:val="clear" w:color="auto" w:fill="CFF0FC"/>
          </w:tcPr>
          <w:p>
            <w:pPr>
              <w:jc w:val="center"/>
              <w:spacing w:after="0"/>
              <w:rPr>
                <w:sz w:val="20"/>
                <w:szCs w:val="20"/>
                <w:color w:val="auto"/>
              </w:rPr>
            </w:pPr>
            <w:r>
              <w:rPr>
                <w:rFonts w:ascii="Arial" w:cs="Arial" w:eastAsia="Arial" w:hAnsi="Arial"/>
                <w:sz w:val="12"/>
                <w:szCs w:val="12"/>
                <w:color w:val="auto"/>
                <w:w w:val="89"/>
              </w:rPr>
              <w:t>December 31, 2018</w:t>
            </w:r>
          </w:p>
        </w:tc>
        <w:tc>
          <w:tcPr>
            <w:tcW w:w="20" w:type="dxa"/>
            <w:vAlign w:val="bottom"/>
          </w:tcPr>
          <w:p>
            <w:pPr>
              <w:spacing w:after="0"/>
              <w:rPr>
                <w:sz w:val="13"/>
                <w:szCs w:val="13"/>
                <w:color w:val="auto"/>
              </w:rPr>
            </w:pPr>
          </w:p>
        </w:tc>
      </w:tr>
      <w:tr>
        <w:trPr>
          <w:trHeight w:val="288"/>
        </w:trPr>
        <w:tc>
          <w:tcPr>
            <w:tcW w:w="4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60" w:type="dxa"/>
            <w:vAlign w:val="bottom"/>
          </w:tcPr>
          <w:p>
            <w:pPr>
              <w:jc w:val="right"/>
              <w:ind w:right="1082"/>
              <w:spacing w:after="0"/>
              <w:rPr>
                <w:sz w:val="20"/>
                <w:szCs w:val="20"/>
                <w:color w:val="auto"/>
              </w:rPr>
            </w:pPr>
            <w:r>
              <w:rPr>
                <w:rFonts w:ascii="Arial" w:cs="Arial" w:eastAsia="Arial" w:hAnsi="Arial"/>
                <w:sz w:val="12"/>
                <w:szCs w:val="12"/>
                <w:color w:val="auto"/>
              </w:rPr>
              <w:t>52</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468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206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68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210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7285355</wp:posOffset>
            </wp:positionH>
            <wp:positionV relativeFrom="paragraph">
              <wp:posOffset>-23495</wp:posOffset>
            </wp:positionV>
            <wp:extent cx="31115" cy="3683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-12065</wp:posOffset>
            </wp:positionH>
            <wp:positionV relativeFrom="paragraph">
              <wp:posOffset>-23495</wp:posOffset>
            </wp:positionV>
            <wp:extent cx="31115" cy="3683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8"/>
          </w:cols>
          <w:pgMar w:left="212" w:top="131" w:right="179" w:bottom="1440" w:gutter="0" w:footer="0" w:header="0"/>
        </w:sectPr>
      </w:pPr>
    </w:p>
    <w:bookmarkStart w:id="52" w:name="page53"/>
    <w:bookmarkEnd w:id="5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0"/>
        <w:spacing w:after="0" w:line="255" w:lineRule="auto"/>
        <w:rPr>
          <w:sz w:val="20"/>
          <w:szCs w:val="20"/>
          <w:color w:val="auto"/>
        </w:rPr>
      </w:pPr>
      <w:r>
        <w:rPr>
          <w:rFonts w:ascii="Arial" w:cs="Arial" w:eastAsia="Arial" w:hAnsi="Arial"/>
          <w:sz w:val="12"/>
          <w:szCs w:val="12"/>
          <w:color w:val="auto"/>
        </w:rPr>
        <w:t>Any dividends must be declared by our Board of Directors, which will take into account various factors including our current and anticipated operating results, our financial position, REIT requirements, conditions prevailing in the market, restrictions in our debt documents and additional factors they deem appropriate. Dividend payments are not guaranteed and our Board of Directors may decide, in its absolute discretion, at any time and for any reason, not to pay dividends or to change the amount paid as dividends. In light of recent developments with Windstream, we may take measures to conserve cash, which may include a suspension, delay or reduction in our dividend. Moreover, during the pendency of Windstream’s bankruptcy, or at such earlier time when certain other conditions are specified, (discussed in the second risk factor and “Risk Related to the Status of Uniti as a REIT – REIT distribution requirements could adversely affect our ability to execute our business plan”) our ability to make cash distributions to our shareholders in amounts exceeding 90% of our REIT taxable income, determined without regard to the dividends paid deduction and excluding any net capital gains, generally will be restricted.</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Capital Expenditures</w:t>
      </w:r>
    </w:p>
    <w:p>
      <w:pPr>
        <w:spacing w:after="0" w:line="154" w:lineRule="exact"/>
        <w:rPr>
          <w:sz w:val="20"/>
          <w:szCs w:val="20"/>
          <w:color w:val="auto"/>
        </w:rPr>
      </w:pPr>
    </w:p>
    <w:p>
      <w:pPr>
        <w:jc w:val="both"/>
        <w:ind w:right="20"/>
        <w:spacing w:after="0" w:line="298" w:lineRule="auto"/>
        <w:rPr>
          <w:sz w:val="20"/>
          <w:szCs w:val="20"/>
          <w:color w:val="auto"/>
        </w:rPr>
      </w:pPr>
      <w:r>
        <w:rPr>
          <w:rFonts w:ascii="Arial" w:cs="Arial" w:eastAsia="Arial" w:hAnsi="Arial"/>
          <w:sz w:val="11"/>
          <w:szCs w:val="11"/>
          <w:color w:val="auto"/>
        </w:rPr>
        <w:t>Capital expenditures for the Distribution Systems leased under the Master Lease are generally the responsibility of Windstream. The Master Lease stipulates that Windstream can request that we fund $50 million of capital expenditures per year for five years (but in no event to extend beyond the end of the sixth year of the Master Lease); however, Windstream cannot require Uniti to make such capital expenditures. If we elect to fund requested capital expenditures, the annual lease payments will be increased at a floating rate based on our cost of capital. No capital expenditure funding requests were made by Windstream for the year ended December 31, 2018.</w:t>
      </w:r>
    </w:p>
    <w:p>
      <w:pPr>
        <w:spacing w:after="0" w:line="105" w:lineRule="exact"/>
        <w:rPr>
          <w:sz w:val="20"/>
          <w:szCs w:val="20"/>
          <w:color w:val="auto"/>
        </w:rPr>
      </w:pPr>
    </w:p>
    <w:p>
      <w:pPr>
        <w:ind w:right="60"/>
        <w:spacing w:after="0" w:line="259" w:lineRule="auto"/>
        <w:rPr>
          <w:sz w:val="20"/>
          <w:szCs w:val="20"/>
          <w:color w:val="auto"/>
        </w:rPr>
      </w:pPr>
      <w:r>
        <w:rPr>
          <w:rFonts w:ascii="Arial" w:cs="Arial" w:eastAsia="Arial" w:hAnsi="Arial"/>
          <w:sz w:val="12"/>
          <w:szCs w:val="12"/>
          <w:color w:val="auto"/>
        </w:rPr>
        <w:t>We categorize our capital expenditures as either (i) success-based, (ii) maintenance, (iii) integration or (iv) corporate and non-network. We define success-based capital expenditures as those related to installing existing or anticipated contractual customer service orders. Maintenance capital expenditures are those necessary to keep existing network elements fully operational. Integration capital expenditures are those made specifically with respect to recent acquisitions that are essential to integrating acquired companies in our business. We anticipate continuing to invest in our network infrastructure across our Uniti Leasing, Uniti Fiber and Uniti Towers portfolios, and expect that cash on hand, borrowings under our Revolving Credit Facility, and cash flows provided by operating activities will be sufficient to support these investments.</w:t>
      </w:r>
    </w:p>
    <w:p>
      <w:pPr>
        <w:spacing w:after="0" w:line="125" w:lineRule="exact"/>
        <w:rPr>
          <w:sz w:val="20"/>
          <w:szCs w:val="20"/>
          <w:color w:val="auto"/>
        </w:rPr>
      </w:pPr>
    </w:p>
    <w:p>
      <w:pPr>
        <w:ind w:right="320"/>
        <w:spacing w:after="0" w:line="276" w:lineRule="auto"/>
        <w:rPr>
          <w:sz w:val="20"/>
          <w:szCs w:val="20"/>
          <w:color w:val="auto"/>
        </w:rPr>
      </w:pPr>
      <w:r>
        <w:rPr>
          <w:rFonts w:ascii="Arial" w:cs="Arial" w:eastAsia="Arial" w:hAnsi="Arial"/>
          <w:sz w:val="12"/>
          <w:szCs w:val="12"/>
          <w:color w:val="auto"/>
        </w:rPr>
        <w:t>In light of recent developments with Windstream, we may to take measures to conserve cash, which may include a suspension, delay or reduction in success-based capital expenditures. We are closely monitoring developments of the Windstream bankruptcy and continually assess our capital expenditure plans in light of such developments.</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Off Balance-Sheet Arrangements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As of the date of this Annual Report on Form 10-K, we do not have any off-balance sheet arrangements.</w:t>
      </w:r>
    </w:p>
    <w:p>
      <w:pPr>
        <w:spacing w:after="0" w:line="28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7A. Quantitative and Qualitative Disclosures About Market Risk.</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Interest Rate Risk</w:t>
      </w:r>
    </w:p>
    <w:p>
      <w:pPr>
        <w:spacing w:after="0" w:line="150" w:lineRule="exact"/>
        <w:rPr>
          <w:sz w:val="20"/>
          <w:szCs w:val="20"/>
          <w:color w:val="auto"/>
        </w:rPr>
      </w:pPr>
    </w:p>
    <w:p>
      <w:pPr>
        <w:spacing w:after="0" w:line="327" w:lineRule="auto"/>
        <w:rPr>
          <w:sz w:val="20"/>
          <w:szCs w:val="20"/>
          <w:color w:val="auto"/>
        </w:rPr>
      </w:pPr>
      <w:r>
        <w:rPr>
          <w:rFonts w:ascii="Arial" w:cs="Arial" w:eastAsia="Arial" w:hAnsi="Arial"/>
          <w:sz w:val="10"/>
          <w:szCs w:val="10"/>
          <w:color w:val="auto"/>
        </w:rPr>
        <w:t>Our primary market risk exposure is interest rate risk with respect to our variable rate indebtedness under our Term Loan Facility. In addition, we have a variable rate Revolving Credit Facility in an aggregate principal amount of $750 million, which has $110 million of undrawn borrowing capacity as of December 31, 2018. To manage this exposure under our Term Loan Facility, we have entered into interest rate swap agreements in order to mitigate the interest rate risk inherent in our variable rate Term Loan Facility. As of December 31, 2018, the interest rate risk for our Term Loan Facility has been mitigated through this interest rate swap agreement, and, with the exception of our Revolving Credit Facility, the interest rate for our remaining debt has a fixed rate. A hypothetical 10% change in interest rates effective at December 31, 2018, would have had a $2.0 million impact on Uniti’s results of operations for the year ended December 31, 2018.</w:t>
      </w:r>
    </w:p>
    <w:p>
      <w:pPr>
        <w:spacing w:after="0" w:line="94"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An increase in interest rates could make the financing of any acquisition by us more costly. Rising interest rates could also limit our ability to refinance our debt when it matures or cause us to pay higher interest rates upon refinancing and increase interest expense on refinanced indebtedness.</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53" w:name="page54"/>
    <w:bookmarkEnd w:id="5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In connection with the fourth amendment to our Credit Agreement obtained on March 18, 2019, the interest rate on our Term Loan Facility increased 200 basis points to LIBOR, subject to a 1.0% floor, plus an applicable margin equal to 5.0%.</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Foreign Currency Exchange Rate Fluctuation</w:t>
      </w:r>
    </w:p>
    <w:p>
      <w:pPr>
        <w:spacing w:after="0" w:line="150" w:lineRule="exact"/>
        <w:rPr>
          <w:sz w:val="20"/>
          <w:szCs w:val="20"/>
          <w:color w:val="auto"/>
        </w:rPr>
      </w:pPr>
    </w:p>
    <w:p>
      <w:pPr>
        <w:jc w:val="both"/>
        <w:spacing w:after="0" w:line="298" w:lineRule="auto"/>
        <w:rPr>
          <w:sz w:val="20"/>
          <w:szCs w:val="20"/>
          <w:color w:val="auto"/>
        </w:rPr>
      </w:pPr>
      <w:r>
        <w:rPr>
          <w:rFonts w:ascii="Arial" w:cs="Arial" w:eastAsia="Arial" w:hAnsi="Arial"/>
          <w:sz w:val="11"/>
          <w:szCs w:val="11"/>
          <w:color w:val="auto"/>
        </w:rPr>
        <w:t>Approximately 1% of our revenues were denominated in foreign currencies for the year ended December 31, 2018. Cost of sales and operating costs related to these sales are largely denominated in the same respective currencies, thereby partially limiting our transaction risk exposure. A uniform 10% strengthening in the value of the U.S. dollar relative to the currencies in which our transactions are denominated would have resulted in an increase in net income of less than $0.1 million for the year ended December 31, 2018. This hypothetical calculation assumes that each exchange rate would change in the same direction relative to the U.S. dollar.</w:t>
      </w:r>
    </w:p>
    <w:p>
      <w:pPr>
        <w:spacing w:after="0" w:line="240"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20"/>
          </w:cols>
          <w:pgMar w:left="220" w:top="131" w:right="259" w:bottom="1440" w:gutter="0" w:footer="0" w:header="0"/>
        </w:sectPr>
      </w:pPr>
    </w:p>
    <w:bookmarkStart w:id="54" w:name="page55"/>
    <w:bookmarkEnd w:id="5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8. Financial Statements and Supplementary Data.</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44"/>
        </w:trPr>
        <w:tc>
          <w:tcPr>
            <w:tcW w:w="1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7640" w:type="dxa"/>
            <w:vAlign w:val="bottom"/>
            <w:gridSpan w:val="2"/>
          </w:tcPr>
          <w:p>
            <w:pPr>
              <w:jc w:val="center"/>
              <w:ind w:right="3800"/>
              <w:spacing w:after="0"/>
              <w:rPr>
                <w:sz w:val="20"/>
                <w:szCs w:val="20"/>
                <w:color w:val="auto"/>
              </w:rPr>
            </w:pPr>
            <w:r>
              <w:rPr>
                <w:rFonts w:ascii="Arial" w:cs="Arial" w:eastAsia="Arial" w:hAnsi="Arial"/>
                <w:sz w:val="12"/>
                <w:szCs w:val="12"/>
                <w:b w:val="1"/>
                <w:bCs w:val="1"/>
                <w:color w:val="auto"/>
                <w:w w:val="95"/>
              </w:rPr>
              <w:t>Uniti Group Inc.</w:t>
            </w:r>
          </w:p>
        </w:tc>
        <w:tc>
          <w:tcPr>
            <w:tcW w:w="20" w:type="dxa"/>
            <w:vAlign w:val="bottom"/>
          </w:tcPr>
          <w:p>
            <w:pPr>
              <w:spacing w:after="0"/>
              <w:rPr>
                <w:sz w:val="12"/>
                <w:szCs w:val="12"/>
                <w:color w:val="auto"/>
              </w:rPr>
            </w:pPr>
          </w:p>
        </w:tc>
      </w:tr>
      <w:tr>
        <w:trPr>
          <w:trHeight w:val="144"/>
        </w:trPr>
        <w:tc>
          <w:tcPr>
            <w:tcW w:w="1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7640" w:type="dxa"/>
            <w:vAlign w:val="bottom"/>
            <w:gridSpan w:val="2"/>
          </w:tcPr>
          <w:p>
            <w:pPr>
              <w:jc w:val="center"/>
              <w:ind w:right="3800"/>
              <w:spacing w:after="0"/>
              <w:rPr>
                <w:sz w:val="20"/>
                <w:szCs w:val="20"/>
                <w:color w:val="auto"/>
              </w:rPr>
            </w:pPr>
            <w:r>
              <w:rPr>
                <w:rFonts w:ascii="Arial" w:cs="Arial" w:eastAsia="Arial" w:hAnsi="Arial"/>
                <w:sz w:val="12"/>
                <w:szCs w:val="12"/>
                <w:b w:val="1"/>
                <w:bCs w:val="1"/>
                <w:color w:val="auto"/>
                <w:w w:val="89"/>
              </w:rPr>
              <w:t>Consolidated Financial Statements</w:t>
            </w:r>
          </w:p>
        </w:tc>
        <w:tc>
          <w:tcPr>
            <w:tcW w:w="20" w:type="dxa"/>
            <w:vAlign w:val="bottom"/>
          </w:tcPr>
          <w:p>
            <w:pPr>
              <w:spacing w:after="0"/>
              <w:rPr>
                <w:sz w:val="12"/>
                <w:szCs w:val="12"/>
                <w:color w:val="auto"/>
              </w:rPr>
            </w:pPr>
          </w:p>
        </w:tc>
      </w:tr>
      <w:tr>
        <w:trPr>
          <w:trHeight w:val="157"/>
        </w:trPr>
        <w:tc>
          <w:tcPr>
            <w:tcW w:w="13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7640" w:type="dxa"/>
            <w:vAlign w:val="bottom"/>
            <w:gridSpan w:val="2"/>
          </w:tcPr>
          <w:p>
            <w:pPr>
              <w:jc w:val="center"/>
              <w:ind w:right="3800"/>
              <w:spacing w:after="0"/>
              <w:rPr>
                <w:sz w:val="20"/>
                <w:szCs w:val="20"/>
                <w:color w:val="auto"/>
              </w:rPr>
            </w:pPr>
            <w:r>
              <w:rPr>
                <w:rFonts w:ascii="Arial" w:cs="Arial" w:eastAsia="Arial" w:hAnsi="Arial"/>
                <w:sz w:val="12"/>
                <w:szCs w:val="12"/>
                <w:b w:val="1"/>
                <w:bCs w:val="1"/>
                <w:color w:val="auto"/>
                <w:w w:val="90"/>
              </w:rPr>
              <w:t>Index to Financial Statements</w:t>
            </w:r>
          </w:p>
        </w:tc>
        <w:tc>
          <w:tcPr>
            <w:tcW w:w="20" w:type="dxa"/>
            <w:vAlign w:val="bottom"/>
          </w:tcPr>
          <w:p>
            <w:pPr>
              <w:spacing w:after="0"/>
              <w:rPr>
                <w:sz w:val="13"/>
                <w:szCs w:val="13"/>
                <w:color w:val="auto"/>
              </w:rPr>
            </w:pPr>
          </w:p>
        </w:tc>
      </w:tr>
      <w:tr>
        <w:trPr>
          <w:trHeight w:val="297"/>
        </w:trPr>
        <w:tc>
          <w:tcPr>
            <w:tcW w:w="1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660" w:type="dxa"/>
            <w:vAlign w:val="bottom"/>
          </w:tcPr>
          <w:p>
            <w:pPr>
              <w:spacing w:after="0"/>
              <w:rPr>
                <w:sz w:val="24"/>
                <w:szCs w:val="24"/>
                <w:color w:val="auto"/>
              </w:rPr>
            </w:pPr>
          </w:p>
        </w:tc>
        <w:tc>
          <w:tcPr>
            <w:tcW w:w="980" w:type="dxa"/>
            <w:vAlign w:val="bottom"/>
            <w:tcBorders>
              <w:bottom w:val="single" w:sz="8" w:color="auto"/>
            </w:tcBorders>
          </w:tcPr>
          <w:p>
            <w:pPr>
              <w:jc w:val="right"/>
              <w:ind w:right="320"/>
              <w:spacing w:after="0"/>
              <w:rPr>
                <w:sz w:val="20"/>
                <w:szCs w:val="20"/>
                <w:color w:val="auto"/>
              </w:rPr>
            </w:pPr>
            <w:r>
              <w:rPr>
                <w:rFonts w:ascii="Arial" w:cs="Arial" w:eastAsia="Arial" w:hAnsi="Arial"/>
                <w:sz w:val="12"/>
                <w:szCs w:val="12"/>
                <w:color w:val="auto"/>
              </w:rPr>
              <w:t>Page</w:t>
            </w:r>
          </w:p>
        </w:tc>
        <w:tc>
          <w:tcPr>
            <w:tcW w:w="20" w:type="dxa"/>
            <w:vAlign w:val="bottom"/>
          </w:tcPr>
          <w:p>
            <w:pPr>
              <w:spacing w:after="0"/>
              <w:rPr>
                <w:sz w:val="24"/>
                <w:szCs w:val="24"/>
                <w:color w:val="auto"/>
              </w:rPr>
            </w:pPr>
          </w:p>
        </w:tc>
      </w:tr>
      <w:tr>
        <w:trPr>
          <w:trHeight w:val="115"/>
        </w:trPr>
        <w:tc>
          <w:tcPr>
            <w:tcW w:w="3840" w:type="dxa"/>
            <w:vAlign w:val="bottom"/>
            <w:gridSpan w:val="8"/>
          </w:tcPr>
          <w:p>
            <w:pPr>
              <w:spacing w:after="0" w:line="115" w:lineRule="exact"/>
              <w:rPr>
                <w:rFonts w:ascii="Arial" w:cs="Arial" w:eastAsia="Arial" w:hAnsi="Arial"/>
                <w:sz w:val="12"/>
                <w:szCs w:val="12"/>
                <w:color w:val="0000EE"/>
              </w:rPr>
            </w:pPr>
            <w:hyperlink w:anchor="page56">
              <w:r>
                <w:rPr>
                  <w:rFonts w:ascii="Arial" w:cs="Arial" w:eastAsia="Arial" w:hAnsi="Arial"/>
                  <w:sz w:val="12"/>
                  <w:szCs w:val="12"/>
                  <w:color w:val="0000EE"/>
                </w:rPr>
                <w:t>Report of Independent Registered Public Accounting Firm</w:t>
              </w:r>
            </w:hyperlink>
          </w:p>
        </w:tc>
        <w:tc>
          <w:tcPr>
            <w:tcW w:w="7640" w:type="dxa"/>
            <w:vAlign w:val="bottom"/>
            <w:gridSpan w:val="2"/>
          </w:tcPr>
          <w:p>
            <w:pPr>
              <w:jc w:val="right"/>
              <w:spacing w:after="0" w:line="115" w:lineRule="exact"/>
              <w:rPr>
                <w:sz w:val="20"/>
                <w:szCs w:val="20"/>
                <w:color w:val="auto"/>
              </w:rPr>
            </w:pPr>
            <w:r>
              <w:rPr>
                <w:rFonts w:ascii="Arial" w:cs="Arial" w:eastAsia="Arial" w:hAnsi="Arial"/>
                <w:sz w:val="12"/>
                <w:szCs w:val="12"/>
                <w:color w:val="auto"/>
              </w:rPr>
              <w:t>56</w:t>
            </w:r>
          </w:p>
        </w:tc>
        <w:tc>
          <w:tcPr>
            <w:tcW w:w="20" w:type="dxa"/>
            <w:vAlign w:val="bottom"/>
          </w:tcPr>
          <w:p>
            <w:pPr>
              <w:spacing w:after="0"/>
              <w:rPr>
                <w:sz w:val="10"/>
                <w:szCs w:val="10"/>
                <w:color w:val="auto"/>
              </w:rPr>
            </w:pPr>
          </w:p>
        </w:tc>
      </w:tr>
      <w:tr>
        <w:trPr>
          <w:trHeight w:val="313"/>
        </w:trPr>
        <w:tc>
          <w:tcPr>
            <w:tcW w:w="2800" w:type="dxa"/>
            <w:vAlign w:val="bottom"/>
            <w:tcBorders>
              <w:top w:val="single" w:sz="8" w:color="0000EE"/>
            </w:tcBorders>
            <w:gridSpan w:val="6"/>
          </w:tcPr>
          <w:p>
            <w:pPr>
              <w:spacing w:after="0"/>
              <w:rPr>
                <w:sz w:val="20"/>
                <w:szCs w:val="20"/>
                <w:color w:val="auto"/>
              </w:rPr>
            </w:pPr>
            <w:r>
              <w:rPr>
                <w:rFonts w:ascii="Arial" w:cs="Arial" w:eastAsia="Arial" w:hAnsi="Arial"/>
                <w:sz w:val="12"/>
                <w:szCs w:val="12"/>
                <w:b w:val="1"/>
                <w:bCs w:val="1"/>
                <w:color w:val="auto"/>
              </w:rPr>
              <w:t>Uniti Group Inc.</w:t>
            </w:r>
          </w:p>
        </w:tc>
        <w:tc>
          <w:tcPr>
            <w:tcW w:w="1040" w:type="dxa"/>
            <w:vAlign w:val="bottom"/>
            <w:gridSpan w:val="2"/>
          </w:tcPr>
          <w:p>
            <w:pPr>
              <w:spacing w:after="0"/>
              <w:rPr>
                <w:sz w:val="24"/>
                <w:szCs w:val="24"/>
                <w:color w:val="auto"/>
              </w:rPr>
            </w:pPr>
          </w:p>
        </w:tc>
        <w:tc>
          <w:tcPr>
            <w:tcW w:w="66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26"/>
        </w:trPr>
        <w:tc>
          <w:tcPr>
            <w:tcW w:w="3840" w:type="dxa"/>
            <w:vAlign w:val="bottom"/>
            <w:gridSpan w:val="8"/>
          </w:tcPr>
          <w:p>
            <w:pPr>
              <w:spacing w:after="0" w:line="126" w:lineRule="exact"/>
              <w:rPr>
                <w:rFonts w:ascii="Arial" w:cs="Arial" w:eastAsia="Arial" w:hAnsi="Arial"/>
                <w:sz w:val="12"/>
                <w:szCs w:val="12"/>
                <w:color w:val="0000EE"/>
              </w:rPr>
            </w:pPr>
            <w:hyperlink w:anchor="page58">
              <w:r>
                <w:rPr>
                  <w:rFonts w:ascii="Arial" w:cs="Arial" w:eastAsia="Arial" w:hAnsi="Arial"/>
                  <w:sz w:val="12"/>
                  <w:szCs w:val="12"/>
                  <w:color w:val="0000EE"/>
                </w:rPr>
                <w:t>Consolidated Balance Sheets</w:t>
              </w:r>
            </w:hyperlink>
          </w:p>
        </w:tc>
        <w:tc>
          <w:tcPr>
            <w:tcW w:w="7640" w:type="dxa"/>
            <w:vAlign w:val="bottom"/>
            <w:gridSpan w:val="2"/>
          </w:tcPr>
          <w:p>
            <w:pPr>
              <w:jc w:val="right"/>
              <w:spacing w:after="0" w:line="126" w:lineRule="exact"/>
              <w:rPr>
                <w:sz w:val="20"/>
                <w:szCs w:val="20"/>
                <w:color w:val="auto"/>
              </w:rPr>
            </w:pPr>
            <w:r>
              <w:rPr>
                <w:rFonts w:ascii="Arial" w:cs="Arial" w:eastAsia="Arial" w:hAnsi="Arial"/>
                <w:sz w:val="12"/>
                <w:szCs w:val="12"/>
                <w:color w:val="auto"/>
              </w:rPr>
              <w:t>58</w:t>
            </w:r>
          </w:p>
        </w:tc>
        <w:tc>
          <w:tcPr>
            <w:tcW w:w="20" w:type="dxa"/>
            <w:vAlign w:val="bottom"/>
          </w:tcPr>
          <w:p>
            <w:pPr>
              <w:spacing w:after="0"/>
              <w:rPr>
                <w:sz w:val="10"/>
                <w:szCs w:val="10"/>
                <w:color w:val="auto"/>
              </w:rPr>
            </w:pPr>
          </w:p>
        </w:tc>
      </w:tr>
      <w:tr>
        <w:trPr>
          <w:trHeight w:val="20"/>
        </w:trPr>
        <w:tc>
          <w:tcPr>
            <w:tcW w:w="138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76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33"/>
        </w:trPr>
        <w:tc>
          <w:tcPr>
            <w:tcW w:w="3840" w:type="dxa"/>
            <w:vAlign w:val="bottom"/>
            <w:gridSpan w:val="8"/>
          </w:tcPr>
          <w:p>
            <w:pPr>
              <w:spacing w:after="0" w:line="133" w:lineRule="exact"/>
              <w:rPr>
                <w:rFonts w:ascii="Arial" w:cs="Arial" w:eastAsia="Arial" w:hAnsi="Arial"/>
                <w:sz w:val="12"/>
                <w:szCs w:val="12"/>
                <w:color w:val="0000EE"/>
              </w:rPr>
            </w:pPr>
            <w:hyperlink w:anchor="page59">
              <w:r>
                <w:rPr>
                  <w:rFonts w:ascii="Arial" w:cs="Arial" w:eastAsia="Arial" w:hAnsi="Arial"/>
                  <w:sz w:val="12"/>
                  <w:szCs w:val="12"/>
                  <w:color w:val="0000EE"/>
                </w:rPr>
                <w:t>Consolidated Statements of Income</w:t>
              </w:r>
            </w:hyperlink>
          </w:p>
        </w:tc>
        <w:tc>
          <w:tcPr>
            <w:tcW w:w="7640" w:type="dxa"/>
            <w:vAlign w:val="bottom"/>
            <w:gridSpan w:val="2"/>
          </w:tcPr>
          <w:p>
            <w:pPr>
              <w:jc w:val="right"/>
              <w:spacing w:after="0" w:line="133" w:lineRule="exact"/>
              <w:rPr>
                <w:sz w:val="20"/>
                <w:szCs w:val="20"/>
                <w:color w:val="auto"/>
              </w:rPr>
            </w:pPr>
            <w:r>
              <w:rPr>
                <w:rFonts w:ascii="Arial" w:cs="Arial" w:eastAsia="Arial" w:hAnsi="Arial"/>
                <w:sz w:val="12"/>
                <w:szCs w:val="12"/>
                <w:color w:val="auto"/>
              </w:rPr>
              <w:t>59</w:t>
            </w:r>
          </w:p>
        </w:tc>
        <w:tc>
          <w:tcPr>
            <w:tcW w:w="20" w:type="dxa"/>
            <w:vAlign w:val="bottom"/>
          </w:tcPr>
          <w:p>
            <w:pPr>
              <w:spacing w:after="0"/>
              <w:rPr>
                <w:sz w:val="11"/>
                <w:szCs w:val="11"/>
                <w:color w:val="auto"/>
              </w:rPr>
            </w:pPr>
          </w:p>
        </w:tc>
      </w:tr>
      <w:tr>
        <w:trPr>
          <w:trHeight w:val="20"/>
        </w:trPr>
        <w:tc>
          <w:tcPr>
            <w:tcW w:w="1700" w:type="dxa"/>
            <w:vAlign w:val="bottom"/>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76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33"/>
        </w:trPr>
        <w:tc>
          <w:tcPr>
            <w:tcW w:w="3840" w:type="dxa"/>
            <w:vAlign w:val="bottom"/>
            <w:gridSpan w:val="8"/>
          </w:tcPr>
          <w:p>
            <w:pPr>
              <w:spacing w:after="0" w:line="133" w:lineRule="exact"/>
              <w:rPr>
                <w:rFonts w:ascii="Arial" w:cs="Arial" w:eastAsia="Arial" w:hAnsi="Arial"/>
                <w:sz w:val="12"/>
                <w:szCs w:val="12"/>
                <w:color w:val="0000EE"/>
              </w:rPr>
            </w:pPr>
            <w:hyperlink w:anchor="page60">
              <w:r>
                <w:rPr>
                  <w:rFonts w:ascii="Arial" w:cs="Arial" w:eastAsia="Arial" w:hAnsi="Arial"/>
                  <w:sz w:val="12"/>
                  <w:szCs w:val="12"/>
                  <w:color w:val="0000EE"/>
                </w:rPr>
                <w:t>Consolidated Statements of Comprehensive Income (Loss)</w:t>
              </w:r>
            </w:hyperlink>
          </w:p>
        </w:tc>
        <w:tc>
          <w:tcPr>
            <w:tcW w:w="7640" w:type="dxa"/>
            <w:vAlign w:val="bottom"/>
            <w:gridSpan w:val="2"/>
          </w:tcPr>
          <w:p>
            <w:pPr>
              <w:jc w:val="right"/>
              <w:spacing w:after="0" w:line="133" w:lineRule="exact"/>
              <w:rPr>
                <w:sz w:val="20"/>
                <w:szCs w:val="20"/>
                <w:color w:val="auto"/>
              </w:rPr>
            </w:pPr>
            <w:r>
              <w:rPr>
                <w:rFonts w:ascii="Arial" w:cs="Arial" w:eastAsia="Arial" w:hAnsi="Arial"/>
                <w:sz w:val="12"/>
                <w:szCs w:val="12"/>
                <w:color w:val="auto"/>
              </w:rPr>
              <w:t>60</w:t>
            </w:r>
          </w:p>
        </w:tc>
        <w:tc>
          <w:tcPr>
            <w:tcW w:w="20" w:type="dxa"/>
            <w:vAlign w:val="bottom"/>
          </w:tcPr>
          <w:p>
            <w:pPr>
              <w:spacing w:after="0"/>
              <w:rPr>
                <w:sz w:val="11"/>
                <w:szCs w:val="11"/>
                <w:color w:val="auto"/>
              </w:rPr>
            </w:pPr>
          </w:p>
        </w:tc>
      </w:tr>
      <w:tr>
        <w:trPr>
          <w:trHeight w:val="133"/>
        </w:trPr>
        <w:tc>
          <w:tcPr>
            <w:tcW w:w="2380" w:type="dxa"/>
            <w:vAlign w:val="bottom"/>
            <w:tcBorders>
              <w:top w:val="single" w:sz="8" w:color="0000EE"/>
              <w:bottom w:val="single" w:sz="8" w:color="0000EE"/>
            </w:tcBorders>
            <w:gridSpan w:val="5"/>
          </w:tcPr>
          <w:p>
            <w:pPr>
              <w:spacing w:after="0" w:line="133" w:lineRule="exact"/>
              <w:rPr>
                <w:rFonts w:ascii="Arial" w:cs="Arial" w:eastAsia="Arial" w:hAnsi="Arial"/>
                <w:sz w:val="12"/>
                <w:szCs w:val="12"/>
                <w:color w:val="0000EE"/>
                <w:w w:val="90"/>
              </w:rPr>
            </w:pPr>
            <w:hyperlink w:anchor="page61">
              <w:r>
                <w:rPr>
                  <w:rFonts w:ascii="Arial" w:cs="Arial" w:eastAsia="Arial" w:hAnsi="Arial"/>
                  <w:sz w:val="12"/>
                  <w:szCs w:val="12"/>
                  <w:color w:val="0000EE"/>
                  <w:w w:val="90"/>
                </w:rPr>
                <w:t>Consolidated Statements of Shareholders’ Deficit</w:t>
              </w:r>
            </w:hyperlink>
          </w:p>
        </w:tc>
        <w:tc>
          <w:tcPr>
            <w:tcW w:w="440" w:type="dxa"/>
            <w:vAlign w:val="bottom"/>
            <w:tcBorders>
              <w:top w:val="single" w:sz="8" w:color="0000EE"/>
            </w:tcBorders>
            <w:gridSpan w:val="2"/>
          </w:tcPr>
          <w:p>
            <w:pPr>
              <w:spacing w:after="0"/>
              <w:rPr>
                <w:sz w:val="11"/>
                <w:szCs w:val="11"/>
                <w:color w:val="auto"/>
              </w:rPr>
            </w:pPr>
          </w:p>
        </w:tc>
        <w:tc>
          <w:tcPr>
            <w:tcW w:w="1020" w:type="dxa"/>
            <w:vAlign w:val="bottom"/>
          </w:tcPr>
          <w:p>
            <w:pPr>
              <w:spacing w:after="0"/>
              <w:rPr>
                <w:sz w:val="11"/>
                <w:szCs w:val="11"/>
                <w:color w:val="auto"/>
              </w:rPr>
            </w:pPr>
          </w:p>
        </w:tc>
        <w:tc>
          <w:tcPr>
            <w:tcW w:w="7640" w:type="dxa"/>
            <w:vAlign w:val="bottom"/>
            <w:gridSpan w:val="2"/>
          </w:tcPr>
          <w:p>
            <w:pPr>
              <w:jc w:val="right"/>
              <w:spacing w:after="0" w:line="133" w:lineRule="exact"/>
              <w:rPr>
                <w:sz w:val="20"/>
                <w:szCs w:val="20"/>
                <w:color w:val="auto"/>
              </w:rPr>
            </w:pPr>
            <w:r>
              <w:rPr>
                <w:rFonts w:ascii="Arial" w:cs="Arial" w:eastAsia="Arial" w:hAnsi="Arial"/>
                <w:sz w:val="12"/>
                <w:szCs w:val="12"/>
                <w:color w:val="auto"/>
              </w:rPr>
              <w:t>61</w:t>
            </w:r>
          </w:p>
        </w:tc>
        <w:tc>
          <w:tcPr>
            <w:tcW w:w="20" w:type="dxa"/>
            <w:vAlign w:val="bottom"/>
          </w:tcPr>
          <w:p>
            <w:pPr>
              <w:spacing w:after="0"/>
              <w:rPr>
                <w:sz w:val="11"/>
                <w:szCs w:val="11"/>
                <w:color w:val="auto"/>
              </w:rPr>
            </w:pPr>
          </w:p>
        </w:tc>
      </w:tr>
      <w:tr>
        <w:trPr>
          <w:trHeight w:val="133"/>
        </w:trPr>
        <w:tc>
          <w:tcPr>
            <w:tcW w:w="3840" w:type="dxa"/>
            <w:vAlign w:val="bottom"/>
            <w:gridSpan w:val="8"/>
          </w:tcPr>
          <w:p>
            <w:pPr>
              <w:spacing w:after="0" w:line="133" w:lineRule="exact"/>
              <w:rPr>
                <w:rFonts w:ascii="Arial" w:cs="Arial" w:eastAsia="Arial" w:hAnsi="Arial"/>
                <w:sz w:val="12"/>
                <w:szCs w:val="12"/>
                <w:color w:val="0000EE"/>
              </w:rPr>
            </w:pPr>
            <w:hyperlink w:anchor="page63">
              <w:r>
                <w:rPr>
                  <w:rFonts w:ascii="Arial" w:cs="Arial" w:eastAsia="Arial" w:hAnsi="Arial"/>
                  <w:sz w:val="12"/>
                  <w:szCs w:val="12"/>
                  <w:color w:val="0000EE"/>
                </w:rPr>
                <w:t>Consolidated Statements of Cash Flows</w:t>
              </w:r>
            </w:hyperlink>
          </w:p>
        </w:tc>
        <w:tc>
          <w:tcPr>
            <w:tcW w:w="7640" w:type="dxa"/>
            <w:vAlign w:val="bottom"/>
            <w:gridSpan w:val="2"/>
          </w:tcPr>
          <w:p>
            <w:pPr>
              <w:jc w:val="right"/>
              <w:spacing w:after="0" w:line="133" w:lineRule="exact"/>
              <w:rPr>
                <w:sz w:val="20"/>
                <w:szCs w:val="20"/>
                <w:color w:val="auto"/>
              </w:rPr>
            </w:pPr>
            <w:r>
              <w:rPr>
                <w:rFonts w:ascii="Arial" w:cs="Arial" w:eastAsia="Arial" w:hAnsi="Arial"/>
                <w:sz w:val="12"/>
                <w:szCs w:val="12"/>
                <w:color w:val="auto"/>
              </w:rPr>
              <w:t>63</w:t>
            </w:r>
          </w:p>
        </w:tc>
        <w:tc>
          <w:tcPr>
            <w:tcW w:w="20" w:type="dxa"/>
            <w:vAlign w:val="bottom"/>
          </w:tcPr>
          <w:p>
            <w:pPr>
              <w:spacing w:after="0"/>
              <w:rPr>
                <w:sz w:val="11"/>
                <w:szCs w:val="11"/>
                <w:color w:val="auto"/>
              </w:rPr>
            </w:pPr>
          </w:p>
        </w:tc>
      </w:tr>
      <w:tr>
        <w:trPr>
          <w:trHeight w:val="20"/>
        </w:trPr>
        <w:tc>
          <w:tcPr>
            <w:tcW w:w="1900" w:type="dxa"/>
            <w:vAlign w:val="bottom"/>
            <w:gridSpan w:val="3"/>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gridSpan w:val="4"/>
          </w:tcPr>
          <w:p>
            <w:pPr>
              <w:spacing w:after="0" w:line="20" w:lineRule="exact"/>
              <w:rPr>
                <w:sz w:val="1"/>
                <w:szCs w:val="1"/>
                <w:color w:val="auto"/>
              </w:rPr>
            </w:pPr>
          </w:p>
        </w:tc>
        <w:tc>
          <w:tcPr>
            <w:tcW w:w="76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33"/>
        </w:trPr>
        <w:tc>
          <w:tcPr>
            <w:tcW w:w="3840" w:type="dxa"/>
            <w:vAlign w:val="bottom"/>
            <w:gridSpan w:val="8"/>
          </w:tcPr>
          <w:p>
            <w:pPr>
              <w:spacing w:after="0" w:line="133" w:lineRule="exact"/>
              <w:rPr>
                <w:rFonts w:ascii="Arial" w:cs="Arial" w:eastAsia="Arial" w:hAnsi="Arial"/>
                <w:sz w:val="12"/>
                <w:szCs w:val="12"/>
                <w:color w:val="0000EE"/>
              </w:rPr>
            </w:pPr>
            <w:hyperlink w:anchor="page64">
              <w:r>
                <w:rPr>
                  <w:rFonts w:ascii="Arial" w:cs="Arial" w:eastAsia="Arial" w:hAnsi="Arial"/>
                  <w:sz w:val="12"/>
                  <w:szCs w:val="12"/>
                  <w:color w:val="0000EE"/>
                </w:rPr>
                <w:t>Notes to Consolidated Financial Statements</w:t>
              </w:r>
            </w:hyperlink>
          </w:p>
        </w:tc>
        <w:tc>
          <w:tcPr>
            <w:tcW w:w="7640" w:type="dxa"/>
            <w:vAlign w:val="bottom"/>
            <w:gridSpan w:val="2"/>
          </w:tcPr>
          <w:p>
            <w:pPr>
              <w:jc w:val="right"/>
              <w:spacing w:after="0" w:line="133" w:lineRule="exact"/>
              <w:rPr>
                <w:sz w:val="20"/>
                <w:szCs w:val="20"/>
                <w:color w:val="auto"/>
              </w:rPr>
            </w:pPr>
            <w:r>
              <w:rPr>
                <w:rFonts w:ascii="Arial" w:cs="Arial" w:eastAsia="Arial" w:hAnsi="Arial"/>
                <w:sz w:val="12"/>
                <w:szCs w:val="12"/>
                <w:color w:val="auto"/>
              </w:rPr>
              <w:t>64</w:t>
            </w:r>
          </w:p>
        </w:tc>
        <w:tc>
          <w:tcPr>
            <w:tcW w:w="20" w:type="dxa"/>
            <w:vAlign w:val="bottom"/>
          </w:tcPr>
          <w:p>
            <w:pPr>
              <w:spacing w:after="0"/>
              <w:rPr>
                <w:sz w:val="11"/>
                <w:szCs w:val="11"/>
                <w:color w:val="auto"/>
              </w:rPr>
            </w:pPr>
          </w:p>
        </w:tc>
      </w:tr>
      <w:tr>
        <w:trPr>
          <w:trHeight w:val="737"/>
        </w:trPr>
        <w:tc>
          <w:tcPr>
            <w:tcW w:w="138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660" w:type="dxa"/>
            <w:vAlign w:val="bottom"/>
          </w:tcPr>
          <w:p>
            <w:pPr>
              <w:jc w:val="center"/>
              <w:ind w:right="2800"/>
              <w:spacing w:after="0"/>
              <w:rPr>
                <w:sz w:val="20"/>
                <w:szCs w:val="20"/>
                <w:color w:val="auto"/>
              </w:rPr>
            </w:pPr>
            <w:r>
              <w:rPr>
                <w:rFonts w:ascii="Arial" w:cs="Arial" w:eastAsia="Arial" w:hAnsi="Arial"/>
                <w:sz w:val="12"/>
                <w:szCs w:val="12"/>
                <w:color w:val="auto"/>
                <w:w w:val="89"/>
              </w:rPr>
              <w:t>55</w:t>
            </w: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1380" w:type="dxa"/>
            <w:vAlign w:val="bottom"/>
            <w:tcBorders>
              <w:bottom w:val="single" w:sz="8" w:color="9A9A9A"/>
            </w:tcBorders>
          </w:tcPr>
          <w:p>
            <w:pPr>
              <w:spacing w:after="0"/>
              <w:rPr>
                <w:sz w:val="6"/>
                <w:szCs w:val="6"/>
                <w:color w:val="auto"/>
              </w:rPr>
            </w:pPr>
          </w:p>
        </w:tc>
        <w:tc>
          <w:tcPr>
            <w:tcW w:w="32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6660" w:type="dxa"/>
            <w:vAlign w:val="bottom"/>
            <w:tcBorders>
              <w:bottom w:val="single" w:sz="8" w:color="9A9A9A"/>
            </w:tcBorders>
          </w:tcPr>
          <w:p>
            <w:pPr>
              <w:spacing w:after="0"/>
              <w:rPr>
                <w:sz w:val="6"/>
                <w:szCs w:val="6"/>
                <w:color w:val="auto"/>
              </w:rPr>
            </w:pPr>
          </w:p>
        </w:tc>
        <w:tc>
          <w:tcPr>
            <w:tcW w:w="9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55" w:name="page56"/>
    <w:bookmarkEnd w:id="5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Report of Independent Registered Public Accounting Firm</w:t>
      </w:r>
    </w:p>
    <w:p>
      <w:pPr>
        <w:spacing w:after="0" w:line="303" w:lineRule="exact"/>
        <w:rPr>
          <w:sz w:val="20"/>
          <w:szCs w:val="20"/>
          <w:color w:val="auto"/>
        </w:rPr>
      </w:pPr>
    </w:p>
    <w:p>
      <w:pPr>
        <w:spacing w:after="0"/>
        <w:rPr>
          <w:sz w:val="20"/>
          <w:szCs w:val="20"/>
          <w:color w:val="auto"/>
        </w:rPr>
      </w:pPr>
      <w:r>
        <w:rPr>
          <w:rFonts w:ascii="Arial" w:cs="Arial" w:eastAsia="Arial" w:hAnsi="Arial"/>
          <w:sz w:val="12"/>
          <w:szCs w:val="12"/>
          <w:color w:val="auto"/>
        </w:rPr>
        <w:t>To the Board of Directors and Shareholders of Uniti Group Inc.</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Opinions on the Financial Statements and Internal Control over Financial Reporting</w:t>
      </w:r>
    </w:p>
    <w:p>
      <w:pPr>
        <w:spacing w:after="0" w:line="150"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 xml:space="preserve">We have audited the accompanying consolidated balance sheets of Uniti Group Inc. and its subsidiaries (the “Company”) as of December 31, 2018 and 2017, and the related consolidated statements of income, comprehensive income (loss), shareholders’ deficit and cash flows for each of the three years in the period ended December 31, 2018, including the related notes and financial statement schedules listed in the index appearing under Item 15 (collectively referred to as the “consolidated financial statements”). We also have audited the Company's internal control over financial reporting as of December 31, 2018, based on criteria established in </w:t>
      </w:r>
      <w:r>
        <w:rPr>
          <w:rFonts w:ascii="Arial" w:cs="Arial" w:eastAsia="Arial" w:hAnsi="Arial"/>
          <w:sz w:val="12"/>
          <w:szCs w:val="12"/>
          <w:i w:val="1"/>
          <w:iCs w:val="1"/>
          <w:color w:val="auto"/>
        </w:rPr>
        <w:t>Internal Control - Integrated Framework</w:t>
      </w:r>
      <w:r>
        <w:rPr>
          <w:rFonts w:ascii="Arial" w:cs="Arial" w:eastAsia="Arial" w:hAnsi="Arial"/>
          <w:sz w:val="12"/>
          <w:szCs w:val="12"/>
          <w:color w:val="auto"/>
        </w:rPr>
        <w:t xml:space="preserve"> (2013) issued by the Committee of Sponsoring Organizations of the Treadway Commission (COSO).</w:t>
      </w:r>
    </w:p>
    <w:p>
      <w:pPr>
        <w:spacing w:after="0" w:line="125" w:lineRule="exact"/>
        <w:rPr>
          <w:sz w:val="20"/>
          <w:szCs w:val="20"/>
          <w:color w:val="auto"/>
        </w:rPr>
      </w:pPr>
    </w:p>
    <w:p>
      <w:pPr>
        <w:jc w:val="both"/>
        <w:ind w:right="100"/>
        <w:spacing w:after="0" w:line="298" w:lineRule="auto"/>
        <w:rPr>
          <w:sz w:val="20"/>
          <w:szCs w:val="20"/>
          <w:color w:val="auto"/>
        </w:rPr>
      </w:pPr>
      <w:r>
        <w:rPr>
          <w:rFonts w:ascii="Arial" w:cs="Arial" w:eastAsia="Arial" w:hAnsi="Arial"/>
          <w:sz w:val="11"/>
          <w:szCs w:val="11"/>
          <w:color w:val="auto"/>
        </w:rPr>
        <w:t xml:space="preserve">In our opinion, the consolidated financial statements referred to above present fairly, in all material respects, the financial position of the Company as of December 31, 2018 and 2017, and the results of its operations and its cash flows for each of the three years in the period ended December 31, 2018 in conformity with accounting principles generally accepted in the United States of America. Also in our opinion, the Company maintained, in all material respects, effective internal control over financial reporting as of December 31, 2018, based on criteria established in </w:t>
      </w:r>
      <w:r>
        <w:rPr>
          <w:rFonts w:ascii="Arial" w:cs="Arial" w:eastAsia="Arial" w:hAnsi="Arial"/>
          <w:sz w:val="11"/>
          <w:szCs w:val="11"/>
          <w:i w:val="1"/>
          <w:iCs w:val="1"/>
          <w:color w:val="auto"/>
        </w:rPr>
        <w:t>Internal Control - Integrated Framework</w:t>
      </w:r>
      <w:r>
        <w:rPr>
          <w:rFonts w:ascii="Arial" w:cs="Arial" w:eastAsia="Arial" w:hAnsi="Arial"/>
          <w:sz w:val="11"/>
          <w:szCs w:val="11"/>
          <w:color w:val="auto"/>
        </w:rPr>
        <w:t xml:space="preserve"> (2013) issued by the COSO.</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Substantial Doubt About the Company’s Ability to Continue as a Going Concern</w:t>
      </w:r>
    </w:p>
    <w:p>
      <w:pPr>
        <w:spacing w:after="0" w:line="150" w:lineRule="exact"/>
        <w:rPr>
          <w:sz w:val="20"/>
          <w:szCs w:val="20"/>
          <w:color w:val="auto"/>
        </w:rPr>
      </w:pPr>
    </w:p>
    <w:p>
      <w:pPr>
        <w:spacing w:after="0" w:line="290" w:lineRule="auto"/>
        <w:rPr>
          <w:sz w:val="20"/>
          <w:szCs w:val="20"/>
          <w:color w:val="auto"/>
        </w:rPr>
      </w:pPr>
      <w:r>
        <w:rPr>
          <w:rFonts w:ascii="Arial" w:cs="Arial" w:eastAsia="Arial" w:hAnsi="Arial"/>
          <w:sz w:val="11"/>
          <w:szCs w:val="11"/>
          <w:color w:val="auto"/>
        </w:rPr>
        <w:t>The accompanying consolidated financial statements have been prepared assuming that the Company will continue as a going concern. As discussed in Note 2 to the consolidated financial statements, the Company’s most significant customer, Windstream Holdings, Inc., which accounts for approximately 68.2% of consolidated total revenues for the year ended December 31, 2018, filed a voluntary petition for relief under Chapter 11 of the Bankruptcy Code, and uncertainties surrounding potential impacts to the Company resulting from Windstream Holdings, Inc.’s bankruptcy filing raise substantial doubt about the Company’s ability to continue as a going concern. Management's plans in regard to these matters are also described in Note 2. The consolidated financial statements do not include any adjustments that might result from the outcome of this uncertainty.</w:t>
      </w:r>
    </w:p>
    <w:p>
      <w:pPr>
        <w:spacing w:after="0" w:line="253"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Basis for Opinions</w:t>
      </w:r>
    </w:p>
    <w:p>
      <w:pPr>
        <w:spacing w:after="0" w:line="150" w:lineRule="exact"/>
        <w:rPr>
          <w:sz w:val="20"/>
          <w:szCs w:val="20"/>
          <w:color w:val="auto"/>
        </w:rPr>
      </w:pPr>
    </w:p>
    <w:p>
      <w:pPr>
        <w:ind w:right="60"/>
        <w:spacing w:after="0" w:line="290" w:lineRule="auto"/>
        <w:rPr>
          <w:sz w:val="20"/>
          <w:szCs w:val="20"/>
          <w:color w:val="auto"/>
        </w:rPr>
      </w:pPr>
      <w:r>
        <w:rPr>
          <w:rFonts w:ascii="Arial" w:cs="Arial" w:eastAsia="Arial" w:hAnsi="Arial"/>
          <w:sz w:val="11"/>
          <w:szCs w:val="11"/>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Annual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09"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15" w:lineRule="exact"/>
        <w:rPr>
          <w:sz w:val="20"/>
          <w:szCs w:val="20"/>
          <w:color w:val="auto"/>
        </w:rPr>
      </w:pPr>
    </w:p>
    <w:p>
      <w:pPr>
        <w:jc w:val="both"/>
        <w:spacing w:after="0" w:line="263" w:lineRule="auto"/>
        <w:rPr>
          <w:sz w:val="20"/>
          <w:szCs w:val="20"/>
          <w:color w:val="auto"/>
        </w:rPr>
      </w:pPr>
      <w:r>
        <w:rPr>
          <w:rFonts w:ascii="Arial" w:cs="Arial" w:eastAsia="Arial" w:hAnsi="Arial"/>
          <w:sz w:val="12"/>
          <w:szCs w:val="12"/>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56" w:name="page57"/>
    <w:bookmarkEnd w:id="5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28" w:lineRule="exact"/>
        <w:rPr>
          <w:sz w:val="20"/>
          <w:szCs w:val="20"/>
          <w:color w:val="auto"/>
        </w:rPr>
      </w:pPr>
    </w:p>
    <w:p>
      <w:pPr>
        <w:ind w:right="100"/>
        <w:spacing w:after="0" w:line="259" w:lineRule="auto"/>
        <w:rPr>
          <w:sz w:val="20"/>
          <w:szCs w:val="20"/>
          <w:color w:val="auto"/>
        </w:rPr>
      </w:pPr>
      <w:r>
        <w:rPr>
          <w:rFonts w:ascii="Arial" w:cs="Arial" w:eastAsia="Arial" w:hAnsi="Arial"/>
          <w:sz w:val="12"/>
          <w:szCs w:val="12"/>
          <w:color w:val="auto"/>
        </w:rPr>
        <w:t>As described in Management’s Annual Report on Internal Control Over Financial Reporting, management has excluded Information Transport Solutions, Inc. from its assessment of internal control over financial reporting as of December 31, 2018, because it was acquired by the Company in a purchase business combination during 2018. We have also excluded Information Transport Solutions, Inc. from our audit of internal control over financial reporting. Information Transport Solutions, Inc. is a wholly-owned subsidiary whose total assets and total revenues excluded from management’s assessment and our audit of internal control over financial reporting represent 0.4% and 0.9%, respectively, of the related consolidated financial statement amounts as of and for the year ended December 31, 2018.</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Definition and Limitations of Internal Control over Financial Reporting</w:t>
      </w:r>
    </w:p>
    <w:p>
      <w:pPr>
        <w:spacing w:after="0" w:line="150" w:lineRule="exact"/>
        <w:rPr>
          <w:sz w:val="20"/>
          <w:szCs w:val="20"/>
          <w:color w:val="auto"/>
        </w:rPr>
      </w:pPr>
    </w:p>
    <w:p>
      <w:pPr>
        <w:ind w:right="60"/>
        <w:spacing w:after="0" w:line="286" w:lineRule="auto"/>
        <w:rPr>
          <w:sz w:val="20"/>
          <w:szCs w:val="20"/>
          <w:color w:val="auto"/>
        </w:rPr>
      </w:pPr>
      <w:r>
        <w:rPr>
          <w:rFonts w:ascii="Arial" w:cs="Arial" w:eastAsia="Arial" w:hAnsi="Arial"/>
          <w:sz w:val="11"/>
          <w:szCs w:val="11"/>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255"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2"/>
          <w:szCs w:val="12"/>
          <w:color w:val="auto"/>
        </w:rPr>
        <w:t>/s/PricewaterhouseCoopers LLP</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2"/>
          <w:szCs w:val="12"/>
          <w:color w:val="auto"/>
        </w:rPr>
        <w:t>Little Rock, Arkansas</w:t>
      </w:r>
    </w:p>
    <w:p>
      <w:pPr>
        <w:spacing w:after="0" w:line="15" w:lineRule="exact"/>
        <w:rPr>
          <w:sz w:val="20"/>
          <w:szCs w:val="20"/>
          <w:color w:val="auto"/>
        </w:rPr>
      </w:pPr>
    </w:p>
    <w:p>
      <w:pPr>
        <w:spacing w:after="0"/>
        <w:rPr>
          <w:sz w:val="20"/>
          <w:szCs w:val="20"/>
          <w:color w:val="auto"/>
        </w:rPr>
      </w:pPr>
      <w:r>
        <w:rPr>
          <w:rFonts w:ascii="Arial" w:cs="Arial" w:eastAsia="Arial" w:hAnsi="Arial"/>
          <w:sz w:val="12"/>
          <w:szCs w:val="12"/>
          <w:color w:val="auto"/>
        </w:rPr>
        <w:t>March 18, 2019</w:t>
      </w:r>
    </w:p>
    <w:p>
      <w:pPr>
        <w:spacing w:after="0" w:line="141" w:lineRule="exact"/>
        <w:rPr>
          <w:sz w:val="20"/>
          <w:szCs w:val="20"/>
          <w:color w:val="auto"/>
        </w:rPr>
      </w:pPr>
    </w:p>
    <w:p>
      <w:pPr>
        <w:spacing w:after="0"/>
        <w:rPr>
          <w:sz w:val="20"/>
          <w:szCs w:val="20"/>
          <w:color w:val="auto"/>
        </w:rPr>
      </w:pPr>
      <w:r>
        <w:rPr>
          <w:rFonts w:ascii="Arial" w:cs="Arial" w:eastAsia="Arial" w:hAnsi="Arial"/>
          <w:sz w:val="12"/>
          <w:szCs w:val="12"/>
          <w:color w:val="auto"/>
        </w:rPr>
        <w:t>We have served as the Company’s auditor since 2014.</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57" w:name="page58"/>
    <w:bookmarkEnd w:id="5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Consolidated Balance Sheets</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7620" w:type="dxa"/>
            <w:vAlign w:val="bottom"/>
            <w:gridSpan w:val="3"/>
          </w:tcPr>
          <w:p>
            <w:pPr>
              <w:spacing w:after="0"/>
              <w:rPr>
                <w:sz w:val="20"/>
                <w:szCs w:val="20"/>
                <w:color w:val="auto"/>
              </w:rPr>
            </w:pPr>
            <w:r>
              <w:rPr>
                <w:rFonts w:ascii="Arial" w:cs="Arial" w:eastAsia="Arial" w:hAnsi="Arial"/>
                <w:sz w:val="10"/>
                <w:szCs w:val="10"/>
                <w:color w:val="auto"/>
              </w:rPr>
              <w:t>(Thousands, except par value)</w:t>
            </w:r>
          </w:p>
        </w:tc>
        <w:tc>
          <w:tcPr>
            <w:tcW w:w="280" w:type="dxa"/>
            <w:vAlign w:val="bottom"/>
          </w:tcPr>
          <w:p>
            <w:pPr>
              <w:spacing w:after="0"/>
              <w:rPr>
                <w:sz w:val="10"/>
                <w:szCs w:val="10"/>
                <w:color w:val="auto"/>
              </w:rPr>
            </w:pPr>
          </w:p>
        </w:tc>
        <w:tc>
          <w:tcPr>
            <w:tcW w:w="1720" w:type="dxa"/>
            <w:vAlign w:val="bottom"/>
            <w:gridSpan w:val="2"/>
          </w:tcPr>
          <w:p>
            <w:pPr>
              <w:jc w:val="right"/>
              <w:ind w:right="740"/>
              <w:spacing w:after="0"/>
              <w:rPr>
                <w:sz w:val="20"/>
                <w:szCs w:val="20"/>
                <w:color w:val="auto"/>
              </w:rPr>
            </w:pPr>
            <w:r>
              <w:rPr>
                <w:rFonts w:ascii="Arial" w:cs="Arial" w:eastAsia="Arial" w:hAnsi="Arial"/>
                <w:sz w:val="10"/>
                <w:szCs w:val="10"/>
                <w:b w:val="1"/>
                <w:bCs w:val="1"/>
                <w:color w:val="auto"/>
              </w:rPr>
              <w:t>December 31, 2018</w:t>
            </w:r>
          </w:p>
        </w:tc>
        <w:tc>
          <w:tcPr>
            <w:tcW w:w="280" w:type="dxa"/>
            <w:vAlign w:val="bottom"/>
          </w:tcPr>
          <w:p>
            <w:pPr>
              <w:spacing w:after="0"/>
              <w:rPr>
                <w:sz w:val="10"/>
                <w:szCs w:val="10"/>
                <w:color w:val="auto"/>
              </w:rPr>
            </w:pPr>
          </w:p>
        </w:tc>
        <w:tc>
          <w:tcPr>
            <w:tcW w:w="1580" w:type="dxa"/>
            <w:vAlign w:val="bottom"/>
            <w:gridSpan w:val="2"/>
          </w:tcPr>
          <w:p>
            <w:pPr>
              <w:jc w:val="right"/>
              <w:ind w:right="600"/>
              <w:spacing w:after="0"/>
              <w:rPr>
                <w:sz w:val="20"/>
                <w:szCs w:val="20"/>
                <w:color w:val="auto"/>
              </w:rPr>
            </w:pPr>
            <w:r>
              <w:rPr>
                <w:rFonts w:ascii="Arial" w:cs="Arial" w:eastAsia="Arial" w:hAnsi="Arial"/>
                <w:sz w:val="10"/>
                <w:szCs w:val="10"/>
                <w:b w:val="1"/>
                <w:bCs w:val="1"/>
                <w:color w:val="auto"/>
              </w:rPr>
              <w:t>December 31, 2017</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Assets:</w:t>
            </w:r>
          </w:p>
        </w:tc>
        <w:tc>
          <w:tcPr>
            <w:tcW w:w="160" w:type="dxa"/>
            <w:vAlign w:val="bottom"/>
            <w:tcBorders>
              <w:top w:val="single" w:sz="8" w:color="CFF0FC"/>
            </w:tcBorders>
            <w:shd w:val="clear" w:color="auto" w:fill="CFF0FC"/>
          </w:tcPr>
          <w:p>
            <w:pPr>
              <w:spacing w:after="0"/>
              <w:rPr>
                <w:sz w:val="13"/>
                <w:szCs w:val="13"/>
                <w:color w:val="auto"/>
              </w:rPr>
            </w:pPr>
          </w:p>
        </w:tc>
        <w:tc>
          <w:tcPr>
            <w:tcW w:w="280" w:type="dxa"/>
            <w:vAlign w:val="bottom"/>
            <w:tcBorders>
              <w:top w:val="single" w:sz="8" w:color="auto"/>
            </w:tcBorders>
            <w:shd w:val="clear" w:color="auto" w:fill="CFF0FC"/>
          </w:tcPr>
          <w:p>
            <w:pPr>
              <w:spacing w:after="0"/>
              <w:rPr>
                <w:sz w:val="13"/>
                <w:szCs w:val="13"/>
                <w:color w:val="auto"/>
              </w:rPr>
            </w:pPr>
          </w:p>
        </w:tc>
        <w:tc>
          <w:tcPr>
            <w:tcW w:w="146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280" w:type="dxa"/>
            <w:vAlign w:val="bottom"/>
            <w:tcBorders>
              <w:top w:val="single" w:sz="8" w:color="auto"/>
            </w:tcBorders>
            <w:shd w:val="clear" w:color="auto" w:fill="CFF0FC"/>
          </w:tcPr>
          <w:p>
            <w:pPr>
              <w:spacing w:after="0"/>
              <w:rPr>
                <w:sz w:val="13"/>
                <w:szCs w:val="13"/>
                <w:color w:val="auto"/>
              </w:rPr>
            </w:pPr>
          </w:p>
        </w:tc>
        <w:tc>
          <w:tcPr>
            <w:tcW w:w="146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Property, plant and equipment, net</w:t>
            </w:r>
          </w:p>
        </w:tc>
        <w:tc>
          <w:tcPr>
            <w:tcW w:w="280" w:type="dxa"/>
            <w:vAlign w:val="bottom"/>
          </w:tcPr>
          <w:p>
            <w:pPr>
              <w:jc w:val="right"/>
              <w:ind w:right="140"/>
              <w:spacing w:after="0"/>
              <w:rPr>
                <w:sz w:val="20"/>
                <w:szCs w:val="20"/>
                <w:color w:val="auto"/>
              </w:rPr>
            </w:pPr>
            <w:r>
              <w:rPr>
                <w:rFonts w:ascii="Arial" w:cs="Arial" w:eastAsia="Arial" w:hAnsi="Arial"/>
                <w:sz w:val="12"/>
                <w:szCs w:val="12"/>
                <w:color w:val="auto"/>
                <w:w w:val="89"/>
              </w:rPr>
              <w:t>$</w:t>
            </w:r>
          </w:p>
        </w:tc>
        <w:tc>
          <w:tcPr>
            <w:tcW w:w="1460" w:type="dxa"/>
            <w:vAlign w:val="bottom"/>
          </w:tcPr>
          <w:p>
            <w:pPr>
              <w:jc w:val="right"/>
              <w:spacing w:after="0"/>
              <w:rPr>
                <w:sz w:val="20"/>
                <w:szCs w:val="20"/>
                <w:color w:val="auto"/>
              </w:rPr>
            </w:pPr>
            <w:r>
              <w:rPr>
                <w:rFonts w:ascii="Arial" w:cs="Arial" w:eastAsia="Arial" w:hAnsi="Arial"/>
                <w:sz w:val="12"/>
                <w:szCs w:val="12"/>
                <w:color w:val="auto"/>
              </w:rPr>
              <w:t>3,209,006</w:t>
            </w:r>
          </w:p>
        </w:tc>
        <w:tc>
          <w:tcPr>
            <w:tcW w:w="260" w:type="dxa"/>
            <w:vAlign w:val="bottom"/>
          </w:tcPr>
          <w:p>
            <w:pPr>
              <w:spacing w:after="0"/>
              <w:rPr>
                <w:sz w:val="13"/>
                <w:szCs w:val="13"/>
                <w:color w:val="auto"/>
              </w:rPr>
            </w:pPr>
          </w:p>
        </w:tc>
        <w:tc>
          <w:tcPr>
            <w:tcW w:w="280" w:type="dxa"/>
            <w:vAlign w:val="bottom"/>
          </w:tcPr>
          <w:p>
            <w:pPr>
              <w:jc w:val="right"/>
              <w:ind w:right="170"/>
              <w:spacing w:after="0"/>
              <w:rPr>
                <w:sz w:val="20"/>
                <w:szCs w:val="20"/>
                <w:color w:val="auto"/>
              </w:rPr>
            </w:pPr>
            <w:r>
              <w:rPr>
                <w:rFonts w:ascii="Arial" w:cs="Arial" w:eastAsia="Arial" w:hAnsi="Arial"/>
                <w:sz w:val="10"/>
                <w:szCs w:val="10"/>
                <w:color w:val="auto"/>
                <w:w w:val="71"/>
              </w:rPr>
              <w:t>$</w:t>
            </w:r>
          </w:p>
        </w:tc>
        <w:tc>
          <w:tcPr>
            <w:tcW w:w="1460" w:type="dxa"/>
            <w:vAlign w:val="bottom"/>
          </w:tcPr>
          <w:p>
            <w:pPr>
              <w:jc w:val="right"/>
              <w:spacing w:after="0"/>
              <w:rPr>
                <w:sz w:val="20"/>
                <w:szCs w:val="20"/>
                <w:color w:val="auto"/>
              </w:rPr>
            </w:pPr>
            <w:r>
              <w:rPr>
                <w:rFonts w:ascii="Arial" w:cs="Arial" w:eastAsia="Arial" w:hAnsi="Arial"/>
                <w:sz w:val="12"/>
                <w:szCs w:val="12"/>
                <w:color w:val="auto"/>
              </w:rPr>
              <w:t>3,053,889</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Cash and cash equivalents</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38,026</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59,765</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Accounts receivable, net</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104,063</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43,652</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Goodwill</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692,385</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673,729</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Intangible assets, net</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432,821</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429,357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Straight-line revenue receivable</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61,785</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47,041</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Derivative asset</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31,043</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6,793</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Other assets</w:t>
            </w:r>
          </w:p>
        </w:tc>
        <w:tc>
          <w:tcPr>
            <w:tcW w:w="280" w:type="dxa"/>
            <w:vAlign w:val="bottom"/>
            <w:tcBorders>
              <w:bottom w:val="single" w:sz="8" w:color="auto"/>
            </w:tcBorders>
            <w:shd w:val="clear" w:color="auto" w:fill="CFF0FC"/>
          </w:tcPr>
          <w:p>
            <w:pPr>
              <w:spacing w:after="0"/>
              <w:rPr>
                <w:sz w:val="13"/>
                <w:szCs w:val="13"/>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23,808</w:t>
            </w:r>
          </w:p>
        </w:tc>
        <w:tc>
          <w:tcPr>
            <w:tcW w:w="260" w:type="dxa"/>
            <w:vAlign w:val="bottom"/>
            <w:shd w:val="clear" w:color="auto" w:fill="CFF0FC"/>
          </w:tcPr>
          <w:p>
            <w:pPr>
              <w:spacing w:after="0"/>
              <w:rPr>
                <w:sz w:val="13"/>
                <w:szCs w:val="13"/>
                <w:color w:val="auto"/>
              </w:rPr>
            </w:pPr>
          </w:p>
        </w:tc>
        <w:tc>
          <w:tcPr>
            <w:tcW w:w="280" w:type="dxa"/>
            <w:vAlign w:val="bottom"/>
            <w:tcBorders>
              <w:bottom w:val="single" w:sz="8" w:color="auto"/>
            </w:tcBorders>
            <w:shd w:val="clear" w:color="auto" w:fill="CFF0FC"/>
          </w:tcPr>
          <w:p>
            <w:pPr>
              <w:spacing w:after="0"/>
              <w:rPr>
                <w:sz w:val="13"/>
                <w:szCs w:val="13"/>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15,856</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7620" w:type="dxa"/>
            <w:vAlign w:val="bottom"/>
            <w:gridSpan w:val="3"/>
          </w:tcPr>
          <w:p>
            <w:pPr>
              <w:spacing w:after="0"/>
              <w:rPr>
                <w:sz w:val="20"/>
                <w:szCs w:val="20"/>
                <w:color w:val="auto"/>
              </w:rPr>
            </w:pPr>
            <w:r>
              <w:rPr>
                <w:rFonts w:ascii="Arial" w:cs="Arial" w:eastAsia="Arial" w:hAnsi="Arial"/>
                <w:sz w:val="12"/>
                <w:szCs w:val="12"/>
                <w:b w:val="1"/>
                <w:bCs w:val="1"/>
                <w:color w:val="auto"/>
              </w:rPr>
              <w:t>Total Assets</w:t>
            </w:r>
          </w:p>
        </w:tc>
        <w:tc>
          <w:tcPr>
            <w:tcW w:w="280" w:type="dxa"/>
            <w:vAlign w:val="bottom"/>
          </w:tcPr>
          <w:p>
            <w:pPr>
              <w:jc w:val="right"/>
              <w:ind w:right="140"/>
              <w:spacing w:after="0"/>
              <w:rPr>
                <w:sz w:val="20"/>
                <w:szCs w:val="20"/>
                <w:color w:val="auto"/>
              </w:rPr>
            </w:pPr>
            <w:r>
              <w:rPr>
                <w:rFonts w:ascii="Arial" w:cs="Arial" w:eastAsia="Arial" w:hAnsi="Arial"/>
                <w:sz w:val="12"/>
                <w:szCs w:val="12"/>
                <w:color w:val="auto"/>
                <w:w w:val="89"/>
              </w:rPr>
              <w:t>$</w:t>
            </w:r>
          </w:p>
        </w:tc>
        <w:tc>
          <w:tcPr>
            <w:tcW w:w="1460" w:type="dxa"/>
            <w:vAlign w:val="bottom"/>
          </w:tcPr>
          <w:p>
            <w:pPr>
              <w:jc w:val="right"/>
              <w:spacing w:after="0"/>
              <w:rPr>
                <w:sz w:val="20"/>
                <w:szCs w:val="20"/>
                <w:color w:val="auto"/>
              </w:rPr>
            </w:pPr>
            <w:r>
              <w:rPr>
                <w:rFonts w:ascii="Arial" w:cs="Arial" w:eastAsia="Arial" w:hAnsi="Arial"/>
                <w:sz w:val="12"/>
                <w:szCs w:val="12"/>
                <w:color w:val="auto"/>
              </w:rPr>
              <w:t>4,592,937</w:t>
            </w:r>
          </w:p>
        </w:tc>
        <w:tc>
          <w:tcPr>
            <w:tcW w:w="260" w:type="dxa"/>
            <w:vAlign w:val="bottom"/>
          </w:tcPr>
          <w:p>
            <w:pPr>
              <w:spacing w:after="0"/>
              <w:rPr>
                <w:sz w:val="12"/>
                <w:szCs w:val="12"/>
                <w:color w:val="auto"/>
              </w:rPr>
            </w:pPr>
          </w:p>
        </w:tc>
        <w:tc>
          <w:tcPr>
            <w:tcW w:w="280" w:type="dxa"/>
            <w:vAlign w:val="bottom"/>
          </w:tcPr>
          <w:p>
            <w:pPr>
              <w:jc w:val="right"/>
              <w:ind w:right="170"/>
              <w:spacing w:after="0"/>
              <w:rPr>
                <w:sz w:val="20"/>
                <w:szCs w:val="20"/>
                <w:color w:val="auto"/>
              </w:rPr>
            </w:pPr>
            <w:r>
              <w:rPr>
                <w:rFonts w:ascii="Arial" w:cs="Arial" w:eastAsia="Arial" w:hAnsi="Arial"/>
                <w:sz w:val="10"/>
                <w:szCs w:val="10"/>
                <w:color w:val="auto"/>
                <w:w w:val="71"/>
              </w:rPr>
              <w:t>$</w:t>
            </w:r>
          </w:p>
        </w:tc>
        <w:tc>
          <w:tcPr>
            <w:tcW w:w="1460" w:type="dxa"/>
            <w:vAlign w:val="bottom"/>
          </w:tcPr>
          <w:p>
            <w:pPr>
              <w:jc w:val="right"/>
              <w:spacing w:after="0"/>
              <w:rPr>
                <w:sz w:val="20"/>
                <w:szCs w:val="20"/>
                <w:color w:val="auto"/>
              </w:rPr>
            </w:pPr>
            <w:r>
              <w:rPr>
                <w:rFonts w:ascii="Arial" w:cs="Arial" w:eastAsia="Arial" w:hAnsi="Arial"/>
                <w:sz w:val="12"/>
                <w:szCs w:val="12"/>
                <w:color w:val="auto"/>
              </w:rPr>
              <w:t>4,330,082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7"/>
        </w:trPr>
        <w:tc>
          <w:tcPr>
            <w:tcW w:w="20" w:type="dxa"/>
            <w:vAlign w:val="bottom"/>
          </w:tcPr>
          <w:p>
            <w:pPr>
              <w:spacing w:after="0"/>
              <w:rPr>
                <w:sz w:val="24"/>
                <w:szCs w:val="24"/>
                <w:color w:val="auto"/>
              </w:rPr>
            </w:pPr>
          </w:p>
        </w:tc>
        <w:tc>
          <w:tcPr>
            <w:tcW w:w="760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2"/>
                <w:szCs w:val="12"/>
                <w:b w:val="1"/>
                <w:bCs w:val="1"/>
                <w:color w:val="auto"/>
              </w:rPr>
              <w:t>Liabilities, Convertible Preferred Stock and Shareholders' Deficit:</w:t>
            </w:r>
          </w:p>
        </w:tc>
        <w:tc>
          <w:tcPr>
            <w:tcW w:w="280" w:type="dxa"/>
            <w:vAlign w:val="bottom"/>
            <w:tcBorders>
              <w:top w:val="single" w:sz="8" w:color="auto"/>
            </w:tcBorders>
            <w:shd w:val="clear" w:color="auto" w:fill="CFF0FC"/>
          </w:tcPr>
          <w:p>
            <w:pPr>
              <w:spacing w:after="0"/>
              <w:rPr>
                <w:sz w:val="24"/>
                <w:szCs w:val="24"/>
                <w:color w:val="auto"/>
              </w:rPr>
            </w:pPr>
          </w:p>
        </w:tc>
        <w:tc>
          <w:tcPr>
            <w:tcW w:w="1460" w:type="dxa"/>
            <w:vAlign w:val="bottom"/>
            <w:tcBorders>
              <w:top w:val="single" w:sz="8" w:color="auto"/>
            </w:tcBorders>
            <w:shd w:val="clear" w:color="auto" w:fill="CFF0FC"/>
          </w:tcPr>
          <w:p>
            <w:pPr>
              <w:spacing w:after="0"/>
              <w:rPr>
                <w:sz w:val="24"/>
                <w:szCs w:val="24"/>
                <w:color w:val="auto"/>
              </w:rPr>
            </w:pPr>
          </w:p>
        </w:tc>
        <w:tc>
          <w:tcPr>
            <w:tcW w:w="260" w:type="dxa"/>
            <w:vAlign w:val="bottom"/>
            <w:tcBorders>
              <w:top w:val="single" w:sz="8" w:color="CFF0FC"/>
            </w:tcBorders>
            <w:shd w:val="clear" w:color="auto" w:fill="CFF0FC"/>
          </w:tcPr>
          <w:p>
            <w:pPr>
              <w:spacing w:after="0"/>
              <w:rPr>
                <w:sz w:val="24"/>
                <w:szCs w:val="24"/>
                <w:color w:val="auto"/>
              </w:rPr>
            </w:pPr>
          </w:p>
        </w:tc>
        <w:tc>
          <w:tcPr>
            <w:tcW w:w="280" w:type="dxa"/>
            <w:vAlign w:val="bottom"/>
            <w:tcBorders>
              <w:top w:val="single" w:sz="8" w:color="auto"/>
            </w:tcBorders>
            <w:shd w:val="clear" w:color="auto" w:fill="CFF0FC"/>
          </w:tcPr>
          <w:p>
            <w:pPr>
              <w:spacing w:after="0"/>
              <w:rPr>
                <w:sz w:val="24"/>
                <w:szCs w:val="24"/>
                <w:color w:val="auto"/>
              </w:rPr>
            </w:pPr>
          </w:p>
        </w:tc>
        <w:tc>
          <w:tcPr>
            <w:tcW w:w="1460" w:type="dxa"/>
            <w:vAlign w:val="bottom"/>
            <w:tcBorders>
              <w:top w:val="single" w:sz="8" w:color="auto"/>
            </w:tcBorders>
            <w:shd w:val="clear" w:color="auto" w:fill="CFF0FC"/>
          </w:tcPr>
          <w:p>
            <w:pPr>
              <w:spacing w:after="0"/>
              <w:rPr>
                <w:sz w:val="24"/>
                <w:szCs w:val="24"/>
                <w:color w:val="auto"/>
              </w:rPr>
            </w:pPr>
          </w:p>
        </w:tc>
        <w:tc>
          <w:tcPr>
            <w:tcW w:w="120" w:type="dxa"/>
            <w:vAlign w:val="bottom"/>
            <w:tcBorders>
              <w:top w:val="single" w:sz="8" w:color="CFF0FC"/>
            </w:tcBorders>
            <w:shd w:val="clear" w:color="auto" w:fill="CFF0FC"/>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spacing w:after="0"/>
              <w:rPr>
                <w:sz w:val="20"/>
                <w:szCs w:val="20"/>
                <w:color w:val="auto"/>
              </w:rPr>
            </w:pPr>
            <w:r>
              <w:rPr>
                <w:rFonts w:ascii="Arial" w:cs="Arial" w:eastAsia="Arial" w:hAnsi="Arial"/>
                <w:sz w:val="12"/>
                <w:szCs w:val="12"/>
                <w:b w:val="1"/>
                <w:bCs w:val="1"/>
                <w:color w:val="auto"/>
              </w:rPr>
              <w:t>Liabilities:</w:t>
            </w:r>
          </w:p>
        </w:tc>
        <w:tc>
          <w:tcPr>
            <w:tcW w:w="2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Accounts payable, accrued expenses and other liabilities, net</w:t>
            </w:r>
          </w:p>
        </w:tc>
        <w:tc>
          <w:tcPr>
            <w:tcW w:w="280" w:type="dxa"/>
            <w:vAlign w:val="bottom"/>
            <w:shd w:val="clear" w:color="auto" w:fill="CFF0FC"/>
          </w:tcPr>
          <w:p>
            <w:pPr>
              <w:jc w:val="right"/>
              <w:ind w:right="140"/>
              <w:spacing w:after="0"/>
              <w:rPr>
                <w:sz w:val="20"/>
                <w:szCs w:val="20"/>
                <w:color w:val="auto"/>
              </w:rPr>
            </w:pPr>
            <w:r>
              <w:rPr>
                <w:rFonts w:ascii="Arial" w:cs="Arial" w:eastAsia="Arial" w:hAnsi="Arial"/>
                <w:sz w:val="12"/>
                <w:szCs w:val="12"/>
                <w:color w:val="auto"/>
                <w:w w:val="89"/>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94,179</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jc w:val="right"/>
              <w:ind w:right="170"/>
              <w:spacing w:after="0"/>
              <w:rPr>
                <w:sz w:val="20"/>
                <w:szCs w:val="20"/>
                <w:color w:val="auto"/>
              </w:rPr>
            </w:pPr>
            <w:r>
              <w:rPr>
                <w:rFonts w:ascii="Arial" w:cs="Arial" w:eastAsia="Arial" w:hAnsi="Arial"/>
                <w:sz w:val="10"/>
                <w:szCs w:val="10"/>
                <w:color w:val="auto"/>
                <w:w w:val="71"/>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77,634</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Accrued interest payable</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28,097</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28,684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Deferred revenue</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726,262</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537,553</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Dividends payable</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113,744</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109,557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Deferred income taxes</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52,434</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55,478</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Capital lease obligations</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55,282</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56,329</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Contingent consideration</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83,401</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105,762</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tcBorders>
              <w:bottom w:val="single" w:sz="8" w:color="CFF0FC"/>
            </w:tcBorders>
            <w:gridSpan w:val="2"/>
          </w:tcPr>
          <w:p>
            <w:pPr>
              <w:ind w:left="140"/>
              <w:spacing w:after="0"/>
              <w:rPr>
                <w:sz w:val="20"/>
                <w:szCs w:val="20"/>
                <w:color w:val="auto"/>
              </w:rPr>
            </w:pPr>
            <w:r>
              <w:rPr>
                <w:rFonts w:ascii="Arial" w:cs="Arial" w:eastAsia="Arial" w:hAnsi="Arial"/>
                <w:sz w:val="12"/>
                <w:szCs w:val="12"/>
                <w:color w:val="auto"/>
              </w:rPr>
              <w:t>Notes and other debt, net</w:t>
            </w:r>
          </w:p>
        </w:tc>
        <w:tc>
          <w:tcPr>
            <w:tcW w:w="280" w:type="dxa"/>
            <w:vAlign w:val="bottom"/>
            <w:tcBorders>
              <w:bottom w:val="single" w:sz="8" w:color="auto"/>
            </w:tcBorders>
          </w:tcPr>
          <w:p>
            <w:pPr>
              <w:spacing w:after="0"/>
              <w:rPr>
                <w:sz w:val="13"/>
                <w:szCs w:val="13"/>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4,846,233</w:t>
            </w:r>
          </w:p>
        </w:tc>
        <w:tc>
          <w:tcPr>
            <w:tcW w:w="26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4,482,697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600" w:type="dxa"/>
            <w:vAlign w:val="bottom"/>
            <w:gridSpan w:val="2"/>
            <w:shd w:val="clear" w:color="auto" w:fill="CFF0FC"/>
          </w:tcPr>
          <w:p>
            <w:pPr>
              <w:ind w:left="320"/>
              <w:spacing w:after="0"/>
              <w:rPr>
                <w:sz w:val="20"/>
                <w:szCs w:val="20"/>
                <w:color w:val="auto"/>
              </w:rPr>
            </w:pPr>
            <w:r>
              <w:rPr>
                <w:rFonts w:ascii="Arial" w:cs="Arial" w:eastAsia="Arial" w:hAnsi="Arial"/>
                <w:sz w:val="12"/>
                <w:szCs w:val="12"/>
                <w:color w:val="auto"/>
              </w:rPr>
              <w:t>Total liabilities</w:t>
            </w:r>
          </w:p>
        </w:tc>
        <w:tc>
          <w:tcPr>
            <w:tcW w:w="280" w:type="dxa"/>
            <w:vAlign w:val="bottom"/>
            <w:tcBorders>
              <w:bottom w:val="single" w:sz="8" w:color="auto"/>
            </w:tcBorders>
            <w:shd w:val="clear" w:color="auto" w:fill="CFF0FC"/>
          </w:tcPr>
          <w:p>
            <w:pPr>
              <w:spacing w:after="0"/>
              <w:rPr>
                <w:sz w:val="12"/>
                <w:szCs w:val="12"/>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5,999,632</w:t>
            </w:r>
          </w:p>
        </w:tc>
        <w:tc>
          <w:tcPr>
            <w:tcW w:w="260" w:type="dxa"/>
            <w:vAlign w:val="bottom"/>
            <w:shd w:val="clear" w:color="auto" w:fill="CFF0FC"/>
          </w:tcPr>
          <w:p>
            <w:pPr>
              <w:spacing w:after="0"/>
              <w:rPr>
                <w:sz w:val="12"/>
                <w:szCs w:val="12"/>
                <w:color w:val="auto"/>
              </w:rPr>
            </w:pPr>
          </w:p>
        </w:tc>
        <w:tc>
          <w:tcPr>
            <w:tcW w:w="280" w:type="dxa"/>
            <w:vAlign w:val="bottom"/>
            <w:tcBorders>
              <w:bottom w:val="single" w:sz="8" w:color="auto"/>
            </w:tcBorders>
            <w:shd w:val="clear" w:color="auto" w:fill="CFF0FC"/>
          </w:tcPr>
          <w:p>
            <w:pPr>
              <w:spacing w:after="0"/>
              <w:rPr>
                <w:sz w:val="12"/>
                <w:szCs w:val="12"/>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5,453,694</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Commitments and contingencies (Note 15)</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7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7600" w:type="dxa"/>
            <w:vAlign w:val="bottom"/>
            <w:gridSpan w:val="2"/>
            <w:shd w:val="clear" w:color="auto" w:fill="CFF0FC"/>
          </w:tcPr>
          <w:p>
            <w:pPr>
              <w:spacing w:after="0"/>
              <w:rPr>
                <w:sz w:val="20"/>
                <w:szCs w:val="20"/>
                <w:color w:val="auto"/>
              </w:rPr>
            </w:pPr>
            <w:r>
              <w:rPr>
                <w:rFonts w:ascii="Arial" w:cs="Arial" w:eastAsia="Arial" w:hAnsi="Arial"/>
                <w:sz w:val="12"/>
                <w:szCs w:val="12"/>
                <w:b w:val="1"/>
                <w:bCs w:val="1"/>
                <w:color w:val="auto"/>
              </w:rPr>
              <w:t xml:space="preserve">Convertible Preferred Stock, </w:t>
            </w:r>
            <w:r>
              <w:rPr>
                <w:rFonts w:ascii="Arial" w:cs="Arial" w:eastAsia="Arial" w:hAnsi="Arial"/>
                <w:sz w:val="12"/>
                <w:szCs w:val="12"/>
                <w:color w:val="auto"/>
              </w:rPr>
              <w:t>Series A, $0.0001 par value, 88 shares authorized, issued and outstanding, $87,500 liquidation value</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86,508</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83,530</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7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7600" w:type="dxa"/>
            <w:vAlign w:val="bottom"/>
            <w:gridSpan w:val="2"/>
            <w:shd w:val="clear" w:color="auto" w:fill="CFF0FC"/>
          </w:tcPr>
          <w:p>
            <w:pPr>
              <w:spacing w:after="0"/>
              <w:rPr>
                <w:sz w:val="20"/>
                <w:szCs w:val="20"/>
                <w:color w:val="auto"/>
              </w:rPr>
            </w:pPr>
            <w:r>
              <w:rPr>
                <w:rFonts w:ascii="Arial" w:cs="Arial" w:eastAsia="Arial" w:hAnsi="Arial"/>
                <w:sz w:val="12"/>
                <w:szCs w:val="12"/>
                <w:b w:val="1"/>
                <w:bCs w:val="1"/>
                <w:color w:val="auto"/>
              </w:rPr>
              <w:t>Shareholders' Deficit:</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Preferred stock, $0.0001 par value, 50,000 shares authorized, no shares issued and outstanding</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w w:val="91"/>
              </w:rPr>
              <w:t>Common stock, $0.0001 par value, 500,000 shares authorized, issued and outstanding: 180,536 shares at December 31, 2018 and 174,852 at December</w:t>
            </w:r>
          </w:p>
        </w:tc>
        <w:tc>
          <w:tcPr>
            <w:tcW w:w="280" w:type="dxa"/>
            <w:vAlign w:val="bottom"/>
            <w:shd w:val="clear" w:color="auto" w:fill="CFF0FC"/>
          </w:tcPr>
          <w:p>
            <w:pPr>
              <w:spacing w:after="0"/>
              <w:rPr>
                <w:sz w:val="12"/>
                <w:szCs w:val="12"/>
                <w:color w:val="auto"/>
              </w:rPr>
            </w:pPr>
          </w:p>
        </w:tc>
        <w:tc>
          <w:tcPr>
            <w:tcW w:w="146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4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440" w:type="dxa"/>
            <w:vAlign w:val="bottom"/>
            <w:shd w:val="clear" w:color="auto" w:fill="CFF0FC"/>
          </w:tcPr>
          <w:p>
            <w:pPr>
              <w:ind w:left="140"/>
              <w:spacing w:after="0"/>
              <w:rPr>
                <w:sz w:val="20"/>
                <w:szCs w:val="20"/>
                <w:color w:val="auto"/>
              </w:rPr>
            </w:pPr>
            <w:r>
              <w:rPr>
                <w:rFonts w:ascii="Arial" w:cs="Arial" w:eastAsia="Arial" w:hAnsi="Arial"/>
                <w:sz w:val="12"/>
                <w:szCs w:val="12"/>
                <w:color w:val="auto"/>
              </w:rPr>
              <w:t>31, 2017</w:t>
            </w:r>
          </w:p>
        </w:tc>
        <w:tc>
          <w:tcPr>
            <w:tcW w:w="1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Additional paid-in capital</w:t>
            </w: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757,517</w:t>
            </w: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Pr>
          <w:p>
            <w:pPr>
              <w:jc w:val="right"/>
              <w:spacing w:after="0"/>
              <w:rPr>
                <w:sz w:val="20"/>
                <w:szCs w:val="20"/>
                <w:color w:val="auto"/>
              </w:rPr>
            </w:pPr>
            <w:r>
              <w:rPr>
                <w:rFonts w:ascii="Arial" w:cs="Arial" w:eastAsia="Arial" w:hAnsi="Arial"/>
                <w:sz w:val="12"/>
                <w:szCs w:val="12"/>
                <w:color w:val="auto"/>
              </w:rPr>
              <w:t>644,328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Accumulated other comprehensive income (loss)</w:t>
            </w: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30,105</w:t>
            </w:r>
          </w:p>
        </w:tc>
        <w:tc>
          <w:tcPr>
            <w:tcW w:w="26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7,821</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gridSpan w:val="2"/>
          </w:tcPr>
          <w:p>
            <w:pPr>
              <w:ind w:left="140"/>
              <w:spacing w:after="0"/>
              <w:rPr>
                <w:sz w:val="20"/>
                <w:szCs w:val="20"/>
                <w:color w:val="auto"/>
              </w:rPr>
            </w:pPr>
            <w:r>
              <w:rPr>
                <w:rFonts w:ascii="Arial" w:cs="Arial" w:eastAsia="Arial" w:hAnsi="Arial"/>
                <w:sz w:val="12"/>
                <w:szCs w:val="12"/>
                <w:color w:val="auto"/>
              </w:rPr>
              <w:t>Distributions in excess of accumulated earnings</w:t>
            </w:r>
          </w:p>
        </w:tc>
        <w:tc>
          <w:tcPr>
            <w:tcW w:w="280" w:type="dxa"/>
            <w:vAlign w:val="bottom"/>
          </w:tcPr>
          <w:p>
            <w:pPr>
              <w:spacing w:after="0"/>
              <w:rPr>
                <w:sz w:val="13"/>
                <w:szCs w:val="13"/>
                <w:color w:val="auto"/>
              </w:rPr>
            </w:pPr>
          </w:p>
        </w:tc>
        <w:tc>
          <w:tcPr>
            <w:tcW w:w="1720" w:type="dxa"/>
            <w:vAlign w:val="bottom"/>
            <w:gridSpan w:val="2"/>
          </w:tcPr>
          <w:p>
            <w:pPr>
              <w:jc w:val="right"/>
              <w:ind w:right="220"/>
              <w:spacing w:after="0"/>
              <w:rPr>
                <w:sz w:val="20"/>
                <w:szCs w:val="20"/>
                <w:color w:val="auto"/>
              </w:rPr>
            </w:pPr>
            <w:r>
              <w:rPr>
                <w:rFonts w:ascii="Arial" w:cs="Arial" w:eastAsia="Arial" w:hAnsi="Arial"/>
                <w:sz w:val="12"/>
                <w:szCs w:val="12"/>
                <w:color w:val="auto"/>
              </w:rPr>
              <w:t>(2,373,218)</w:t>
            </w:r>
          </w:p>
        </w:tc>
        <w:tc>
          <w:tcPr>
            <w:tcW w:w="280" w:type="dxa"/>
            <w:vAlign w:val="bottom"/>
          </w:tcPr>
          <w:p>
            <w:pPr>
              <w:spacing w:after="0"/>
              <w:rPr>
                <w:sz w:val="13"/>
                <w:szCs w:val="13"/>
                <w:color w:val="auto"/>
              </w:rPr>
            </w:pPr>
          </w:p>
        </w:tc>
        <w:tc>
          <w:tcPr>
            <w:tcW w:w="1580" w:type="dxa"/>
            <w:vAlign w:val="bottom"/>
            <w:gridSpan w:val="2"/>
          </w:tcPr>
          <w:p>
            <w:pPr>
              <w:jc w:val="right"/>
              <w:ind w:right="80"/>
              <w:spacing w:after="0"/>
              <w:rPr>
                <w:sz w:val="20"/>
                <w:szCs w:val="20"/>
                <w:color w:val="auto"/>
              </w:rPr>
            </w:pPr>
            <w:r>
              <w:rPr>
                <w:rFonts w:ascii="Arial" w:cs="Arial" w:eastAsia="Arial" w:hAnsi="Arial"/>
                <w:sz w:val="12"/>
                <w:szCs w:val="12"/>
                <w:color w:val="auto"/>
              </w:rPr>
              <w:t>(1,960,715)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0" w:type="dxa"/>
            <w:vAlign w:val="bottom"/>
            <w:gridSpan w:val="2"/>
            <w:vMerge w:val="restart"/>
            <w:shd w:val="clear" w:color="auto" w:fill="CFF0FC"/>
          </w:tcPr>
          <w:p>
            <w:pPr>
              <w:ind w:left="140"/>
              <w:spacing w:after="0"/>
              <w:rPr>
                <w:sz w:val="20"/>
                <w:szCs w:val="20"/>
                <w:color w:val="auto"/>
              </w:rPr>
            </w:pPr>
            <w:r>
              <w:rPr>
                <w:rFonts w:ascii="Arial" w:cs="Arial" w:eastAsia="Arial" w:hAnsi="Arial"/>
                <w:sz w:val="12"/>
                <w:szCs w:val="12"/>
                <w:color w:val="auto"/>
              </w:rPr>
              <w:t>Total Uniti shareholders' deficit</w:t>
            </w:r>
          </w:p>
        </w:tc>
        <w:tc>
          <w:tcPr>
            <w:tcW w:w="28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7600" w:type="dxa"/>
            <w:vAlign w:val="bottom"/>
            <w:gridSpan w:val="2"/>
            <w:vMerge w:val="continue"/>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72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(1,585,578)</w:t>
            </w:r>
          </w:p>
        </w:tc>
        <w:tc>
          <w:tcPr>
            <w:tcW w:w="280" w:type="dxa"/>
            <w:vAlign w:val="bottom"/>
            <w:shd w:val="clear" w:color="auto" w:fill="CFF0FC"/>
          </w:tcPr>
          <w:p>
            <w:pPr>
              <w:spacing w:after="0"/>
              <w:rPr>
                <w:sz w:val="12"/>
                <w:szCs w:val="12"/>
                <w:color w:val="auto"/>
              </w:rPr>
            </w:pPr>
          </w:p>
        </w:tc>
        <w:tc>
          <w:tcPr>
            <w:tcW w:w="15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(1,308,549)</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600" w:type="dxa"/>
            <w:vAlign w:val="bottom"/>
            <w:tcBorders>
              <w:bottom w:val="single" w:sz="8" w:color="CFF0FC"/>
            </w:tcBorders>
            <w:gridSpan w:val="2"/>
          </w:tcPr>
          <w:p>
            <w:pPr>
              <w:ind w:left="140"/>
              <w:spacing w:after="0"/>
              <w:rPr>
                <w:sz w:val="20"/>
                <w:szCs w:val="20"/>
                <w:color w:val="auto"/>
              </w:rPr>
            </w:pPr>
            <w:r>
              <w:rPr>
                <w:rFonts w:ascii="Arial" w:cs="Arial" w:eastAsia="Arial" w:hAnsi="Arial"/>
                <w:sz w:val="12"/>
                <w:szCs w:val="12"/>
                <w:color w:val="auto"/>
              </w:rPr>
              <w:t>Noncontrolling interests - operating partnership units</w:t>
            </w:r>
          </w:p>
        </w:tc>
        <w:tc>
          <w:tcPr>
            <w:tcW w:w="280" w:type="dxa"/>
            <w:vAlign w:val="bottom"/>
            <w:tcBorders>
              <w:bottom w:val="single" w:sz="8" w:color="auto"/>
            </w:tcBorders>
          </w:tcPr>
          <w:p>
            <w:pPr>
              <w:spacing w:after="0"/>
              <w:rPr>
                <w:sz w:val="13"/>
                <w:szCs w:val="13"/>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92,375</w:t>
            </w:r>
          </w:p>
        </w:tc>
        <w:tc>
          <w:tcPr>
            <w:tcW w:w="26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101,407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600" w:type="dxa"/>
            <w:vAlign w:val="bottom"/>
            <w:gridSpan w:val="2"/>
            <w:shd w:val="clear" w:color="auto" w:fill="CFF0FC"/>
          </w:tcPr>
          <w:p>
            <w:pPr>
              <w:ind w:left="320"/>
              <w:spacing w:after="0"/>
              <w:rPr>
                <w:sz w:val="20"/>
                <w:szCs w:val="20"/>
                <w:color w:val="auto"/>
              </w:rPr>
            </w:pPr>
            <w:r>
              <w:rPr>
                <w:rFonts w:ascii="Arial" w:cs="Arial" w:eastAsia="Arial" w:hAnsi="Arial"/>
                <w:sz w:val="12"/>
                <w:szCs w:val="12"/>
                <w:color w:val="auto"/>
              </w:rPr>
              <w:t>Total shareholders' deficit</w:t>
            </w:r>
          </w:p>
        </w:tc>
        <w:tc>
          <w:tcPr>
            <w:tcW w:w="280" w:type="dxa"/>
            <w:vAlign w:val="bottom"/>
            <w:shd w:val="clear" w:color="auto" w:fill="CFF0FC"/>
          </w:tcPr>
          <w:p>
            <w:pPr>
              <w:spacing w:after="0"/>
              <w:rPr>
                <w:sz w:val="12"/>
                <w:szCs w:val="12"/>
                <w:color w:val="auto"/>
              </w:rPr>
            </w:pPr>
          </w:p>
        </w:tc>
        <w:tc>
          <w:tcPr>
            <w:tcW w:w="172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(1,493,203)</w:t>
            </w:r>
          </w:p>
        </w:tc>
        <w:tc>
          <w:tcPr>
            <w:tcW w:w="280" w:type="dxa"/>
            <w:vAlign w:val="bottom"/>
            <w:shd w:val="clear" w:color="auto" w:fill="CFF0FC"/>
          </w:tcPr>
          <w:p>
            <w:pPr>
              <w:spacing w:after="0"/>
              <w:rPr>
                <w:sz w:val="12"/>
                <w:szCs w:val="12"/>
                <w:color w:val="auto"/>
              </w:rPr>
            </w:pPr>
          </w:p>
        </w:tc>
        <w:tc>
          <w:tcPr>
            <w:tcW w:w="15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(1,207,142)</w:t>
            </w:r>
          </w:p>
        </w:tc>
        <w:tc>
          <w:tcPr>
            <w:tcW w:w="0" w:type="dxa"/>
            <w:vAlign w:val="bottom"/>
          </w:tcPr>
          <w:p>
            <w:pPr>
              <w:spacing w:after="0"/>
              <w:rPr>
                <w:sz w:val="1"/>
                <w:szCs w:val="1"/>
                <w:color w:val="auto"/>
              </w:rPr>
            </w:pPr>
          </w:p>
        </w:tc>
      </w:tr>
      <w:tr>
        <w:trPr>
          <w:trHeight w:val="149"/>
        </w:trPr>
        <w:tc>
          <w:tcPr>
            <w:tcW w:w="7620" w:type="dxa"/>
            <w:vAlign w:val="bottom"/>
            <w:gridSpan w:val="3"/>
          </w:tcPr>
          <w:p>
            <w:pPr>
              <w:spacing w:after="0"/>
              <w:rPr>
                <w:sz w:val="20"/>
                <w:szCs w:val="20"/>
                <w:color w:val="auto"/>
              </w:rPr>
            </w:pPr>
            <w:r>
              <w:rPr>
                <w:rFonts w:ascii="Arial" w:cs="Arial" w:eastAsia="Arial" w:hAnsi="Arial"/>
                <w:sz w:val="12"/>
                <w:szCs w:val="12"/>
                <w:b w:val="1"/>
                <w:bCs w:val="1"/>
                <w:color w:val="auto"/>
              </w:rPr>
              <w:t>Total Liabilities, Convertible Preferred Stock, and Shareholders' Deficit</w:t>
            </w:r>
          </w:p>
        </w:tc>
        <w:tc>
          <w:tcPr>
            <w:tcW w:w="280" w:type="dxa"/>
            <w:vAlign w:val="bottom"/>
            <w:tcBorders>
              <w:top w:val="single" w:sz="8" w:color="auto"/>
              <w:bottom w:val="single" w:sz="8" w:color="auto"/>
            </w:tcBorders>
          </w:tcPr>
          <w:p>
            <w:pPr>
              <w:jc w:val="right"/>
              <w:ind w:right="140"/>
              <w:spacing w:after="0"/>
              <w:rPr>
                <w:sz w:val="20"/>
                <w:szCs w:val="20"/>
                <w:color w:val="auto"/>
              </w:rPr>
            </w:pPr>
            <w:r>
              <w:rPr>
                <w:rFonts w:ascii="Arial" w:cs="Arial" w:eastAsia="Arial" w:hAnsi="Arial"/>
                <w:sz w:val="12"/>
                <w:szCs w:val="12"/>
                <w:color w:val="auto"/>
                <w:w w:val="89"/>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4,592,937</w:t>
            </w:r>
          </w:p>
        </w:tc>
        <w:tc>
          <w:tcPr>
            <w:tcW w:w="260" w:type="dxa"/>
            <w:vAlign w:val="bottom"/>
          </w:tcPr>
          <w:p>
            <w:pPr>
              <w:spacing w:after="0"/>
              <w:rPr>
                <w:sz w:val="12"/>
                <w:szCs w:val="12"/>
                <w:color w:val="auto"/>
              </w:rPr>
            </w:pPr>
          </w:p>
        </w:tc>
        <w:tc>
          <w:tcPr>
            <w:tcW w:w="2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0"/>
                <w:szCs w:val="10"/>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4,330,082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The accompanying notes are an integral part of these consolidated financial statements.</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58" w:name="page59"/>
    <w:bookmarkEnd w:id="5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Consolidated Statements of Income</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20" w:type="dxa"/>
            <w:vAlign w:val="bottom"/>
          </w:tcPr>
          <w:p>
            <w:pPr>
              <w:spacing w:after="0"/>
              <w:rPr>
                <w:sz w:val="10"/>
                <w:szCs w:val="10"/>
                <w:color w:val="auto"/>
              </w:rPr>
            </w:pPr>
          </w:p>
        </w:tc>
        <w:tc>
          <w:tcPr>
            <w:tcW w:w="5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0"/>
                <w:szCs w:val="10"/>
                <w:b w:val="1"/>
                <w:bCs w:val="1"/>
                <w:color w:val="auto"/>
                <w:w w:val="99"/>
              </w:rPr>
              <w:t>Year Ended December 31,</w:t>
            </w:r>
          </w:p>
        </w:tc>
        <w:tc>
          <w:tcPr>
            <w:tcW w:w="1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5280" w:type="dxa"/>
            <w:vAlign w:val="bottom"/>
            <w:gridSpan w:val="3"/>
          </w:tcPr>
          <w:p>
            <w:pPr>
              <w:spacing w:after="0"/>
              <w:rPr>
                <w:sz w:val="20"/>
                <w:szCs w:val="20"/>
                <w:color w:val="auto"/>
              </w:rPr>
            </w:pPr>
            <w:r>
              <w:rPr>
                <w:rFonts w:ascii="Arial" w:cs="Arial" w:eastAsia="Arial" w:hAnsi="Arial"/>
                <w:sz w:val="10"/>
                <w:szCs w:val="10"/>
                <w:color w:val="auto"/>
              </w:rPr>
              <w:t>(Thousands, except per share data)</w:t>
            </w:r>
          </w:p>
        </w:tc>
        <w:tc>
          <w:tcPr>
            <w:tcW w:w="440" w:type="dxa"/>
            <w:vAlign w:val="bottom"/>
          </w:tcPr>
          <w:p>
            <w:pPr>
              <w:spacing w:after="0"/>
              <w:rPr>
                <w:sz w:val="13"/>
                <w:szCs w:val="13"/>
                <w:color w:val="auto"/>
              </w:rPr>
            </w:pPr>
          </w:p>
        </w:tc>
        <w:tc>
          <w:tcPr>
            <w:tcW w:w="1420" w:type="dxa"/>
            <w:vAlign w:val="bottom"/>
          </w:tcPr>
          <w:p>
            <w:pPr>
              <w:jc w:val="right"/>
              <w:ind w:right="780"/>
              <w:spacing w:after="0"/>
              <w:rPr>
                <w:sz w:val="20"/>
                <w:szCs w:val="20"/>
                <w:color w:val="auto"/>
              </w:rPr>
            </w:pPr>
            <w:r>
              <w:rPr>
                <w:rFonts w:ascii="Arial" w:cs="Arial" w:eastAsia="Arial" w:hAnsi="Arial"/>
                <w:sz w:val="10"/>
                <w:szCs w:val="10"/>
                <w:b w:val="1"/>
                <w:bCs w:val="1"/>
                <w:color w:val="auto"/>
              </w:rPr>
              <w:t>2018</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jc w:val="right"/>
              <w:ind w:right="801"/>
              <w:spacing w:after="0"/>
              <w:rPr>
                <w:sz w:val="20"/>
                <w:szCs w:val="20"/>
                <w:color w:val="auto"/>
              </w:rPr>
            </w:pPr>
            <w:r>
              <w:rPr>
                <w:rFonts w:ascii="Arial" w:cs="Arial" w:eastAsia="Arial" w:hAnsi="Arial"/>
                <w:sz w:val="10"/>
                <w:szCs w:val="10"/>
                <w:b w:val="1"/>
                <w:bCs w:val="1"/>
                <w:color w:val="auto"/>
              </w:rPr>
              <w:t>2017</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jc w:val="right"/>
              <w:ind w:right="780"/>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1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Revenues:</w:t>
            </w:r>
          </w:p>
        </w:tc>
        <w:tc>
          <w:tcPr>
            <w:tcW w:w="140" w:type="dxa"/>
            <w:vAlign w:val="bottom"/>
            <w:tcBorders>
              <w:top w:val="single" w:sz="8" w:color="CFF0FC"/>
            </w:tcBorders>
            <w:shd w:val="clear" w:color="auto" w:fill="CFF0FC"/>
          </w:tcPr>
          <w:p>
            <w:pPr>
              <w:spacing w:after="0"/>
              <w:rPr>
                <w:sz w:val="12"/>
                <w:szCs w:val="12"/>
                <w:color w:val="auto"/>
              </w:rPr>
            </w:pPr>
          </w:p>
        </w:tc>
        <w:tc>
          <w:tcPr>
            <w:tcW w:w="440" w:type="dxa"/>
            <w:vAlign w:val="bottom"/>
            <w:tcBorders>
              <w:top w:val="single" w:sz="8" w:color="auto"/>
            </w:tcBorders>
            <w:shd w:val="clear" w:color="auto" w:fill="CFF0FC"/>
          </w:tcPr>
          <w:p>
            <w:pPr>
              <w:spacing w:after="0"/>
              <w:rPr>
                <w:sz w:val="12"/>
                <w:szCs w:val="12"/>
                <w:color w:val="auto"/>
              </w:rPr>
            </w:pPr>
          </w:p>
        </w:tc>
        <w:tc>
          <w:tcPr>
            <w:tcW w:w="142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auto"/>
            </w:tcBorders>
            <w:shd w:val="clear" w:color="auto" w:fill="CFF0FC"/>
          </w:tcPr>
          <w:p>
            <w:pPr>
              <w:spacing w:after="0"/>
              <w:rPr>
                <w:sz w:val="12"/>
                <w:szCs w:val="12"/>
                <w:color w:val="auto"/>
              </w:rPr>
            </w:pPr>
          </w:p>
        </w:tc>
        <w:tc>
          <w:tcPr>
            <w:tcW w:w="166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460" w:type="dxa"/>
            <w:vAlign w:val="bottom"/>
            <w:tcBorders>
              <w:top w:val="single" w:sz="8" w:color="auto"/>
            </w:tcBorders>
            <w:shd w:val="clear" w:color="auto" w:fill="CFF0FC"/>
          </w:tcPr>
          <w:p>
            <w:pPr>
              <w:spacing w:after="0"/>
              <w:rPr>
                <w:sz w:val="12"/>
                <w:szCs w:val="12"/>
                <w:color w:val="auto"/>
              </w:rPr>
            </w:pPr>
          </w:p>
        </w:tc>
        <w:tc>
          <w:tcPr>
            <w:tcW w:w="142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Leasing</w:t>
            </w:r>
          </w:p>
        </w:tc>
        <w:tc>
          <w:tcPr>
            <w:tcW w:w="440" w:type="dxa"/>
            <w:vAlign w:val="bottom"/>
          </w:tcPr>
          <w:p>
            <w:pPr>
              <w:jc w:val="right"/>
              <w:ind w:right="330"/>
              <w:spacing w:after="0"/>
              <w:rPr>
                <w:sz w:val="20"/>
                <w:szCs w:val="20"/>
                <w:color w:val="auto"/>
              </w:rPr>
            </w:pPr>
            <w:r>
              <w:rPr>
                <w:rFonts w:ascii="Arial" w:cs="Arial" w:eastAsia="Arial" w:hAnsi="Arial"/>
                <w:sz w:val="10"/>
                <w:szCs w:val="10"/>
                <w:color w:val="auto"/>
                <w:w w:val="71"/>
              </w:rPr>
              <w:t>$</w:t>
            </w:r>
          </w:p>
        </w:tc>
        <w:tc>
          <w:tcPr>
            <w:tcW w:w="1420" w:type="dxa"/>
            <w:vAlign w:val="bottom"/>
          </w:tcPr>
          <w:p>
            <w:pPr>
              <w:jc w:val="right"/>
              <w:spacing w:after="0"/>
              <w:rPr>
                <w:sz w:val="20"/>
                <w:szCs w:val="20"/>
                <w:color w:val="auto"/>
              </w:rPr>
            </w:pPr>
            <w:r>
              <w:rPr>
                <w:rFonts w:ascii="Arial" w:cs="Arial" w:eastAsia="Arial" w:hAnsi="Arial"/>
                <w:sz w:val="12"/>
                <w:szCs w:val="12"/>
                <w:color w:val="auto"/>
              </w:rPr>
              <w:t>699,847</w:t>
            </w:r>
          </w:p>
        </w:tc>
        <w:tc>
          <w:tcPr>
            <w:tcW w:w="240" w:type="dxa"/>
            <w:vAlign w:val="bottom"/>
          </w:tcPr>
          <w:p>
            <w:pPr>
              <w:spacing w:after="0"/>
              <w:rPr>
                <w:sz w:val="13"/>
                <w:szCs w:val="13"/>
                <w:color w:val="auto"/>
              </w:rPr>
            </w:pP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1660" w:type="dxa"/>
            <w:vAlign w:val="bottom"/>
          </w:tcPr>
          <w:p>
            <w:pPr>
              <w:jc w:val="right"/>
              <w:spacing w:after="0"/>
              <w:rPr>
                <w:sz w:val="20"/>
                <w:szCs w:val="20"/>
                <w:color w:val="auto"/>
              </w:rPr>
            </w:pPr>
            <w:r>
              <w:rPr>
                <w:rFonts w:ascii="Arial" w:cs="Arial" w:eastAsia="Arial" w:hAnsi="Arial"/>
                <w:sz w:val="12"/>
                <w:szCs w:val="12"/>
                <w:color w:val="auto"/>
              </w:rPr>
              <w:t>685,099</w:t>
            </w:r>
          </w:p>
        </w:tc>
        <w:tc>
          <w:tcPr>
            <w:tcW w:w="120" w:type="dxa"/>
            <w:vAlign w:val="bottom"/>
          </w:tcPr>
          <w:p>
            <w:pPr>
              <w:spacing w:after="0"/>
              <w:rPr>
                <w:sz w:val="13"/>
                <w:szCs w:val="13"/>
                <w:color w:val="auto"/>
              </w:rPr>
            </w:pPr>
          </w:p>
        </w:tc>
        <w:tc>
          <w:tcPr>
            <w:tcW w:w="560" w:type="dxa"/>
            <w:vAlign w:val="bottom"/>
            <w:gridSpan w:val="2"/>
          </w:tcPr>
          <w:p>
            <w:pPr>
              <w:jc w:val="right"/>
              <w:ind w:right="400"/>
              <w:spacing w:after="0"/>
              <w:rPr>
                <w:sz w:val="20"/>
                <w:szCs w:val="20"/>
                <w:color w:val="auto"/>
              </w:rPr>
            </w:pPr>
            <w:r>
              <w:rPr>
                <w:rFonts w:ascii="Arial" w:cs="Arial" w:eastAsia="Arial" w:hAnsi="Arial"/>
                <w:sz w:val="12"/>
                <w:szCs w:val="12"/>
                <w:color w:val="auto"/>
              </w:rPr>
              <w:t>$</w:t>
            </w:r>
          </w:p>
        </w:tc>
        <w:tc>
          <w:tcPr>
            <w:tcW w:w="1420" w:type="dxa"/>
            <w:vAlign w:val="bottom"/>
          </w:tcPr>
          <w:p>
            <w:pPr>
              <w:jc w:val="right"/>
              <w:spacing w:after="0"/>
              <w:rPr>
                <w:sz w:val="20"/>
                <w:szCs w:val="20"/>
                <w:color w:val="auto"/>
              </w:rPr>
            </w:pPr>
            <w:r>
              <w:rPr>
                <w:rFonts w:ascii="Arial" w:cs="Arial" w:eastAsia="Arial" w:hAnsi="Arial"/>
                <w:sz w:val="12"/>
                <w:szCs w:val="12"/>
                <w:color w:val="auto"/>
              </w:rPr>
              <w:t>676,868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Fiber Infrastructure</w:t>
            </w:r>
          </w:p>
        </w:tc>
        <w:tc>
          <w:tcPr>
            <w:tcW w:w="44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289,239</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70,568</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Tower</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14,617</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jc w:val="right"/>
              <w:spacing w:after="0"/>
              <w:rPr>
                <w:sz w:val="20"/>
                <w:szCs w:val="20"/>
                <w:color w:val="auto"/>
              </w:rPr>
            </w:pPr>
            <w:r>
              <w:rPr>
                <w:rFonts w:ascii="Arial" w:cs="Arial" w:eastAsia="Arial" w:hAnsi="Arial"/>
                <w:sz w:val="12"/>
                <w:szCs w:val="12"/>
                <w:color w:val="auto"/>
              </w:rPr>
              <w:t>10,055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500</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Consumer CLEC</w:t>
            </w:r>
          </w:p>
        </w:tc>
        <w:tc>
          <w:tcPr>
            <w:tcW w:w="440" w:type="dxa"/>
            <w:vAlign w:val="bottom"/>
            <w:tcBorders>
              <w:bottom w:val="single" w:sz="8" w:color="auto"/>
            </w:tcBorders>
            <w:shd w:val="clear" w:color="auto" w:fill="CFF0FC"/>
          </w:tcPr>
          <w:p>
            <w:pPr>
              <w:spacing w:after="0"/>
              <w:rPr>
                <w:sz w:val="13"/>
                <w:szCs w:val="13"/>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13,931</w:t>
            </w:r>
          </w:p>
        </w:tc>
        <w:tc>
          <w:tcPr>
            <w:tcW w:w="24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18,087</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60" w:type="dxa"/>
            <w:vAlign w:val="bottom"/>
            <w:tcBorders>
              <w:bottom w:val="single" w:sz="8" w:color="auto"/>
            </w:tcBorders>
            <w:shd w:val="clear" w:color="auto" w:fill="CFF0FC"/>
          </w:tcPr>
          <w:p>
            <w:pPr>
              <w:spacing w:after="0"/>
              <w:rPr>
                <w:sz w:val="13"/>
                <w:szCs w:val="13"/>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22,472</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60" w:type="dxa"/>
            <w:vAlign w:val="bottom"/>
            <w:gridSpan w:val="2"/>
          </w:tcPr>
          <w:p>
            <w:pPr>
              <w:ind w:left="300"/>
              <w:spacing w:after="0"/>
              <w:rPr>
                <w:sz w:val="20"/>
                <w:szCs w:val="20"/>
                <w:color w:val="auto"/>
              </w:rPr>
            </w:pPr>
            <w:r>
              <w:rPr>
                <w:rFonts w:ascii="Arial" w:cs="Arial" w:eastAsia="Arial" w:hAnsi="Arial"/>
                <w:sz w:val="12"/>
                <w:szCs w:val="12"/>
                <w:color w:val="auto"/>
              </w:rPr>
              <w:t>Total revenues</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1,017,634</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jc w:val="right"/>
              <w:spacing w:after="0"/>
              <w:rPr>
                <w:sz w:val="20"/>
                <w:szCs w:val="20"/>
                <w:color w:val="auto"/>
              </w:rPr>
            </w:pPr>
            <w:r>
              <w:rPr>
                <w:rFonts w:ascii="Arial" w:cs="Arial" w:eastAsia="Arial" w:hAnsi="Arial"/>
                <w:sz w:val="12"/>
                <w:szCs w:val="12"/>
                <w:color w:val="auto"/>
              </w:rPr>
              <w:t>916,032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770,408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60" w:type="dxa"/>
            <w:vAlign w:val="bottom"/>
            <w:gridSpan w:val="2"/>
            <w:shd w:val="clear" w:color="auto" w:fill="CFF0FC"/>
          </w:tcPr>
          <w:p>
            <w:pPr>
              <w:spacing w:after="0"/>
              <w:rPr>
                <w:sz w:val="20"/>
                <w:szCs w:val="20"/>
                <w:color w:val="auto"/>
              </w:rPr>
            </w:pPr>
            <w:r>
              <w:rPr>
                <w:rFonts w:ascii="Arial" w:cs="Arial" w:eastAsia="Arial" w:hAnsi="Arial"/>
                <w:sz w:val="12"/>
                <w:szCs w:val="12"/>
                <w:b w:val="1"/>
                <w:bCs w:val="1"/>
                <w:color w:val="auto"/>
              </w:rPr>
              <w:t>Costs and Expenses:</w:t>
            </w:r>
          </w:p>
        </w:tc>
        <w:tc>
          <w:tcPr>
            <w:tcW w:w="440" w:type="dxa"/>
            <w:vAlign w:val="bottom"/>
            <w:shd w:val="clear" w:color="auto" w:fill="CFF0FC"/>
          </w:tcPr>
          <w:p>
            <w:pPr>
              <w:spacing w:after="0"/>
              <w:rPr>
                <w:sz w:val="14"/>
                <w:szCs w:val="14"/>
                <w:color w:val="auto"/>
              </w:rPr>
            </w:pPr>
          </w:p>
        </w:tc>
        <w:tc>
          <w:tcPr>
            <w:tcW w:w="142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6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0" w:type="dxa"/>
            <w:vAlign w:val="bottom"/>
            <w:shd w:val="clear" w:color="auto" w:fill="CFF0FC"/>
          </w:tcPr>
          <w:p>
            <w:pPr>
              <w:spacing w:after="0"/>
              <w:rPr>
                <w:sz w:val="14"/>
                <w:szCs w:val="14"/>
                <w:color w:val="auto"/>
              </w:rPr>
            </w:pPr>
          </w:p>
        </w:tc>
        <w:tc>
          <w:tcPr>
            <w:tcW w:w="14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Interest expense, net</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319,591</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jc w:val="right"/>
              <w:spacing w:after="0"/>
              <w:rPr>
                <w:sz w:val="20"/>
                <w:szCs w:val="20"/>
                <w:color w:val="auto"/>
              </w:rPr>
            </w:pPr>
            <w:r>
              <w:rPr>
                <w:rFonts w:ascii="Arial" w:cs="Arial" w:eastAsia="Arial" w:hAnsi="Arial"/>
                <w:sz w:val="12"/>
                <w:szCs w:val="12"/>
                <w:color w:val="auto"/>
              </w:rPr>
              <w:t>305,994</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275,394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Depreciation and amortization</w:t>
            </w:r>
          </w:p>
        </w:tc>
        <w:tc>
          <w:tcPr>
            <w:tcW w:w="44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451,750</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434,205</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375,970</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General and administrative expense</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85,198</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jc w:val="right"/>
              <w:spacing w:after="0"/>
              <w:rPr>
                <w:sz w:val="20"/>
                <w:szCs w:val="20"/>
                <w:color w:val="auto"/>
              </w:rPr>
            </w:pPr>
            <w:r>
              <w:rPr>
                <w:rFonts w:ascii="Arial" w:cs="Arial" w:eastAsia="Arial" w:hAnsi="Arial"/>
                <w:sz w:val="12"/>
                <w:szCs w:val="12"/>
                <w:color w:val="auto"/>
              </w:rPr>
              <w:t>72,045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35,402</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Operating expense (exclusive of depreciation, accretion and amortization)</w:t>
            </w:r>
          </w:p>
        </w:tc>
        <w:tc>
          <w:tcPr>
            <w:tcW w:w="44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137,065</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102,176</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49,668</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Transaction related costs</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17,410</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jc w:val="right"/>
              <w:spacing w:after="0"/>
              <w:rPr>
                <w:sz w:val="20"/>
                <w:szCs w:val="20"/>
                <w:color w:val="auto"/>
              </w:rPr>
            </w:pPr>
            <w:r>
              <w:rPr>
                <w:rFonts w:ascii="Arial" w:cs="Arial" w:eastAsia="Arial" w:hAnsi="Arial"/>
                <w:sz w:val="12"/>
                <w:szCs w:val="12"/>
                <w:color w:val="auto"/>
              </w:rPr>
              <w:t>38,005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33,669</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Other (income) expense</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(4,504)</w:t>
            </w: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11,284</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60" w:type="dxa"/>
            <w:vAlign w:val="bottom"/>
            <w:tcBorders>
              <w:bottom w:val="single" w:sz="8" w:color="CFF0FC"/>
            </w:tcBorders>
            <w:gridSpan w:val="2"/>
          </w:tcPr>
          <w:p>
            <w:pPr>
              <w:ind w:left="300"/>
              <w:spacing w:after="0"/>
              <w:rPr>
                <w:sz w:val="20"/>
                <w:szCs w:val="20"/>
                <w:color w:val="auto"/>
              </w:rPr>
            </w:pPr>
            <w:r>
              <w:rPr>
                <w:rFonts w:ascii="Arial" w:cs="Arial" w:eastAsia="Arial" w:hAnsi="Arial"/>
                <w:sz w:val="12"/>
                <w:szCs w:val="12"/>
                <w:color w:val="auto"/>
              </w:rPr>
              <w:t>Total costs and expenses</w:t>
            </w:r>
          </w:p>
        </w:tc>
        <w:tc>
          <w:tcPr>
            <w:tcW w:w="440" w:type="dxa"/>
            <w:vAlign w:val="bottom"/>
            <w:tcBorders>
              <w:top w:val="single" w:sz="8" w:color="auto"/>
              <w:bottom w:val="single" w:sz="8" w:color="auto"/>
            </w:tcBorders>
          </w:tcPr>
          <w:p>
            <w:pPr>
              <w:spacing w:after="0"/>
              <w:rPr>
                <w:sz w:val="12"/>
                <w:szCs w:val="12"/>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1,006,510</w:t>
            </w:r>
          </w:p>
        </w:tc>
        <w:tc>
          <w:tcPr>
            <w:tcW w:w="240" w:type="dxa"/>
            <w:vAlign w:val="bottom"/>
            <w:tcBorders>
              <w:bottom w:val="single" w:sz="8" w:color="CFF0FC"/>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963,709</w:t>
            </w:r>
          </w:p>
        </w:tc>
        <w:tc>
          <w:tcPr>
            <w:tcW w:w="120" w:type="dxa"/>
            <w:vAlign w:val="bottom"/>
            <w:tcBorders>
              <w:bottom w:val="single" w:sz="8" w:color="CFF0FC"/>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c>
          <w:tcPr>
            <w:tcW w:w="460" w:type="dxa"/>
            <w:vAlign w:val="bottom"/>
            <w:tcBorders>
              <w:top w:val="single" w:sz="8" w:color="auto"/>
              <w:bottom w:val="single" w:sz="8" w:color="auto"/>
            </w:tcBorders>
          </w:tcPr>
          <w:p>
            <w:pPr>
              <w:spacing w:after="0"/>
              <w:rPr>
                <w:sz w:val="12"/>
                <w:szCs w:val="12"/>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770,103</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5260" w:type="dxa"/>
            <w:vAlign w:val="bottom"/>
            <w:gridSpan w:val="2"/>
          </w:tcPr>
          <w:p>
            <w:pPr>
              <w:spacing w:after="0"/>
              <w:rPr>
                <w:sz w:val="20"/>
                <w:szCs w:val="20"/>
                <w:color w:val="auto"/>
              </w:rPr>
            </w:pPr>
            <w:r>
              <w:rPr>
                <w:rFonts w:ascii="Arial" w:cs="Arial" w:eastAsia="Arial" w:hAnsi="Arial"/>
                <w:sz w:val="12"/>
                <w:szCs w:val="12"/>
                <w:b w:val="1"/>
                <w:bCs w:val="1"/>
                <w:color w:val="auto"/>
              </w:rPr>
              <w:t>Income (loss) before income taxes</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11,124</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780" w:type="dxa"/>
            <w:vAlign w:val="bottom"/>
            <w:gridSpan w:val="2"/>
          </w:tcPr>
          <w:p>
            <w:pPr>
              <w:jc w:val="right"/>
              <w:ind w:right="80"/>
              <w:spacing w:after="0"/>
              <w:rPr>
                <w:sz w:val="20"/>
                <w:szCs w:val="20"/>
                <w:color w:val="auto"/>
              </w:rPr>
            </w:pPr>
            <w:r>
              <w:rPr>
                <w:rFonts w:ascii="Arial" w:cs="Arial" w:eastAsia="Arial" w:hAnsi="Arial"/>
                <w:sz w:val="12"/>
                <w:szCs w:val="12"/>
                <w:color w:val="auto"/>
              </w:rPr>
              <w:t>(47,677)</w:t>
            </w: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305</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Income tax (benefit) expense</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(5,421)</w:t>
            </w:r>
          </w:p>
        </w:tc>
        <w:tc>
          <w:tcPr>
            <w:tcW w:w="22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(38,849)</w:t>
            </w: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517</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2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Net income (loss)</w:t>
            </w:r>
          </w:p>
        </w:tc>
        <w:tc>
          <w:tcPr>
            <w:tcW w:w="4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280" w:type="dxa"/>
            <w:vAlign w:val="bottom"/>
            <w:gridSpan w:val="3"/>
            <w:vMerge w:val="continue"/>
          </w:tcPr>
          <w:p>
            <w:pPr>
              <w:spacing w:after="0"/>
              <w:rPr>
                <w:sz w:val="12"/>
                <w:szCs w:val="12"/>
                <w:color w:val="auto"/>
              </w:rPr>
            </w:pP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16,545</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80" w:type="dxa"/>
            <w:vAlign w:val="bottom"/>
            <w:gridSpan w:val="2"/>
          </w:tcPr>
          <w:p>
            <w:pPr>
              <w:jc w:val="right"/>
              <w:ind w:right="80"/>
              <w:spacing w:after="0"/>
              <w:rPr>
                <w:sz w:val="20"/>
                <w:szCs w:val="20"/>
                <w:color w:val="auto"/>
              </w:rPr>
            </w:pPr>
            <w:r>
              <w:rPr>
                <w:rFonts w:ascii="Arial" w:cs="Arial" w:eastAsia="Arial" w:hAnsi="Arial"/>
                <w:sz w:val="12"/>
                <w:szCs w:val="12"/>
                <w:color w:val="auto"/>
              </w:rPr>
              <w:t>(8,828)</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Net income attributable to noncontrolling interests</w:t>
            </w:r>
          </w:p>
        </w:tc>
        <w:tc>
          <w:tcPr>
            <w:tcW w:w="440" w:type="dxa"/>
            <w:vAlign w:val="bottom"/>
            <w:tcBorders>
              <w:bottom w:val="single" w:sz="8" w:color="auto"/>
            </w:tcBorders>
            <w:shd w:val="clear" w:color="auto" w:fill="CFF0FC"/>
          </w:tcPr>
          <w:p>
            <w:pPr>
              <w:spacing w:after="0"/>
              <w:rPr>
                <w:sz w:val="13"/>
                <w:szCs w:val="13"/>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358</w:t>
            </w:r>
          </w:p>
        </w:tc>
        <w:tc>
          <w:tcPr>
            <w:tcW w:w="24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611</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60" w:type="dxa"/>
            <w:vAlign w:val="bottom"/>
            <w:tcBorders>
              <w:bottom w:val="single" w:sz="8" w:color="auto"/>
            </w:tcBorders>
            <w:shd w:val="clear" w:color="auto" w:fill="CFF0FC"/>
          </w:tcPr>
          <w:p>
            <w:pPr>
              <w:spacing w:after="0"/>
              <w:rPr>
                <w:sz w:val="13"/>
                <w:szCs w:val="13"/>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280" w:type="dxa"/>
            <w:vAlign w:val="bottom"/>
            <w:gridSpan w:val="3"/>
          </w:tcPr>
          <w:p>
            <w:pPr>
              <w:spacing w:after="0"/>
              <w:rPr>
                <w:sz w:val="20"/>
                <w:szCs w:val="20"/>
                <w:color w:val="auto"/>
              </w:rPr>
            </w:pPr>
            <w:r>
              <w:rPr>
                <w:rFonts w:ascii="Arial" w:cs="Arial" w:eastAsia="Arial" w:hAnsi="Arial"/>
                <w:sz w:val="12"/>
                <w:szCs w:val="12"/>
                <w:b w:val="1"/>
                <w:bCs w:val="1"/>
                <w:color w:val="auto"/>
              </w:rPr>
              <w:t>Net income (loss) attributable to shareholders</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16,187</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80" w:type="dxa"/>
            <w:vAlign w:val="bottom"/>
            <w:gridSpan w:val="2"/>
          </w:tcPr>
          <w:p>
            <w:pPr>
              <w:jc w:val="right"/>
              <w:ind w:right="80"/>
              <w:spacing w:after="0"/>
              <w:rPr>
                <w:sz w:val="20"/>
                <w:szCs w:val="20"/>
                <w:color w:val="auto"/>
              </w:rPr>
            </w:pPr>
            <w:r>
              <w:rPr>
                <w:rFonts w:ascii="Arial" w:cs="Arial" w:eastAsia="Arial" w:hAnsi="Arial"/>
                <w:sz w:val="12"/>
                <w:szCs w:val="12"/>
                <w:color w:val="auto"/>
              </w:rPr>
              <w:t>(9,439)</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Participating securities' share in earnings</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(2,594)</w:t>
            </w:r>
          </w:p>
        </w:tc>
        <w:tc>
          <w:tcPr>
            <w:tcW w:w="22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(1,509)</w:t>
            </w: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(1,557)</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Dividends declared on convertible preferred stock</w:t>
            </w:r>
          </w:p>
        </w:tc>
        <w:tc>
          <w:tcPr>
            <w:tcW w:w="440" w:type="dxa"/>
            <w:vAlign w:val="bottom"/>
          </w:tcPr>
          <w:p>
            <w:pPr>
              <w:spacing w:after="0"/>
              <w:rPr>
                <w:sz w:val="13"/>
                <w:szCs w:val="13"/>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2"/>
                <w:szCs w:val="12"/>
                <w:color w:val="auto"/>
              </w:rPr>
              <w:t>(2,624)</w:t>
            </w:r>
          </w:p>
        </w:tc>
        <w:tc>
          <w:tcPr>
            <w:tcW w:w="220" w:type="dxa"/>
            <w:vAlign w:val="bottom"/>
          </w:tcPr>
          <w:p>
            <w:pPr>
              <w:spacing w:after="0"/>
              <w:rPr>
                <w:sz w:val="13"/>
                <w:szCs w:val="13"/>
                <w:color w:val="auto"/>
              </w:rPr>
            </w:pPr>
          </w:p>
        </w:tc>
        <w:tc>
          <w:tcPr>
            <w:tcW w:w="1780" w:type="dxa"/>
            <w:vAlign w:val="bottom"/>
            <w:gridSpan w:val="2"/>
          </w:tcPr>
          <w:p>
            <w:pPr>
              <w:jc w:val="right"/>
              <w:ind w:right="80"/>
              <w:spacing w:after="0"/>
              <w:rPr>
                <w:sz w:val="20"/>
                <w:szCs w:val="20"/>
                <w:color w:val="auto"/>
              </w:rPr>
            </w:pPr>
            <w:r>
              <w:rPr>
                <w:rFonts w:ascii="Arial" w:cs="Arial" w:eastAsia="Arial" w:hAnsi="Arial"/>
                <w:sz w:val="12"/>
                <w:szCs w:val="12"/>
                <w:color w:val="auto"/>
              </w:rPr>
              <w:t>(2,624)</w:t>
            </w: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(1,743)</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Amortization of discount on convertible preferred stock</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(2,980)</w:t>
            </w:r>
          </w:p>
        </w:tc>
        <w:tc>
          <w:tcPr>
            <w:tcW w:w="22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(2,980)</w:t>
            </w:r>
          </w:p>
        </w:tc>
        <w:tc>
          <w:tcPr>
            <w:tcW w:w="10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(1,985)</w:t>
            </w:r>
          </w:p>
        </w:tc>
        <w:tc>
          <w:tcPr>
            <w:tcW w:w="0" w:type="dxa"/>
            <w:vAlign w:val="bottom"/>
          </w:tcPr>
          <w:p>
            <w:pPr>
              <w:spacing w:after="0"/>
              <w:rPr>
                <w:sz w:val="1"/>
                <w:szCs w:val="1"/>
                <w:color w:val="auto"/>
              </w:rPr>
            </w:pPr>
          </w:p>
        </w:tc>
      </w:tr>
      <w:tr>
        <w:trPr>
          <w:trHeight w:val="20"/>
        </w:trPr>
        <w:tc>
          <w:tcPr>
            <w:tcW w:w="52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Net income (loss) attributable to common shareholders</w:t>
            </w:r>
          </w:p>
        </w:tc>
        <w:tc>
          <w:tcPr>
            <w:tcW w:w="4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5280" w:type="dxa"/>
            <w:vAlign w:val="bottom"/>
            <w:gridSpan w:val="3"/>
            <w:vMerge w:val="continue"/>
          </w:tcPr>
          <w:p>
            <w:pPr>
              <w:spacing w:after="0"/>
              <w:rPr>
                <w:sz w:val="12"/>
                <w:szCs w:val="12"/>
                <w:color w:val="auto"/>
              </w:rPr>
            </w:pPr>
          </w:p>
        </w:tc>
        <w:tc>
          <w:tcPr>
            <w:tcW w:w="440" w:type="dxa"/>
            <w:vAlign w:val="bottom"/>
          </w:tcPr>
          <w:p>
            <w:pPr>
              <w:jc w:val="right"/>
              <w:ind w:right="330"/>
              <w:spacing w:after="0"/>
              <w:rPr>
                <w:sz w:val="20"/>
                <w:szCs w:val="20"/>
                <w:color w:val="auto"/>
              </w:rPr>
            </w:pPr>
            <w:r>
              <w:rPr>
                <w:rFonts w:ascii="Arial" w:cs="Arial" w:eastAsia="Arial" w:hAnsi="Arial"/>
                <w:sz w:val="10"/>
                <w:szCs w:val="10"/>
                <w:color w:val="auto"/>
                <w:w w:val="71"/>
              </w:rPr>
              <w:t>$</w:t>
            </w:r>
          </w:p>
        </w:tc>
        <w:tc>
          <w:tcPr>
            <w:tcW w:w="1420" w:type="dxa"/>
            <w:vAlign w:val="bottom"/>
          </w:tcPr>
          <w:p>
            <w:pPr>
              <w:jc w:val="right"/>
              <w:spacing w:after="0"/>
              <w:rPr>
                <w:sz w:val="20"/>
                <w:szCs w:val="20"/>
                <w:color w:val="auto"/>
              </w:rPr>
            </w:pPr>
            <w:r>
              <w:rPr>
                <w:rFonts w:ascii="Arial" w:cs="Arial" w:eastAsia="Arial" w:hAnsi="Arial"/>
                <w:sz w:val="12"/>
                <w:szCs w:val="12"/>
                <w:color w:val="auto"/>
              </w:rPr>
              <w:t>7,989</w:t>
            </w:r>
          </w:p>
        </w:tc>
        <w:tc>
          <w:tcPr>
            <w:tcW w:w="240" w:type="dxa"/>
            <w:vAlign w:val="bottom"/>
          </w:tcPr>
          <w:p>
            <w:pPr>
              <w:spacing w:after="0"/>
              <w:rPr>
                <w:sz w:val="12"/>
                <w:szCs w:val="12"/>
                <w:color w:val="auto"/>
              </w:rPr>
            </w:pP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1780" w:type="dxa"/>
            <w:vAlign w:val="bottom"/>
            <w:gridSpan w:val="2"/>
          </w:tcPr>
          <w:p>
            <w:pPr>
              <w:jc w:val="right"/>
              <w:ind w:right="80"/>
              <w:spacing w:after="0"/>
              <w:rPr>
                <w:sz w:val="20"/>
                <w:szCs w:val="20"/>
                <w:color w:val="auto"/>
              </w:rPr>
            </w:pPr>
            <w:r>
              <w:rPr>
                <w:rFonts w:ascii="Arial" w:cs="Arial" w:eastAsia="Arial" w:hAnsi="Arial"/>
                <w:sz w:val="12"/>
                <w:szCs w:val="12"/>
                <w:color w:val="auto"/>
              </w:rPr>
              <w:t>(16,552)</w:t>
            </w:r>
          </w:p>
        </w:tc>
        <w:tc>
          <w:tcPr>
            <w:tcW w:w="560" w:type="dxa"/>
            <w:vAlign w:val="bottom"/>
            <w:gridSpan w:val="2"/>
          </w:tcPr>
          <w:p>
            <w:pPr>
              <w:jc w:val="right"/>
              <w:ind w:right="400"/>
              <w:spacing w:after="0"/>
              <w:rPr>
                <w:sz w:val="20"/>
                <w:szCs w:val="20"/>
                <w:color w:val="auto"/>
              </w:rPr>
            </w:pPr>
            <w:r>
              <w:rPr>
                <w:rFonts w:ascii="Arial" w:cs="Arial" w:eastAsia="Arial" w:hAnsi="Arial"/>
                <w:sz w:val="12"/>
                <w:szCs w:val="12"/>
                <w:color w:val="auto"/>
              </w:rPr>
              <w:t>$</w:t>
            </w: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(5,497)</w:t>
            </w: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512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spacing w:after="0"/>
              <w:rPr>
                <w:sz w:val="13"/>
                <w:szCs w:val="13"/>
                <w:color w:val="auto"/>
              </w:rPr>
            </w:pPr>
          </w:p>
        </w:tc>
        <w:tc>
          <w:tcPr>
            <w:tcW w:w="142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166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460" w:type="dxa"/>
            <w:vAlign w:val="bottom"/>
            <w:tcBorders>
              <w:top w:val="single" w:sz="8" w:color="auto"/>
            </w:tcBorders>
            <w:shd w:val="clear" w:color="auto" w:fill="CFF0FC"/>
          </w:tcPr>
          <w:p>
            <w:pPr>
              <w:spacing w:after="0"/>
              <w:rPr>
                <w:sz w:val="13"/>
                <w:szCs w:val="13"/>
                <w:color w:val="auto"/>
              </w:rPr>
            </w:pPr>
          </w:p>
        </w:tc>
        <w:tc>
          <w:tcPr>
            <w:tcW w:w="142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5260" w:type="dxa"/>
            <w:vAlign w:val="bottom"/>
            <w:gridSpan w:val="2"/>
          </w:tcPr>
          <w:p>
            <w:pPr>
              <w:spacing w:after="0"/>
              <w:rPr>
                <w:sz w:val="20"/>
                <w:szCs w:val="20"/>
                <w:color w:val="auto"/>
              </w:rPr>
            </w:pPr>
            <w:r>
              <w:rPr>
                <w:rFonts w:ascii="Arial" w:cs="Arial" w:eastAsia="Arial" w:hAnsi="Arial"/>
                <w:sz w:val="12"/>
                <w:szCs w:val="12"/>
                <w:b w:val="1"/>
                <w:bCs w:val="1"/>
                <w:color w:val="auto"/>
              </w:rPr>
              <w:t>Earnings (loss) per common share (Note 13):</w:t>
            </w:r>
          </w:p>
        </w:tc>
        <w:tc>
          <w:tcPr>
            <w:tcW w:w="4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26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Basic</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0.05</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jc w:val="right"/>
              <w:ind w:right="110"/>
              <w:spacing w:after="0"/>
              <w:rPr>
                <w:sz w:val="20"/>
                <w:szCs w:val="20"/>
                <w:color w:val="auto"/>
              </w:rPr>
            </w:pPr>
            <w:r>
              <w:rPr>
                <w:rFonts w:ascii="Arial" w:cs="Arial" w:eastAsia="Arial" w:hAnsi="Arial"/>
                <w:sz w:val="10"/>
                <w:szCs w:val="10"/>
                <w:color w:val="auto"/>
                <w:w w:val="71"/>
              </w:rPr>
              <w:t>$</w:t>
            </w:r>
          </w:p>
        </w:tc>
        <w:tc>
          <w:tcPr>
            <w:tcW w:w="17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(0.10)</w:t>
            </w:r>
          </w:p>
        </w:tc>
        <w:tc>
          <w:tcPr>
            <w:tcW w:w="560" w:type="dxa"/>
            <w:vAlign w:val="bottom"/>
            <w:gridSpan w:val="2"/>
            <w:shd w:val="clear" w:color="auto" w:fill="CFF0FC"/>
          </w:tcPr>
          <w:p>
            <w:pPr>
              <w:jc w:val="right"/>
              <w:ind w:right="400"/>
              <w:spacing w:after="0"/>
              <w:rPr>
                <w:sz w:val="20"/>
                <w:szCs w:val="20"/>
                <w:color w:val="auto"/>
              </w:rPr>
            </w:pPr>
            <w:r>
              <w:rPr>
                <w:rFonts w:ascii="Arial" w:cs="Arial" w:eastAsia="Arial" w:hAnsi="Arial"/>
                <w:sz w:val="12"/>
                <w:szCs w:val="12"/>
                <w:color w:val="auto"/>
              </w:rPr>
              <w:t>$</w:t>
            </w: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(0.04)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60" w:type="dxa"/>
            <w:vAlign w:val="bottom"/>
            <w:tcBorders>
              <w:top w:val="single" w:sz="8" w:color="CFF0FC"/>
            </w:tcBorders>
            <w:gridSpan w:val="2"/>
            <w:vMerge w:val="restart"/>
          </w:tcPr>
          <w:p>
            <w:pPr>
              <w:ind w:left="140"/>
              <w:spacing w:after="0"/>
              <w:rPr>
                <w:sz w:val="20"/>
                <w:szCs w:val="20"/>
                <w:color w:val="auto"/>
              </w:rPr>
            </w:pPr>
            <w:r>
              <w:rPr>
                <w:rFonts w:ascii="Arial" w:cs="Arial" w:eastAsia="Arial" w:hAnsi="Arial"/>
                <w:sz w:val="12"/>
                <w:szCs w:val="12"/>
                <w:color w:val="auto"/>
              </w:rPr>
              <w:t>Diluted</w:t>
            </w: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6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0" w:type="dxa"/>
            <w:vAlign w:val="bottom"/>
          </w:tcPr>
          <w:p>
            <w:pPr>
              <w:spacing w:after="0"/>
              <w:rPr>
                <w:sz w:val="12"/>
                <w:szCs w:val="12"/>
                <w:color w:val="auto"/>
              </w:rPr>
            </w:pPr>
          </w:p>
        </w:tc>
        <w:tc>
          <w:tcPr>
            <w:tcW w:w="5260" w:type="dxa"/>
            <w:vAlign w:val="bottom"/>
            <w:gridSpan w:val="2"/>
            <w:vMerge w:val="continue"/>
          </w:tcPr>
          <w:p>
            <w:pPr>
              <w:spacing w:after="0"/>
              <w:rPr>
                <w:sz w:val="12"/>
                <w:szCs w:val="12"/>
                <w:color w:val="auto"/>
              </w:rPr>
            </w:pPr>
          </w:p>
        </w:tc>
        <w:tc>
          <w:tcPr>
            <w:tcW w:w="440" w:type="dxa"/>
            <w:vAlign w:val="bottom"/>
          </w:tcPr>
          <w:p>
            <w:pPr>
              <w:jc w:val="right"/>
              <w:ind w:right="330"/>
              <w:spacing w:after="0"/>
              <w:rPr>
                <w:sz w:val="20"/>
                <w:szCs w:val="20"/>
                <w:color w:val="auto"/>
              </w:rPr>
            </w:pPr>
            <w:r>
              <w:rPr>
                <w:rFonts w:ascii="Arial" w:cs="Arial" w:eastAsia="Arial" w:hAnsi="Arial"/>
                <w:sz w:val="10"/>
                <w:szCs w:val="10"/>
                <w:color w:val="auto"/>
                <w:w w:val="71"/>
              </w:rPr>
              <w:t>$</w:t>
            </w:r>
          </w:p>
        </w:tc>
        <w:tc>
          <w:tcPr>
            <w:tcW w:w="1420" w:type="dxa"/>
            <w:vAlign w:val="bottom"/>
          </w:tcPr>
          <w:p>
            <w:pPr>
              <w:jc w:val="right"/>
              <w:spacing w:after="0"/>
              <w:rPr>
                <w:sz w:val="20"/>
                <w:szCs w:val="20"/>
                <w:color w:val="auto"/>
              </w:rPr>
            </w:pPr>
            <w:r>
              <w:rPr>
                <w:rFonts w:ascii="Arial" w:cs="Arial" w:eastAsia="Arial" w:hAnsi="Arial"/>
                <w:sz w:val="12"/>
                <w:szCs w:val="12"/>
                <w:color w:val="auto"/>
              </w:rPr>
              <w:t>0.04</w:t>
            </w:r>
          </w:p>
        </w:tc>
        <w:tc>
          <w:tcPr>
            <w:tcW w:w="240" w:type="dxa"/>
            <w:vAlign w:val="bottom"/>
          </w:tcPr>
          <w:p>
            <w:pPr>
              <w:spacing w:after="0"/>
              <w:rPr>
                <w:sz w:val="12"/>
                <w:szCs w:val="12"/>
                <w:color w:val="auto"/>
              </w:rPr>
            </w:pP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1780" w:type="dxa"/>
            <w:vAlign w:val="bottom"/>
            <w:gridSpan w:val="2"/>
          </w:tcPr>
          <w:p>
            <w:pPr>
              <w:jc w:val="right"/>
              <w:ind w:right="80"/>
              <w:spacing w:after="0"/>
              <w:rPr>
                <w:sz w:val="20"/>
                <w:szCs w:val="20"/>
                <w:color w:val="auto"/>
              </w:rPr>
            </w:pPr>
            <w:r>
              <w:rPr>
                <w:rFonts w:ascii="Arial" w:cs="Arial" w:eastAsia="Arial" w:hAnsi="Arial"/>
                <w:sz w:val="12"/>
                <w:szCs w:val="12"/>
                <w:color w:val="auto"/>
              </w:rPr>
              <w:t>(0.13)</w:t>
            </w:r>
          </w:p>
        </w:tc>
        <w:tc>
          <w:tcPr>
            <w:tcW w:w="560" w:type="dxa"/>
            <w:vAlign w:val="bottom"/>
            <w:gridSpan w:val="2"/>
          </w:tcPr>
          <w:p>
            <w:pPr>
              <w:jc w:val="right"/>
              <w:ind w:right="400"/>
              <w:spacing w:after="0"/>
              <w:rPr>
                <w:sz w:val="20"/>
                <w:szCs w:val="20"/>
                <w:color w:val="auto"/>
              </w:rPr>
            </w:pPr>
            <w:r>
              <w:rPr>
                <w:rFonts w:ascii="Arial" w:cs="Arial" w:eastAsia="Arial" w:hAnsi="Arial"/>
                <w:sz w:val="12"/>
                <w:szCs w:val="12"/>
                <w:color w:val="auto"/>
              </w:rPr>
              <w:t>$</w:t>
            </w: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(0.04)</w:t>
            </w: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512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spacing w:after="0"/>
              <w:rPr>
                <w:sz w:val="13"/>
                <w:szCs w:val="13"/>
                <w:color w:val="auto"/>
              </w:rPr>
            </w:pPr>
          </w:p>
        </w:tc>
        <w:tc>
          <w:tcPr>
            <w:tcW w:w="142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166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460" w:type="dxa"/>
            <w:vAlign w:val="bottom"/>
            <w:tcBorders>
              <w:top w:val="single" w:sz="8" w:color="auto"/>
            </w:tcBorders>
            <w:shd w:val="clear" w:color="auto" w:fill="CFF0FC"/>
          </w:tcPr>
          <w:p>
            <w:pPr>
              <w:spacing w:after="0"/>
              <w:rPr>
                <w:sz w:val="13"/>
                <w:szCs w:val="13"/>
                <w:color w:val="auto"/>
              </w:rPr>
            </w:pPr>
          </w:p>
        </w:tc>
        <w:tc>
          <w:tcPr>
            <w:tcW w:w="142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5260" w:type="dxa"/>
            <w:vAlign w:val="bottom"/>
            <w:gridSpan w:val="2"/>
          </w:tcPr>
          <w:p>
            <w:pPr>
              <w:spacing w:after="0"/>
              <w:rPr>
                <w:sz w:val="20"/>
                <w:szCs w:val="20"/>
                <w:color w:val="auto"/>
              </w:rPr>
            </w:pPr>
            <w:r>
              <w:rPr>
                <w:rFonts w:ascii="Arial" w:cs="Arial" w:eastAsia="Arial" w:hAnsi="Arial"/>
                <w:sz w:val="12"/>
                <w:szCs w:val="12"/>
                <w:b w:val="1"/>
                <w:bCs w:val="1"/>
                <w:color w:val="auto"/>
              </w:rPr>
              <w:t>Weighted-average number of common shares outstanding</w:t>
            </w:r>
          </w:p>
        </w:tc>
        <w:tc>
          <w:tcPr>
            <w:tcW w:w="4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5260" w:type="dxa"/>
            <w:vAlign w:val="bottom"/>
            <w:tcBorders>
              <w:bottom w:val="single" w:sz="8" w:color="CFF0FC"/>
            </w:tcBorders>
            <w:gridSpan w:val="2"/>
            <w:shd w:val="clear" w:color="auto" w:fill="CFF0FC"/>
          </w:tcPr>
          <w:p>
            <w:pPr>
              <w:ind w:left="140"/>
              <w:spacing w:after="0"/>
              <w:rPr>
                <w:sz w:val="20"/>
                <w:szCs w:val="20"/>
                <w:color w:val="auto"/>
              </w:rPr>
            </w:pPr>
            <w:r>
              <w:rPr>
                <w:rFonts w:ascii="Arial" w:cs="Arial" w:eastAsia="Arial" w:hAnsi="Arial"/>
                <w:sz w:val="12"/>
                <w:szCs w:val="12"/>
                <w:color w:val="auto"/>
              </w:rPr>
              <w:t>Basic</w:t>
            </w:r>
          </w:p>
        </w:tc>
        <w:tc>
          <w:tcPr>
            <w:tcW w:w="440" w:type="dxa"/>
            <w:vAlign w:val="bottom"/>
            <w:tcBorders>
              <w:bottom w:val="single" w:sz="8" w:color="auto"/>
            </w:tcBorders>
            <w:shd w:val="clear" w:color="auto" w:fill="CFF0FC"/>
          </w:tcPr>
          <w:p>
            <w:pPr>
              <w:spacing w:after="0"/>
              <w:rPr>
                <w:sz w:val="15"/>
                <w:szCs w:val="15"/>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176,169</w:t>
            </w:r>
          </w:p>
        </w:tc>
        <w:tc>
          <w:tcPr>
            <w:tcW w:w="240" w:type="dxa"/>
            <w:vAlign w:val="bottom"/>
            <w:tcBorders>
              <w:bottom w:val="single" w:sz="8" w:color="CFF0FC"/>
            </w:tcBorders>
            <w:shd w:val="clear" w:color="auto" w:fill="CFF0FC"/>
          </w:tcPr>
          <w:p>
            <w:pPr>
              <w:spacing w:after="0"/>
              <w:rPr>
                <w:sz w:val="15"/>
                <w:szCs w:val="15"/>
                <w:color w:val="auto"/>
              </w:rPr>
            </w:pPr>
          </w:p>
        </w:tc>
        <w:tc>
          <w:tcPr>
            <w:tcW w:w="220" w:type="dxa"/>
            <w:vAlign w:val="bottom"/>
            <w:tcBorders>
              <w:bottom w:val="single" w:sz="8" w:color="auto"/>
            </w:tcBorders>
            <w:shd w:val="clear" w:color="auto" w:fill="CFF0FC"/>
          </w:tcPr>
          <w:p>
            <w:pPr>
              <w:spacing w:after="0"/>
              <w:rPr>
                <w:sz w:val="15"/>
                <w:szCs w:val="15"/>
                <w:color w:val="auto"/>
              </w:rPr>
            </w:pP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168,693</w:t>
            </w:r>
          </w:p>
        </w:tc>
        <w:tc>
          <w:tcPr>
            <w:tcW w:w="120" w:type="dxa"/>
            <w:vAlign w:val="bottom"/>
            <w:tcBorders>
              <w:bottom w:val="single" w:sz="8" w:color="CFF0FC"/>
            </w:tcBorders>
            <w:shd w:val="clear" w:color="auto" w:fill="CFF0FC"/>
          </w:tcPr>
          <w:p>
            <w:pPr>
              <w:spacing w:after="0"/>
              <w:rPr>
                <w:sz w:val="15"/>
                <w:szCs w:val="15"/>
                <w:color w:val="auto"/>
              </w:rPr>
            </w:pPr>
          </w:p>
        </w:tc>
        <w:tc>
          <w:tcPr>
            <w:tcW w:w="100" w:type="dxa"/>
            <w:vAlign w:val="bottom"/>
            <w:tcBorders>
              <w:bottom w:val="single" w:sz="8" w:color="CFF0FC"/>
            </w:tcBorders>
            <w:shd w:val="clear" w:color="auto" w:fill="CFF0FC"/>
          </w:tcPr>
          <w:p>
            <w:pPr>
              <w:spacing w:after="0"/>
              <w:rPr>
                <w:sz w:val="15"/>
                <w:szCs w:val="15"/>
                <w:color w:val="auto"/>
              </w:rPr>
            </w:pPr>
          </w:p>
        </w:tc>
        <w:tc>
          <w:tcPr>
            <w:tcW w:w="460" w:type="dxa"/>
            <w:vAlign w:val="bottom"/>
            <w:tcBorders>
              <w:bottom w:val="single" w:sz="8" w:color="auto"/>
            </w:tcBorders>
            <w:shd w:val="clear" w:color="auto" w:fill="CFF0FC"/>
          </w:tcPr>
          <w:p>
            <w:pPr>
              <w:spacing w:after="0"/>
              <w:rPr>
                <w:sz w:val="15"/>
                <w:szCs w:val="15"/>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152,473</w:t>
            </w:r>
          </w:p>
        </w:tc>
        <w:tc>
          <w:tcPr>
            <w:tcW w:w="120" w:type="dxa"/>
            <w:vAlign w:val="bottom"/>
            <w:tcBorders>
              <w:bottom w:val="single" w:sz="8" w:color="CFF0FC"/>
            </w:tcBorders>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5260" w:type="dxa"/>
            <w:vAlign w:val="bottom"/>
            <w:gridSpan w:val="2"/>
          </w:tcPr>
          <w:p>
            <w:pPr>
              <w:ind w:left="140"/>
              <w:spacing w:after="0"/>
              <w:rPr>
                <w:sz w:val="20"/>
                <w:szCs w:val="20"/>
                <w:color w:val="auto"/>
              </w:rPr>
            </w:pPr>
            <w:r>
              <w:rPr>
                <w:rFonts w:ascii="Arial" w:cs="Arial" w:eastAsia="Arial" w:hAnsi="Arial"/>
                <w:sz w:val="12"/>
                <w:szCs w:val="12"/>
                <w:color w:val="auto"/>
              </w:rPr>
              <w:t>Diluted</w:t>
            </w:r>
          </w:p>
        </w:tc>
        <w:tc>
          <w:tcPr>
            <w:tcW w:w="44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177,071</w:t>
            </w:r>
          </w:p>
        </w:tc>
        <w:tc>
          <w:tcPr>
            <w:tcW w:w="24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168,989</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152,473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The accompanying notes are an integral part of these consolidated financial statements.</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59" w:name="page60"/>
    <w:bookmarkEnd w:id="5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Consolidated Statements of Comprehensive Income (Loss)</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154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020" w:type="dxa"/>
            <w:vAlign w:val="bottom"/>
            <w:tcBorders>
              <w:bottom w:val="single" w:sz="8" w:color="auto"/>
            </w:tcBorders>
            <w:gridSpan w:val="2"/>
          </w:tcPr>
          <w:p>
            <w:pPr>
              <w:jc w:val="right"/>
              <w:ind w:right="740"/>
              <w:spacing w:after="0"/>
              <w:rPr>
                <w:sz w:val="20"/>
                <w:szCs w:val="20"/>
                <w:color w:val="auto"/>
              </w:rPr>
            </w:pPr>
            <w:r>
              <w:rPr>
                <w:rFonts w:ascii="Arial" w:cs="Arial" w:eastAsia="Arial" w:hAnsi="Arial"/>
                <w:sz w:val="10"/>
                <w:szCs w:val="10"/>
                <w:b w:val="1"/>
                <w:bCs w:val="1"/>
                <w:color w:val="auto"/>
              </w:rPr>
              <w:t>Year Ended December 31,</w:t>
            </w:r>
          </w:p>
        </w:tc>
        <w:tc>
          <w:tcPr>
            <w:tcW w:w="480" w:type="dxa"/>
            <w:vAlign w:val="bottom"/>
            <w:tcBorders>
              <w:bottom w:val="single" w:sz="8" w:color="auto"/>
            </w:tcBorders>
          </w:tcPr>
          <w:p>
            <w:pPr>
              <w:spacing w:after="0"/>
              <w:rPr>
                <w:sz w:val="10"/>
                <w:szCs w:val="10"/>
                <w:color w:val="auto"/>
              </w:rPr>
            </w:pPr>
          </w:p>
        </w:tc>
        <w:tc>
          <w:tcPr>
            <w:tcW w:w="154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462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60" w:type="dxa"/>
            <w:vAlign w:val="bottom"/>
            <w:tcBorders>
              <w:bottom w:val="single" w:sz="8" w:color="CFF0FC"/>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540" w:type="dxa"/>
            <w:vAlign w:val="bottom"/>
            <w:tcBorders>
              <w:bottom w:val="single" w:sz="8" w:color="auto"/>
            </w:tcBorders>
          </w:tcPr>
          <w:p>
            <w:pPr>
              <w:jc w:val="right"/>
              <w:ind w:right="861"/>
              <w:spacing w:after="0"/>
              <w:rPr>
                <w:sz w:val="20"/>
                <w:szCs w:val="20"/>
                <w:color w:val="auto"/>
              </w:rPr>
            </w:pPr>
            <w:r>
              <w:rPr>
                <w:rFonts w:ascii="Arial" w:cs="Arial" w:eastAsia="Arial" w:hAnsi="Arial"/>
                <w:sz w:val="10"/>
                <w:szCs w:val="10"/>
                <w:b w:val="1"/>
                <w:bCs w:val="1"/>
                <w:color w:val="auto"/>
              </w:rPr>
              <w:t>2018</w:t>
            </w:r>
          </w:p>
        </w:tc>
        <w:tc>
          <w:tcPr>
            <w:tcW w:w="260" w:type="dxa"/>
            <w:vAlign w:val="bottom"/>
            <w:tcBorders>
              <w:bottom w:val="single" w:sz="8" w:color="CFF0FC"/>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760" w:type="dxa"/>
            <w:vAlign w:val="bottom"/>
            <w:tcBorders>
              <w:bottom w:val="single" w:sz="8" w:color="auto"/>
            </w:tcBorders>
          </w:tcPr>
          <w:p>
            <w:pPr>
              <w:jc w:val="right"/>
              <w:ind w:right="863"/>
              <w:spacing w:after="0"/>
              <w:rPr>
                <w:sz w:val="20"/>
                <w:szCs w:val="20"/>
                <w:color w:val="auto"/>
              </w:rPr>
            </w:pPr>
            <w:r>
              <w:rPr>
                <w:rFonts w:ascii="Arial" w:cs="Arial" w:eastAsia="Arial" w:hAnsi="Arial"/>
                <w:sz w:val="10"/>
                <w:szCs w:val="10"/>
                <w:b w:val="1"/>
                <w:bCs w:val="1"/>
                <w:color w:val="auto"/>
              </w:rPr>
              <w:t>2017</w:t>
            </w:r>
          </w:p>
        </w:tc>
        <w:tc>
          <w:tcPr>
            <w:tcW w:w="260" w:type="dxa"/>
            <w:vAlign w:val="bottom"/>
            <w:tcBorders>
              <w:bottom w:val="single" w:sz="8" w:color="CFF0FC"/>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540" w:type="dxa"/>
            <w:vAlign w:val="bottom"/>
            <w:tcBorders>
              <w:bottom w:val="single" w:sz="8" w:color="auto"/>
            </w:tcBorders>
          </w:tcPr>
          <w:p>
            <w:pPr>
              <w:jc w:val="right"/>
              <w:ind w:right="861"/>
              <w:spacing w:after="0"/>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Net income (loss)</w:t>
            </w:r>
          </w:p>
        </w:tc>
        <w:tc>
          <w:tcPr>
            <w:tcW w:w="480" w:type="dxa"/>
            <w:vAlign w:val="bottom"/>
            <w:shd w:val="clear" w:color="auto" w:fill="CFF0FC"/>
          </w:tcPr>
          <w:p>
            <w:pPr>
              <w:jc w:val="right"/>
              <w:ind w:right="370"/>
              <w:spacing w:after="0"/>
              <w:rPr>
                <w:sz w:val="20"/>
                <w:szCs w:val="20"/>
                <w:color w:val="auto"/>
              </w:rPr>
            </w:pPr>
            <w:r>
              <w:rPr>
                <w:rFonts w:ascii="Arial" w:cs="Arial" w:eastAsia="Arial" w:hAnsi="Arial"/>
                <w:sz w:val="10"/>
                <w:szCs w:val="10"/>
                <w:color w:val="auto"/>
                <w:w w:val="71"/>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16,545</w:t>
            </w:r>
          </w:p>
        </w:tc>
        <w:tc>
          <w:tcPr>
            <w:tcW w:w="260" w:type="dxa"/>
            <w:vAlign w:val="bottom"/>
            <w:shd w:val="clear" w:color="auto" w:fill="CFF0FC"/>
          </w:tcPr>
          <w:p>
            <w:pPr>
              <w:spacing w:after="0"/>
              <w:rPr>
                <w:sz w:val="12"/>
                <w:szCs w:val="12"/>
                <w:color w:val="auto"/>
              </w:rPr>
            </w:pP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202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(8,828)</w:t>
            </w:r>
          </w:p>
        </w:tc>
        <w:tc>
          <w:tcPr>
            <w:tcW w:w="480" w:type="dxa"/>
            <w:vAlign w:val="bottom"/>
            <w:shd w:val="clear" w:color="auto" w:fill="CFF0FC"/>
          </w:tcPr>
          <w:p>
            <w:pPr>
              <w:jc w:val="right"/>
              <w:ind w:right="370"/>
              <w:spacing w:after="0"/>
              <w:rPr>
                <w:sz w:val="20"/>
                <w:szCs w:val="20"/>
                <w:color w:val="auto"/>
              </w:rPr>
            </w:pPr>
            <w:r>
              <w:rPr>
                <w:rFonts w:ascii="Arial" w:cs="Arial" w:eastAsia="Arial" w:hAnsi="Arial"/>
                <w:sz w:val="10"/>
                <w:szCs w:val="10"/>
                <w:color w:val="auto"/>
                <w:w w:val="71"/>
              </w:rPr>
              <w:t>$</w:t>
            </w:r>
          </w:p>
        </w:tc>
        <w:tc>
          <w:tcPr>
            <w:tcW w:w="16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4780" w:type="dxa"/>
            <w:vAlign w:val="bottom"/>
            <w:gridSpan w:val="2"/>
          </w:tcPr>
          <w:p>
            <w:pPr>
              <w:spacing w:after="0"/>
              <w:rPr>
                <w:sz w:val="20"/>
                <w:szCs w:val="20"/>
                <w:color w:val="auto"/>
              </w:rPr>
            </w:pPr>
            <w:r>
              <w:rPr>
                <w:rFonts w:ascii="Arial" w:cs="Arial" w:eastAsia="Arial" w:hAnsi="Arial"/>
                <w:sz w:val="12"/>
                <w:szCs w:val="12"/>
                <w:color w:val="auto"/>
              </w:rPr>
              <w:t>Other comprehensive income (loss):</w:t>
            </w:r>
          </w:p>
        </w:tc>
        <w:tc>
          <w:tcPr>
            <w:tcW w:w="48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Unrealized gain (loss) on derivative contracts</w:t>
            </w:r>
          </w:p>
        </w:tc>
        <w:tc>
          <w:tcPr>
            <w:tcW w:w="480" w:type="dxa"/>
            <w:vAlign w:val="bottom"/>
            <w:shd w:val="clear" w:color="auto" w:fill="CFF0FC"/>
          </w:tcPr>
          <w:p>
            <w:pPr>
              <w:spacing w:after="0"/>
              <w:rPr>
                <w:sz w:val="13"/>
                <w:szCs w:val="13"/>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24,251</w:t>
            </w:r>
          </w:p>
        </w:tc>
        <w:tc>
          <w:tcPr>
            <w:tcW w:w="2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12,895</w:t>
            </w:r>
          </w:p>
        </w:tc>
        <w:tc>
          <w:tcPr>
            <w:tcW w:w="260" w:type="dxa"/>
            <w:vAlign w:val="bottom"/>
            <w:shd w:val="clear" w:color="auto" w:fill="CFF0FC"/>
          </w:tcPr>
          <w:p>
            <w:pPr>
              <w:spacing w:after="0"/>
              <w:rPr>
                <w:sz w:val="13"/>
                <w:szCs w:val="13"/>
                <w:color w:val="auto"/>
              </w:rPr>
            </w:pPr>
          </w:p>
        </w:tc>
        <w:tc>
          <w:tcPr>
            <w:tcW w:w="48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(675)</w:t>
            </w:r>
          </w:p>
        </w:tc>
        <w:tc>
          <w:tcPr>
            <w:tcW w:w="0" w:type="dxa"/>
            <w:vAlign w:val="bottom"/>
          </w:tcPr>
          <w:p>
            <w:pPr>
              <w:spacing w:after="0"/>
              <w:rPr>
                <w:sz w:val="1"/>
                <w:szCs w:val="1"/>
                <w:color w:val="auto"/>
              </w:rPr>
            </w:pPr>
          </w:p>
        </w:tc>
      </w:tr>
      <w:tr>
        <w:trPr>
          <w:trHeight w:val="153"/>
        </w:trPr>
        <w:tc>
          <w:tcPr>
            <w:tcW w:w="4780" w:type="dxa"/>
            <w:vAlign w:val="bottom"/>
            <w:gridSpan w:val="2"/>
          </w:tcPr>
          <w:p>
            <w:pPr>
              <w:ind w:left="160"/>
              <w:spacing w:after="0"/>
              <w:rPr>
                <w:sz w:val="20"/>
                <w:szCs w:val="20"/>
                <w:color w:val="auto"/>
              </w:rPr>
            </w:pPr>
            <w:r>
              <w:rPr>
                <w:rFonts w:ascii="Arial" w:cs="Arial" w:eastAsia="Arial" w:hAnsi="Arial"/>
                <w:sz w:val="12"/>
                <w:szCs w:val="12"/>
                <w:color w:val="auto"/>
              </w:rPr>
              <w:t>Changes in foreign currency translation</w:t>
            </w:r>
          </w:p>
        </w:tc>
        <w:tc>
          <w:tcPr>
            <w:tcW w:w="480" w:type="dxa"/>
            <w:vAlign w:val="bottom"/>
          </w:tcPr>
          <w:p>
            <w:pPr>
              <w:spacing w:after="0"/>
              <w:rPr>
                <w:sz w:val="13"/>
                <w:szCs w:val="13"/>
                <w:color w:val="auto"/>
              </w:rPr>
            </w:pPr>
          </w:p>
        </w:tc>
        <w:tc>
          <w:tcPr>
            <w:tcW w:w="1800" w:type="dxa"/>
            <w:vAlign w:val="bottom"/>
            <w:gridSpan w:val="2"/>
          </w:tcPr>
          <w:p>
            <w:pPr>
              <w:jc w:val="right"/>
              <w:ind w:right="220"/>
              <w:spacing w:after="0"/>
              <w:rPr>
                <w:sz w:val="20"/>
                <w:szCs w:val="20"/>
                <w:color w:val="auto"/>
              </w:rPr>
            </w:pPr>
            <w:r>
              <w:rPr>
                <w:rFonts w:ascii="Arial" w:cs="Arial" w:eastAsia="Arial" w:hAnsi="Arial"/>
                <w:sz w:val="12"/>
                <w:szCs w:val="12"/>
                <w:color w:val="auto"/>
              </w:rPr>
              <w:t>(1,440)</w:t>
            </w:r>
          </w:p>
        </w:tc>
        <w:tc>
          <w:tcPr>
            <w:tcW w:w="260" w:type="dxa"/>
            <w:vAlign w:val="bottom"/>
          </w:tcPr>
          <w:p>
            <w:pPr>
              <w:spacing w:after="0"/>
              <w:rPr>
                <w:sz w:val="13"/>
                <w:szCs w:val="13"/>
                <w:color w:val="auto"/>
              </w:rPr>
            </w:pPr>
          </w:p>
        </w:tc>
        <w:tc>
          <w:tcPr>
            <w:tcW w:w="1760" w:type="dxa"/>
            <w:vAlign w:val="bottom"/>
          </w:tcPr>
          <w:p>
            <w:pPr>
              <w:jc w:val="right"/>
              <w:spacing w:after="0"/>
              <w:rPr>
                <w:sz w:val="20"/>
                <w:szCs w:val="20"/>
                <w:color w:val="auto"/>
              </w:rPr>
            </w:pPr>
            <w:r>
              <w:rPr>
                <w:rFonts w:ascii="Arial" w:cs="Arial" w:eastAsia="Arial" w:hAnsi="Arial"/>
                <w:sz w:val="12"/>
                <w:szCs w:val="12"/>
                <w:color w:val="auto"/>
              </w:rPr>
              <w:t>1,660</w:t>
            </w:r>
          </w:p>
        </w:tc>
        <w:tc>
          <w:tcPr>
            <w:tcW w:w="2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60" w:type="dxa"/>
            <w:vAlign w:val="bottom"/>
            <w:gridSpan w:val="2"/>
          </w:tcPr>
          <w:p>
            <w:pPr>
              <w:jc w:val="right"/>
              <w:ind w:right="80"/>
              <w:spacing w:after="0"/>
              <w:rPr>
                <w:sz w:val="20"/>
                <w:szCs w:val="20"/>
                <w:color w:val="auto"/>
              </w:rPr>
            </w:pPr>
            <w:r>
              <w:rPr>
                <w:rFonts w:ascii="Arial" w:cs="Arial" w:eastAsia="Arial" w:hAnsi="Arial"/>
                <w:sz w:val="12"/>
                <w:szCs w:val="12"/>
                <w:color w:val="auto"/>
              </w:rPr>
              <w:t>(267)</w:t>
            </w:r>
          </w:p>
        </w:tc>
        <w:tc>
          <w:tcPr>
            <w:tcW w:w="0" w:type="dxa"/>
            <w:vAlign w:val="bottom"/>
          </w:tcPr>
          <w:p>
            <w:pPr>
              <w:spacing w:after="0"/>
              <w:rPr>
                <w:sz w:val="1"/>
                <w:szCs w:val="1"/>
                <w:color w:val="auto"/>
              </w:rPr>
            </w:pPr>
          </w:p>
        </w:tc>
      </w:tr>
      <w:tr>
        <w:trPr>
          <w:trHeight w:val="20"/>
        </w:trPr>
        <w:tc>
          <w:tcPr>
            <w:tcW w:w="4780" w:type="dxa"/>
            <w:vAlign w:val="bottom"/>
            <w:gridSpan w:val="2"/>
            <w:vMerge w:val="restart"/>
            <w:shd w:val="clear" w:color="auto" w:fill="CFF0FC"/>
          </w:tcPr>
          <w:p>
            <w:pPr>
              <w:spacing w:after="0"/>
              <w:rPr>
                <w:sz w:val="20"/>
                <w:szCs w:val="20"/>
                <w:color w:val="auto"/>
              </w:rPr>
            </w:pPr>
            <w:r>
              <w:rPr>
                <w:rFonts w:ascii="Arial" w:cs="Arial" w:eastAsia="Arial" w:hAnsi="Arial"/>
                <w:sz w:val="12"/>
                <w:szCs w:val="12"/>
                <w:color w:val="auto"/>
              </w:rPr>
              <w:t>Other comprehensive income (loss)</w:t>
            </w:r>
          </w:p>
        </w:tc>
        <w:tc>
          <w:tcPr>
            <w:tcW w:w="48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7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780" w:type="dxa"/>
            <w:vAlign w:val="bottom"/>
            <w:gridSpan w:val="2"/>
            <w:vMerge w:val="continue"/>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22,811</w:t>
            </w:r>
          </w:p>
        </w:tc>
        <w:tc>
          <w:tcPr>
            <w:tcW w:w="26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14,555</w:t>
            </w:r>
          </w:p>
        </w:tc>
        <w:tc>
          <w:tcPr>
            <w:tcW w:w="26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(942)</w:t>
            </w:r>
          </w:p>
        </w:tc>
        <w:tc>
          <w:tcPr>
            <w:tcW w:w="0" w:type="dxa"/>
            <w:vAlign w:val="bottom"/>
          </w:tcPr>
          <w:p>
            <w:pPr>
              <w:spacing w:after="0"/>
              <w:rPr>
                <w:sz w:val="1"/>
                <w:szCs w:val="1"/>
                <w:color w:val="auto"/>
              </w:rPr>
            </w:pPr>
          </w:p>
        </w:tc>
      </w:tr>
      <w:tr>
        <w:trPr>
          <w:trHeight w:val="20"/>
        </w:trPr>
        <w:tc>
          <w:tcPr>
            <w:tcW w:w="4780" w:type="dxa"/>
            <w:vAlign w:val="bottom"/>
            <w:gridSpan w:val="2"/>
            <w:vMerge w:val="restart"/>
          </w:tcPr>
          <w:p>
            <w:pPr>
              <w:spacing w:after="0"/>
              <w:rPr>
                <w:sz w:val="20"/>
                <w:szCs w:val="20"/>
                <w:color w:val="auto"/>
              </w:rPr>
            </w:pPr>
            <w:r>
              <w:rPr>
                <w:rFonts w:ascii="Arial" w:cs="Arial" w:eastAsia="Arial" w:hAnsi="Arial"/>
                <w:sz w:val="12"/>
                <w:szCs w:val="12"/>
                <w:color w:val="auto"/>
              </w:rPr>
              <w:t>Comprehensive income (loss)</w:t>
            </w:r>
          </w:p>
        </w:tc>
        <w:tc>
          <w:tcPr>
            <w:tcW w:w="48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7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780" w:type="dxa"/>
            <w:vAlign w:val="bottom"/>
            <w:gridSpan w:val="2"/>
            <w:vMerge w:val="continue"/>
          </w:tcPr>
          <w:p>
            <w:pPr>
              <w:spacing w:after="0"/>
              <w:rPr>
                <w:sz w:val="12"/>
                <w:szCs w:val="12"/>
                <w:color w:val="auto"/>
              </w:rPr>
            </w:pPr>
          </w:p>
        </w:tc>
        <w:tc>
          <w:tcPr>
            <w:tcW w:w="480" w:type="dxa"/>
            <w:vAlign w:val="bottom"/>
          </w:tcPr>
          <w:p>
            <w:pPr>
              <w:spacing w:after="0"/>
              <w:rPr>
                <w:sz w:val="12"/>
                <w:szCs w:val="12"/>
                <w:color w:val="auto"/>
              </w:rPr>
            </w:pPr>
          </w:p>
        </w:tc>
        <w:tc>
          <w:tcPr>
            <w:tcW w:w="1540" w:type="dxa"/>
            <w:vAlign w:val="bottom"/>
          </w:tcPr>
          <w:p>
            <w:pPr>
              <w:jc w:val="right"/>
              <w:spacing w:after="0"/>
              <w:rPr>
                <w:sz w:val="20"/>
                <w:szCs w:val="20"/>
                <w:color w:val="auto"/>
              </w:rPr>
            </w:pPr>
            <w:r>
              <w:rPr>
                <w:rFonts w:ascii="Arial" w:cs="Arial" w:eastAsia="Arial" w:hAnsi="Arial"/>
                <w:sz w:val="12"/>
                <w:szCs w:val="12"/>
                <w:color w:val="auto"/>
              </w:rPr>
              <w:t>39,356</w:t>
            </w: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760" w:type="dxa"/>
            <w:vAlign w:val="bottom"/>
          </w:tcPr>
          <w:p>
            <w:pPr>
              <w:jc w:val="right"/>
              <w:spacing w:after="0"/>
              <w:rPr>
                <w:sz w:val="20"/>
                <w:szCs w:val="20"/>
                <w:color w:val="auto"/>
              </w:rPr>
            </w:pPr>
            <w:r>
              <w:rPr>
                <w:rFonts w:ascii="Arial" w:cs="Arial" w:eastAsia="Arial" w:hAnsi="Arial"/>
                <w:sz w:val="12"/>
                <w:szCs w:val="12"/>
                <w:color w:val="auto"/>
              </w:rPr>
              <w:t>5,727</w:t>
            </w:r>
          </w:p>
        </w:tc>
        <w:tc>
          <w:tcPr>
            <w:tcW w:w="2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60" w:type="dxa"/>
            <w:vAlign w:val="bottom"/>
            <w:gridSpan w:val="2"/>
          </w:tcPr>
          <w:p>
            <w:pPr>
              <w:jc w:val="right"/>
              <w:ind w:right="80"/>
              <w:spacing w:after="0"/>
              <w:rPr>
                <w:sz w:val="20"/>
                <w:szCs w:val="20"/>
                <w:color w:val="auto"/>
              </w:rPr>
            </w:pPr>
            <w:r>
              <w:rPr>
                <w:rFonts w:ascii="Arial" w:cs="Arial" w:eastAsia="Arial" w:hAnsi="Arial"/>
                <w:sz w:val="12"/>
                <w:szCs w:val="12"/>
                <w:color w:val="auto"/>
              </w:rPr>
              <w:t>(1,154)</w:t>
            </w:r>
          </w:p>
        </w:tc>
        <w:tc>
          <w:tcPr>
            <w:tcW w:w="0" w:type="dxa"/>
            <w:vAlign w:val="bottom"/>
          </w:tcPr>
          <w:p>
            <w:pPr>
              <w:spacing w:after="0"/>
              <w:rPr>
                <w:sz w:val="1"/>
                <w:szCs w:val="1"/>
                <w:color w:val="auto"/>
              </w:rPr>
            </w:pPr>
          </w:p>
        </w:tc>
      </w:tr>
      <w:tr>
        <w:trPr>
          <w:trHeight w:val="153"/>
        </w:trPr>
        <w:tc>
          <w:tcPr>
            <w:tcW w:w="47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Comprehensive income attributable to noncontrolling interest</w:t>
            </w:r>
          </w:p>
        </w:tc>
        <w:tc>
          <w:tcPr>
            <w:tcW w:w="480" w:type="dxa"/>
            <w:vAlign w:val="bottom"/>
            <w:tcBorders>
              <w:bottom w:val="single" w:sz="8" w:color="auto"/>
            </w:tcBorders>
            <w:shd w:val="clear" w:color="auto" w:fill="CFF0FC"/>
          </w:tcPr>
          <w:p>
            <w:pPr>
              <w:spacing w:after="0"/>
              <w:rPr>
                <w:sz w:val="13"/>
                <w:szCs w:val="13"/>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884</w:t>
            </w:r>
          </w:p>
        </w:tc>
        <w:tc>
          <w:tcPr>
            <w:tcW w:w="260" w:type="dxa"/>
            <w:vAlign w:val="bottom"/>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1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976</w:t>
            </w:r>
          </w:p>
        </w:tc>
        <w:tc>
          <w:tcPr>
            <w:tcW w:w="260" w:type="dxa"/>
            <w:vAlign w:val="bottom"/>
            <w:shd w:val="clear" w:color="auto" w:fill="CFF0FC"/>
          </w:tcPr>
          <w:p>
            <w:pPr>
              <w:spacing w:after="0"/>
              <w:rPr>
                <w:sz w:val="13"/>
                <w:szCs w:val="13"/>
                <w:color w:val="auto"/>
              </w:rPr>
            </w:pPr>
          </w:p>
        </w:tc>
        <w:tc>
          <w:tcPr>
            <w:tcW w:w="480" w:type="dxa"/>
            <w:vAlign w:val="bottom"/>
            <w:tcBorders>
              <w:bottom w:val="single" w:sz="8" w:color="auto"/>
            </w:tcBorders>
            <w:shd w:val="clear" w:color="auto" w:fill="CFF0FC"/>
          </w:tcPr>
          <w:p>
            <w:pPr>
              <w:spacing w:after="0"/>
              <w:rPr>
                <w:sz w:val="13"/>
                <w:szCs w:val="13"/>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4780" w:type="dxa"/>
            <w:vAlign w:val="bottom"/>
            <w:gridSpan w:val="2"/>
          </w:tcPr>
          <w:p>
            <w:pPr>
              <w:spacing w:after="0"/>
              <w:rPr>
                <w:sz w:val="20"/>
                <w:szCs w:val="20"/>
                <w:color w:val="auto"/>
              </w:rPr>
            </w:pPr>
            <w:r>
              <w:rPr>
                <w:rFonts w:ascii="Arial" w:cs="Arial" w:eastAsia="Arial" w:hAnsi="Arial"/>
                <w:sz w:val="12"/>
                <w:szCs w:val="12"/>
                <w:b w:val="1"/>
                <w:bCs w:val="1"/>
                <w:color w:val="auto"/>
              </w:rPr>
              <w:t>Comprehensive income (loss) attributable to common shareholders</w:t>
            </w:r>
          </w:p>
        </w:tc>
        <w:tc>
          <w:tcPr>
            <w:tcW w:w="480" w:type="dxa"/>
            <w:vAlign w:val="bottom"/>
          </w:tcPr>
          <w:p>
            <w:pPr>
              <w:jc w:val="right"/>
              <w:ind w:right="370"/>
              <w:spacing w:after="0"/>
              <w:rPr>
                <w:sz w:val="20"/>
                <w:szCs w:val="20"/>
                <w:color w:val="auto"/>
              </w:rPr>
            </w:pPr>
            <w:r>
              <w:rPr>
                <w:rFonts w:ascii="Arial" w:cs="Arial" w:eastAsia="Arial" w:hAnsi="Arial"/>
                <w:sz w:val="10"/>
                <w:szCs w:val="10"/>
                <w:color w:val="auto"/>
                <w:w w:val="71"/>
              </w:rPr>
              <w:t>$</w:t>
            </w:r>
          </w:p>
        </w:tc>
        <w:tc>
          <w:tcPr>
            <w:tcW w:w="1540" w:type="dxa"/>
            <w:vAlign w:val="bottom"/>
          </w:tcPr>
          <w:p>
            <w:pPr>
              <w:jc w:val="right"/>
              <w:spacing w:after="0"/>
              <w:rPr>
                <w:sz w:val="20"/>
                <w:szCs w:val="20"/>
                <w:color w:val="auto"/>
              </w:rPr>
            </w:pPr>
            <w:r>
              <w:rPr>
                <w:rFonts w:ascii="Arial" w:cs="Arial" w:eastAsia="Arial" w:hAnsi="Arial"/>
                <w:sz w:val="12"/>
                <w:szCs w:val="12"/>
                <w:color w:val="auto"/>
              </w:rPr>
              <w:t>38,472</w:t>
            </w:r>
          </w:p>
        </w:tc>
        <w:tc>
          <w:tcPr>
            <w:tcW w:w="260" w:type="dxa"/>
            <w:vAlign w:val="bottom"/>
          </w:tcPr>
          <w:p>
            <w:pPr>
              <w:spacing w:after="0"/>
              <w:rPr>
                <w:sz w:val="12"/>
                <w:szCs w:val="12"/>
                <w:color w:val="auto"/>
              </w:rPr>
            </w:pP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760" w:type="dxa"/>
            <w:vAlign w:val="bottom"/>
          </w:tcPr>
          <w:p>
            <w:pPr>
              <w:jc w:val="right"/>
              <w:spacing w:after="0"/>
              <w:rPr>
                <w:sz w:val="20"/>
                <w:szCs w:val="20"/>
                <w:color w:val="auto"/>
              </w:rPr>
            </w:pPr>
            <w:r>
              <w:rPr>
                <w:rFonts w:ascii="Arial" w:cs="Arial" w:eastAsia="Arial" w:hAnsi="Arial"/>
                <w:sz w:val="12"/>
                <w:szCs w:val="12"/>
                <w:color w:val="auto"/>
              </w:rPr>
              <w:t>4,751</w:t>
            </w:r>
          </w:p>
        </w:tc>
        <w:tc>
          <w:tcPr>
            <w:tcW w:w="260" w:type="dxa"/>
            <w:vAlign w:val="bottom"/>
          </w:tcPr>
          <w:p>
            <w:pPr>
              <w:spacing w:after="0"/>
              <w:rPr>
                <w:sz w:val="12"/>
                <w:szCs w:val="12"/>
                <w:color w:val="auto"/>
              </w:rPr>
            </w:pPr>
          </w:p>
        </w:tc>
        <w:tc>
          <w:tcPr>
            <w:tcW w:w="480" w:type="dxa"/>
            <w:vAlign w:val="bottom"/>
          </w:tcPr>
          <w:p>
            <w:pPr>
              <w:jc w:val="right"/>
              <w:ind w:right="370"/>
              <w:spacing w:after="0"/>
              <w:rPr>
                <w:sz w:val="20"/>
                <w:szCs w:val="20"/>
                <w:color w:val="auto"/>
              </w:rPr>
            </w:pPr>
            <w:r>
              <w:rPr>
                <w:rFonts w:ascii="Arial" w:cs="Arial" w:eastAsia="Arial" w:hAnsi="Arial"/>
                <w:sz w:val="10"/>
                <w:szCs w:val="10"/>
                <w:color w:val="auto"/>
                <w:w w:val="71"/>
              </w:rPr>
              <w:t>$</w:t>
            </w:r>
          </w:p>
        </w:tc>
        <w:tc>
          <w:tcPr>
            <w:tcW w:w="1660" w:type="dxa"/>
            <w:vAlign w:val="bottom"/>
            <w:gridSpan w:val="2"/>
          </w:tcPr>
          <w:p>
            <w:pPr>
              <w:jc w:val="right"/>
              <w:ind w:right="80"/>
              <w:spacing w:after="0"/>
              <w:rPr>
                <w:sz w:val="20"/>
                <w:szCs w:val="20"/>
                <w:color w:val="auto"/>
              </w:rPr>
            </w:pPr>
            <w:r>
              <w:rPr>
                <w:rFonts w:ascii="Arial" w:cs="Arial" w:eastAsia="Arial" w:hAnsi="Arial"/>
                <w:sz w:val="12"/>
                <w:szCs w:val="12"/>
                <w:color w:val="auto"/>
              </w:rPr>
              <w:t>(1,154)</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7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5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The accompanying notes are an integral part of these consolidated financial statements.</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60" w:name="page61"/>
    <w:bookmarkEnd w:id="6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Consolidated Statements of Shareholders’ Deficit</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27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gridSpan w:val="2"/>
          </w:tcPr>
          <w:p>
            <w:pPr>
              <w:jc w:val="center"/>
              <w:ind w:right="200"/>
              <w:spacing w:after="0"/>
              <w:rPr>
                <w:sz w:val="20"/>
                <w:szCs w:val="20"/>
                <w:color w:val="auto"/>
              </w:rPr>
            </w:pPr>
            <w:r>
              <w:rPr>
                <w:rFonts w:ascii="Arial" w:cs="Arial" w:eastAsia="Arial" w:hAnsi="Arial"/>
                <w:sz w:val="10"/>
                <w:szCs w:val="10"/>
                <w:color w:val="auto"/>
                <w:w w:val="91"/>
              </w:rPr>
              <w:t>Distributions in</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20" w:type="dxa"/>
            <w:vAlign w:val="bottom"/>
            <w:gridSpan w:val="3"/>
          </w:tcPr>
          <w:p>
            <w:pPr>
              <w:jc w:val="center"/>
              <w:ind w:right="220"/>
              <w:spacing w:after="0" w:line="99" w:lineRule="exact"/>
              <w:rPr>
                <w:sz w:val="20"/>
                <w:szCs w:val="20"/>
                <w:color w:val="auto"/>
              </w:rPr>
            </w:pPr>
            <w:r>
              <w:rPr>
                <w:rFonts w:ascii="Arial" w:cs="Arial" w:eastAsia="Arial" w:hAnsi="Arial"/>
                <w:sz w:val="10"/>
                <w:szCs w:val="10"/>
                <w:color w:val="auto"/>
                <w:w w:val="88"/>
              </w:rPr>
              <w:t>Accumulated Other</w:t>
            </w:r>
          </w:p>
        </w:tc>
        <w:tc>
          <w:tcPr>
            <w:tcW w:w="60" w:type="dxa"/>
            <w:vAlign w:val="bottom"/>
          </w:tcPr>
          <w:p>
            <w:pPr>
              <w:spacing w:after="0"/>
              <w:rPr>
                <w:sz w:val="8"/>
                <w:szCs w:val="8"/>
                <w:color w:val="auto"/>
              </w:rPr>
            </w:pPr>
          </w:p>
        </w:tc>
        <w:tc>
          <w:tcPr>
            <w:tcW w:w="840" w:type="dxa"/>
            <w:vAlign w:val="bottom"/>
            <w:gridSpan w:val="2"/>
          </w:tcPr>
          <w:p>
            <w:pPr>
              <w:jc w:val="center"/>
              <w:ind w:right="200"/>
              <w:spacing w:after="0" w:line="99" w:lineRule="exact"/>
              <w:rPr>
                <w:sz w:val="20"/>
                <w:szCs w:val="20"/>
                <w:color w:val="auto"/>
              </w:rPr>
            </w:pPr>
            <w:r>
              <w:rPr>
                <w:rFonts w:ascii="Arial" w:cs="Arial" w:eastAsia="Arial" w:hAnsi="Arial"/>
                <w:sz w:val="10"/>
                <w:szCs w:val="10"/>
                <w:color w:val="auto"/>
                <w:w w:val="82"/>
              </w:rPr>
              <w:t>Excess of</w:t>
            </w: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40" w:type="dxa"/>
            <w:vAlign w:val="bottom"/>
          </w:tcPr>
          <w:p>
            <w:pPr>
              <w:spacing w:after="0"/>
              <w:rPr>
                <w:sz w:val="8"/>
                <w:szCs w:val="8"/>
                <w:color w:val="auto"/>
              </w:rPr>
            </w:pPr>
          </w:p>
        </w:tc>
        <w:tc>
          <w:tcPr>
            <w:tcW w:w="940" w:type="dxa"/>
            <w:vAlign w:val="bottom"/>
            <w:gridSpan w:val="3"/>
          </w:tcPr>
          <w:p>
            <w:pPr>
              <w:jc w:val="right"/>
              <w:ind w:right="280"/>
              <w:spacing w:after="0" w:line="99" w:lineRule="exact"/>
              <w:rPr>
                <w:sz w:val="20"/>
                <w:szCs w:val="20"/>
                <w:color w:val="auto"/>
              </w:rPr>
            </w:pPr>
            <w:r>
              <w:rPr>
                <w:rFonts w:ascii="Arial" w:cs="Arial" w:eastAsia="Arial" w:hAnsi="Arial"/>
                <w:sz w:val="10"/>
                <w:szCs w:val="10"/>
                <w:color w:val="auto"/>
                <w:w w:val="91"/>
              </w:rPr>
              <w:t>Additional Paid-</w:t>
            </w:r>
          </w:p>
        </w:tc>
        <w:tc>
          <w:tcPr>
            <w:tcW w:w="80" w:type="dxa"/>
            <w:vAlign w:val="bottom"/>
          </w:tcPr>
          <w:p>
            <w:pPr>
              <w:spacing w:after="0"/>
              <w:rPr>
                <w:sz w:val="8"/>
                <w:szCs w:val="8"/>
                <w:color w:val="auto"/>
              </w:rPr>
            </w:pPr>
          </w:p>
        </w:tc>
        <w:tc>
          <w:tcPr>
            <w:tcW w:w="940" w:type="dxa"/>
            <w:vAlign w:val="bottom"/>
            <w:gridSpan w:val="2"/>
          </w:tcPr>
          <w:p>
            <w:pPr>
              <w:jc w:val="center"/>
              <w:ind w:right="300"/>
              <w:spacing w:after="0" w:line="99" w:lineRule="exact"/>
              <w:rPr>
                <w:sz w:val="20"/>
                <w:szCs w:val="20"/>
                <w:color w:val="auto"/>
              </w:rPr>
            </w:pPr>
            <w:r>
              <w:rPr>
                <w:rFonts w:ascii="Arial" w:cs="Arial" w:eastAsia="Arial" w:hAnsi="Arial"/>
                <w:sz w:val="10"/>
                <w:szCs w:val="10"/>
                <w:color w:val="auto"/>
                <w:w w:val="85"/>
              </w:rPr>
              <w:t>Comprehensive</w:t>
            </w:r>
          </w:p>
        </w:tc>
        <w:tc>
          <w:tcPr>
            <w:tcW w:w="60" w:type="dxa"/>
            <w:vAlign w:val="bottom"/>
          </w:tcPr>
          <w:p>
            <w:pPr>
              <w:spacing w:after="0"/>
              <w:rPr>
                <w:sz w:val="8"/>
                <w:szCs w:val="8"/>
                <w:color w:val="auto"/>
              </w:rPr>
            </w:pPr>
          </w:p>
        </w:tc>
        <w:tc>
          <w:tcPr>
            <w:tcW w:w="840" w:type="dxa"/>
            <w:vAlign w:val="bottom"/>
            <w:gridSpan w:val="2"/>
          </w:tcPr>
          <w:p>
            <w:pPr>
              <w:jc w:val="center"/>
              <w:ind w:right="200"/>
              <w:spacing w:after="0" w:line="99" w:lineRule="exact"/>
              <w:rPr>
                <w:sz w:val="20"/>
                <w:szCs w:val="20"/>
                <w:color w:val="auto"/>
              </w:rPr>
            </w:pPr>
            <w:r>
              <w:rPr>
                <w:rFonts w:ascii="Arial" w:cs="Arial" w:eastAsia="Arial" w:hAnsi="Arial"/>
                <w:sz w:val="10"/>
                <w:szCs w:val="10"/>
                <w:color w:val="auto"/>
                <w:w w:val="89"/>
              </w:rPr>
              <w:t>Accumulated</w:t>
            </w: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20" w:type="dxa"/>
            <w:vAlign w:val="bottom"/>
            <w:gridSpan w:val="2"/>
          </w:tcPr>
          <w:p>
            <w:pPr>
              <w:jc w:val="right"/>
              <w:ind w:right="220"/>
              <w:spacing w:after="0" w:line="99" w:lineRule="exact"/>
              <w:rPr>
                <w:sz w:val="20"/>
                <w:szCs w:val="20"/>
                <w:color w:val="auto"/>
              </w:rPr>
            </w:pPr>
            <w:r>
              <w:rPr>
                <w:rFonts w:ascii="Arial" w:cs="Arial" w:eastAsia="Arial" w:hAnsi="Arial"/>
                <w:sz w:val="10"/>
                <w:szCs w:val="10"/>
                <w:color w:val="auto"/>
                <w:w w:val="90"/>
              </w:rPr>
              <w:t>Noncontrolling</w:t>
            </w:r>
          </w:p>
        </w:tc>
        <w:tc>
          <w:tcPr>
            <w:tcW w:w="80" w:type="dxa"/>
            <w:vAlign w:val="bottom"/>
          </w:tcPr>
          <w:p>
            <w:pPr>
              <w:spacing w:after="0"/>
              <w:rPr>
                <w:sz w:val="8"/>
                <w:szCs w:val="8"/>
                <w:color w:val="auto"/>
              </w:rPr>
            </w:pPr>
          </w:p>
        </w:tc>
        <w:tc>
          <w:tcPr>
            <w:tcW w:w="920" w:type="dxa"/>
            <w:vAlign w:val="bottom"/>
            <w:gridSpan w:val="3"/>
          </w:tcPr>
          <w:p>
            <w:pPr>
              <w:jc w:val="right"/>
              <w:ind w:right="140"/>
              <w:spacing w:after="0" w:line="99" w:lineRule="exact"/>
              <w:rPr>
                <w:sz w:val="20"/>
                <w:szCs w:val="20"/>
                <w:color w:val="auto"/>
              </w:rPr>
            </w:pPr>
            <w:r>
              <w:rPr>
                <w:rFonts w:ascii="Arial" w:cs="Arial" w:eastAsia="Arial" w:hAnsi="Arial"/>
                <w:sz w:val="10"/>
                <w:szCs w:val="10"/>
                <w:color w:val="auto"/>
                <w:w w:val="87"/>
              </w:rPr>
              <w:t>Total Shareholders'</w:t>
            </w:r>
          </w:p>
        </w:tc>
        <w:tc>
          <w:tcPr>
            <w:tcW w:w="0" w:type="dxa"/>
            <w:vAlign w:val="bottom"/>
          </w:tcPr>
          <w:p>
            <w:pPr>
              <w:spacing w:after="0"/>
              <w:rPr>
                <w:sz w:val="1"/>
                <w:szCs w:val="1"/>
                <w:color w:val="auto"/>
              </w:rPr>
            </w:pPr>
          </w:p>
        </w:tc>
      </w:tr>
      <w:tr>
        <w:trPr>
          <w:trHeight w:val="112"/>
        </w:trPr>
        <w:tc>
          <w:tcPr>
            <w:tcW w:w="2860" w:type="dxa"/>
            <w:vAlign w:val="bottom"/>
            <w:gridSpan w:val="2"/>
            <w:vMerge w:val="restart"/>
          </w:tcPr>
          <w:p>
            <w:pPr>
              <w:spacing w:after="0"/>
              <w:rPr>
                <w:sz w:val="20"/>
                <w:szCs w:val="20"/>
                <w:color w:val="auto"/>
              </w:rPr>
            </w:pPr>
            <w:r>
              <w:rPr>
                <w:rFonts w:ascii="Arial" w:cs="Arial" w:eastAsia="Arial" w:hAnsi="Arial"/>
                <w:sz w:val="10"/>
                <w:szCs w:val="10"/>
                <w:color w:val="auto"/>
              </w:rPr>
              <w:t>(Thousands, except share data)</w:t>
            </w: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gridSpan w:val="6"/>
          </w:tcPr>
          <w:p>
            <w:pPr>
              <w:ind w:left="20"/>
              <w:spacing w:after="0" w:line="112" w:lineRule="exact"/>
              <w:rPr>
                <w:sz w:val="20"/>
                <w:szCs w:val="20"/>
                <w:color w:val="auto"/>
              </w:rPr>
            </w:pPr>
            <w:r>
              <w:rPr>
                <w:rFonts w:ascii="Arial" w:cs="Arial" w:eastAsia="Arial" w:hAnsi="Arial"/>
                <w:sz w:val="10"/>
                <w:szCs w:val="10"/>
                <w:color w:val="auto"/>
              </w:rPr>
              <w:t>Preferred Stock</w:t>
            </w: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700" w:type="dxa"/>
            <w:vAlign w:val="bottom"/>
            <w:gridSpan w:val="3"/>
          </w:tcPr>
          <w:p>
            <w:pPr>
              <w:jc w:val="right"/>
              <w:ind w:right="31"/>
              <w:spacing w:after="0" w:line="112" w:lineRule="exact"/>
              <w:rPr>
                <w:sz w:val="20"/>
                <w:szCs w:val="20"/>
                <w:color w:val="auto"/>
              </w:rPr>
            </w:pPr>
            <w:r>
              <w:rPr>
                <w:rFonts w:ascii="Arial" w:cs="Arial" w:eastAsia="Arial" w:hAnsi="Arial"/>
                <w:sz w:val="10"/>
                <w:szCs w:val="10"/>
                <w:color w:val="auto"/>
                <w:w w:val="87"/>
              </w:rPr>
              <w:t>Common Stock</w:t>
            </w:r>
          </w:p>
        </w:tc>
        <w:tc>
          <w:tcPr>
            <w:tcW w:w="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gridSpan w:val="2"/>
          </w:tcPr>
          <w:p>
            <w:pPr>
              <w:jc w:val="right"/>
              <w:ind w:right="400"/>
              <w:spacing w:after="0" w:line="112" w:lineRule="exact"/>
              <w:rPr>
                <w:sz w:val="20"/>
                <w:szCs w:val="20"/>
                <w:color w:val="auto"/>
              </w:rPr>
            </w:pPr>
            <w:r>
              <w:rPr>
                <w:rFonts w:ascii="Arial" w:cs="Arial" w:eastAsia="Arial" w:hAnsi="Arial"/>
                <w:sz w:val="10"/>
                <w:szCs w:val="10"/>
                <w:color w:val="auto"/>
              </w:rPr>
              <w:t>in Capital</w:t>
            </w:r>
          </w:p>
        </w:tc>
        <w:tc>
          <w:tcPr>
            <w:tcW w:w="80" w:type="dxa"/>
            <w:vAlign w:val="bottom"/>
          </w:tcPr>
          <w:p>
            <w:pPr>
              <w:spacing w:after="0"/>
              <w:rPr>
                <w:sz w:val="9"/>
                <w:szCs w:val="9"/>
                <w:color w:val="auto"/>
              </w:rPr>
            </w:pPr>
          </w:p>
        </w:tc>
        <w:tc>
          <w:tcPr>
            <w:tcW w:w="940" w:type="dxa"/>
            <w:vAlign w:val="bottom"/>
            <w:gridSpan w:val="2"/>
          </w:tcPr>
          <w:p>
            <w:pPr>
              <w:jc w:val="center"/>
              <w:ind w:right="300"/>
              <w:spacing w:after="0" w:line="112" w:lineRule="exact"/>
              <w:rPr>
                <w:sz w:val="20"/>
                <w:szCs w:val="20"/>
                <w:color w:val="auto"/>
              </w:rPr>
            </w:pPr>
            <w:r>
              <w:rPr>
                <w:rFonts w:ascii="Arial" w:cs="Arial" w:eastAsia="Arial" w:hAnsi="Arial"/>
                <w:sz w:val="10"/>
                <w:szCs w:val="10"/>
                <w:color w:val="auto"/>
                <w:w w:val="88"/>
              </w:rPr>
              <w:t>(Loss) Income</w:t>
            </w:r>
          </w:p>
        </w:tc>
        <w:tc>
          <w:tcPr>
            <w:tcW w:w="60" w:type="dxa"/>
            <w:vAlign w:val="bottom"/>
          </w:tcPr>
          <w:p>
            <w:pPr>
              <w:spacing w:after="0"/>
              <w:rPr>
                <w:sz w:val="9"/>
                <w:szCs w:val="9"/>
                <w:color w:val="auto"/>
              </w:rPr>
            </w:pPr>
          </w:p>
        </w:tc>
        <w:tc>
          <w:tcPr>
            <w:tcW w:w="840" w:type="dxa"/>
            <w:vAlign w:val="bottom"/>
            <w:gridSpan w:val="2"/>
          </w:tcPr>
          <w:p>
            <w:pPr>
              <w:jc w:val="center"/>
              <w:ind w:right="180"/>
              <w:spacing w:after="0" w:line="112" w:lineRule="exact"/>
              <w:rPr>
                <w:sz w:val="20"/>
                <w:szCs w:val="20"/>
                <w:color w:val="auto"/>
              </w:rPr>
            </w:pPr>
            <w:r>
              <w:rPr>
                <w:rFonts w:ascii="Arial" w:cs="Arial" w:eastAsia="Arial" w:hAnsi="Arial"/>
                <w:sz w:val="10"/>
                <w:szCs w:val="10"/>
                <w:color w:val="auto"/>
                <w:w w:val="86"/>
              </w:rPr>
              <w:t>Earnings</w:t>
            </w: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20" w:type="dxa"/>
            <w:vAlign w:val="bottom"/>
            <w:gridSpan w:val="2"/>
          </w:tcPr>
          <w:p>
            <w:pPr>
              <w:jc w:val="right"/>
              <w:ind w:right="360"/>
              <w:spacing w:after="0" w:line="112" w:lineRule="exact"/>
              <w:rPr>
                <w:sz w:val="20"/>
                <w:szCs w:val="20"/>
                <w:color w:val="auto"/>
              </w:rPr>
            </w:pPr>
            <w:r>
              <w:rPr>
                <w:rFonts w:ascii="Arial" w:cs="Arial" w:eastAsia="Arial" w:hAnsi="Arial"/>
                <w:sz w:val="10"/>
                <w:szCs w:val="10"/>
                <w:color w:val="auto"/>
              </w:rPr>
              <w:t>Interests</w:t>
            </w: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gridSpan w:val="2"/>
          </w:tcPr>
          <w:p>
            <w:pPr>
              <w:jc w:val="right"/>
              <w:ind w:right="380"/>
              <w:spacing w:after="0" w:line="112" w:lineRule="exact"/>
              <w:rPr>
                <w:sz w:val="20"/>
                <w:szCs w:val="20"/>
                <w:color w:val="auto"/>
              </w:rPr>
            </w:pPr>
            <w:r>
              <w:rPr>
                <w:rFonts w:ascii="Arial" w:cs="Arial" w:eastAsia="Arial" w:hAnsi="Arial"/>
                <w:sz w:val="10"/>
                <w:szCs w:val="10"/>
                <w:color w:val="auto"/>
              </w:rPr>
              <w:t>Deficit</w:t>
            </w:r>
          </w:p>
        </w:tc>
        <w:tc>
          <w:tcPr>
            <w:tcW w:w="0" w:type="dxa"/>
            <w:vAlign w:val="bottom"/>
          </w:tcPr>
          <w:p>
            <w:pPr>
              <w:spacing w:after="0"/>
              <w:rPr>
                <w:sz w:val="1"/>
                <w:szCs w:val="1"/>
                <w:color w:val="auto"/>
              </w:rPr>
            </w:pPr>
          </w:p>
        </w:tc>
      </w:tr>
      <w:tr>
        <w:trPr>
          <w:trHeight w:val="88"/>
        </w:trPr>
        <w:tc>
          <w:tcPr>
            <w:tcW w:w="2860" w:type="dxa"/>
            <w:vAlign w:val="bottom"/>
            <w:gridSpan w:val="2"/>
            <w:vMerge w:val="continue"/>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260" w:type="dxa"/>
            <w:vAlign w:val="bottom"/>
            <w:tcBorders>
              <w:top w:val="single" w:sz="8" w:color="auto"/>
            </w:tcBorders>
          </w:tcPr>
          <w:p>
            <w:pPr>
              <w:spacing w:after="0" w:line="88" w:lineRule="exact"/>
              <w:rPr>
                <w:sz w:val="20"/>
                <w:szCs w:val="20"/>
                <w:color w:val="auto"/>
              </w:rPr>
            </w:pPr>
            <w:r>
              <w:rPr>
                <w:rFonts w:ascii="Arial" w:cs="Arial" w:eastAsia="Arial" w:hAnsi="Arial"/>
                <w:sz w:val="10"/>
                <w:szCs w:val="10"/>
                <w:color w:val="auto"/>
                <w:w w:val="75"/>
              </w:rPr>
              <w:t>Shares</w:t>
            </w:r>
          </w:p>
        </w:tc>
        <w:tc>
          <w:tcPr>
            <w:tcW w:w="440" w:type="dxa"/>
            <w:vAlign w:val="bottom"/>
            <w:tcBorders>
              <w:top w:val="single" w:sz="8" w:color="auto"/>
            </w:tcBorders>
            <w:gridSpan w:val="2"/>
          </w:tcPr>
          <w:p>
            <w:pPr>
              <w:spacing w:after="0"/>
              <w:rPr>
                <w:sz w:val="7"/>
                <w:szCs w:val="7"/>
                <w:color w:val="auto"/>
              </w:rPr>
            </w:pPr>
          </w:p>
        </w:tc>
        <w:tc>
          <w:tcPr>
            <w:tcW w:w="160" w:type="dxa"/>
            <w:vAlign w:val="bottom"/>
            <w:tcBorders>
              <w:top w:val="single" w:sz="8" w:color="auto"/>
            </w:tcBorders>
          </w:tcPr>
          <w:p>
            <w:pPr>
              <w:spacing w:after="0"/>
              <w:rPr>
                <w:sz w:val="7"/>
                <w:szCs w:val="7"/>
                <w:color w:val="auto"/>
              </w:rPr>
            </w:pPr>
          </w:p>
        </w:tc>
        <w:tc>
          <w:tcPr>
            <w:tcW w:w="500" w:type="dxa"/>
            <w:vAlign w:val="bottom"/>
            <w:tcBorders>
              <w:top w:val="single" w:sz="8" w:color="auto"/>
            </w:tcBorders>
            <w:gridSpan w:val="2"/>
          </w:tcPr>
          <w:p>
            <w:pPr>
              <w:jc w:val="right"/>
              <w:ind w:right="126"/>
              <w:spacing w:after="0" w:line="88" w:lineRule="exact"/>
              <w:rPr>
                <w:sz w:val="20"/>
                <w:szCs w:val="20"/>
                <w:color w:val="auto"/>
              </w:rPr>
            </w:pPr>
            <w:r>
              <w:rPr>
                <w:rFonts w:ascii="Arial" w:cs="Arial" w:eastAsia="Arial" w:hAnsi="Arial"/>
                <w:sz w:val="10"/>
                <w:szCs w:val="10"/>
                <w:color w:val="auto"/>
                <w:w w:val="86"/>
              </w:rPr>
              <w:t>Amount</w:t>
            </w:r>
          </w:p>
        </w:tc>
        <w:tc>
          <w:tcPr>
            <w:tcW w:w="240" w:type="dxa"/>
            <w:vAlign w:val="bottom"/>
          </w:tcPr>
          <w:p>
            <w:pPr>
              <w:spacing w:after="0"/>
              <w:rPr>
                <w:sz w:val="7"/>
                <w:szCs w:val="7"/>
                <w:color w:val="auto"/>
              </w:rPr>
            </w:pPr>
          </w:p>
        </w:tc>
        <w:tc>
          <w:tcPr>
            <w:tcW w:w="280" w:type="dxa"/>
            <w:vAlign w:val="bottom"/>
            <w:tcBorders>
              <w:top w:val="single" w:sz="8" w:color="auto"/>
            </w:tcBorders>
          </w:tcPr>
          <w:p>
            <w:pPr>
              <w:spacing w:after="0"/>
              <w:rPr>
                <w:sz w:val="7"/>
                <w:szCs w:val="7"/>
                <w:color w:val="auto"/>
              </w:rPr>
            </w:pPr>
          </w:p>
        </w:tc>
        <w:tc>
          <w:tcPr>
            <w:tcW w:w="800" w:type="dxa"/>
            <w:vAlign w:val="bottom"/>
            <w:tcBorders>
              <w:top w:val="single" w:sz="8" w:color="auto"/>
            </w:tcBorders>
            <w:gridSpan w:val="3"/>
          </w:tcPr>
          <w:p>
            <w:pPr>
              <w:spacing w:after="0" w:line="88" w:lineRule="exact"/>
              <w:rPr>
                <w:sz w:val="20"/>
                <w:szCs w:val="20"/>
                <w:color w:val="auto"/>
              </w:rPr>
            </w:pPr>
            <w:r>
              <w:rPr>
                <w:rFonts w:ascii="Arial" w:cs="Arial" w:eastAsia="Arial" w:hAnsi="Arial"/>
                <w:sz w:val="10"/>
                <w:szCs w:val="10"/>
                <w:color w:val="auto"/>
              </w:rPr>
              <w:t>Shares</w:t>
            </w:r>
          </w:p>
        </w:tc>
        <w:tc>
          <w:tcPr>
            <w:tcW w:w="160" w:type="dxa"/>
            <w:vAlign w:val="bottom"/>
            <w:tcBorders>
              <w:top w:val="single" w:sz="8" w:color="auto"/>
            </w:tcBorders>
          </w:tcPr>
          <w:p>
            <w:pPr>
              <w:spacing w:after="0"/>
              <w:rPr>
                <w:sz w:val="7"/>
                <w:szCs w:val="7"/>
                <w:color w:val="auto"/>
              </w:rPr>
            </w:pPr>
          </w:p>
        </w:tc>
        <w:tc>
          <w:tcPr>
            <w:tcW w:w="500" w:type="dxa"/>
            <w:vAlign w:val="bottom"/>
            <w:tcBorders>
              <w:top w:val="single" w:sz="8" w:color="auto"/>
            </w:tcBorders>
            <w:gridSpan w:val="2"/>
          </w:tcPr>
          <w:p>
            <w:pPr>
              <w:jc w:val="right"/>
              <w:ind w:right="180"/>
              <w:spacing w:after="0" w:line="88" w:lineRule="exact"/>
              <w:rPr>
                <w:sz w:val="20"/>
                <w:szCs w:val="20"/>
                <w:color w:val="auto"/>
              </w:rPr>
            </w:pPr>
            <w:r>
              <w:rPr>
                <w:rFonts w:ascii="Arial" w:cs="Arial" w:eastAsia="Arial" w:hAnsi="Arial"/>
                <w:sz w:val="10"/>
                <w:szCs w:val="10"/>
                <w:color w:val="auto"/>
                <w:w w:val="86"/>
              </w:rPr>
              <w:t>Amount</w:t>
            </w:r>
          </w:p>
        </w:tc>
        <w:tc>
          <w:tcPr>
            <w:tcW w:w="240" w:type="dxa"/>
            <w:vAlign w:val="bottom"/>
          </w:tcPr>
          <w:p>
            <w:pPr>
              <w:spacing w:after="0"/>
              <w:rPr>
                <w:sz w:val="7"/>
                <w:szCs w:val="7"/>
                <w:color w:val="auto"/>
              </w:rPr>
            </w:pPr>
          </w:p>
        </w:tc>
        <w:tc>
          <w:tcPr>
            <w:tcW w:w="100" w:type="dxa"/>
            <w:vAlign w:val="bottom"/>
            <w:tcBorders>
              <w:top w:val="single" w:sz="8" w:color="auto"/>
            </w:tcBorders>
          </w:tcPr>
          <w:p>
            <w:pPr>
              <w:spacing w:after="0"/>
              <w:rPr>
                <w:sz w:val="7"/>
                <w:szCs w:val="7"/>
                <w:color w:val="auto"/>
              </w:rPr>
            </w:pPr>
          </w:p>
        </w:tc>
        <w:tc>
          <w:tcPr>
            <w:tcW w:w="620" w:type="dxa"/>
            <w:vAlign w:val="bottom"/>
            <w:tcBorders>
              <w:top w:val="single" w:sz="8" w:color="auto"/>
            </w:tcBorders>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720" w:type="dxa"/>
            <w:vAlign w:val="bottom"/>
            <w:tcBorders>
              <w:top w:val="single" w:sz="8" w:color="auto"/>
            </w:tcBorders>
          </w:tcPr>
          <w:p>
            <w:pPr>
              <w:spacing w:after="0"/>
              <w:rPr>
                <w:sz w:val="7"/>
                <w:szCs w:val="7"/>
                <w:color w:val="auto"/>
              </w:rPr>
            </w:pPr>
          </w:p>
        </w:tc>
        <w:tc>
          <w:tcPr>
            <w:tcW w:w="220" w:type="dxa"/>
            <w:vAlign w:val="bottom"/>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700" w:type="dxa"/>
            <w:vAlign w:val="bottom"/>
            <w:tcBorders>
              <w:top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70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Borders>
              <w:top w:val="single" w:sz="8" w:color="auto"/>
            </w:tcBorders>
          </w:tcPr>
          <w:p>
            <w:pPr>
              <w:spacing w:after="0"/>
              <w:rPr>
                <w:sz w:val="7"/>
                <w:szCs w:val="7"/>
                <w:color w:val="auto"/>
              </w:rPr>
            </w:pPr>
          </w:p>
        </w:tc>
        <w:tc>
          <w:tcPr>
            <w:tcW w:w="64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CFF0FC"/>
            </w:tcBorders>
          </w:tcPr>
          <w:p>
            <w:pPr>
              <w:spacing w:after="0" w:line="20" w:lineRule="exact"/>
              <w:rPr>
                <w:sz w:val="1"/>
                <w:szCs w:val="1"/>
                <w:color w:val="auto"/>
              </w:rPr>
            </w:pPr>
          </w:p>
        </w:tc>
        <w:tc>
          <w:tcPr>
            <w:tcW w:w="260" w:type="dxa"/>
            <w:vAlign w:val="bottom"/>
            <w:tcBorders>
              <w:bottom w:val="single" w:sz="8" w:color="CFF0FC"/>
            </w:tcBorders>
            <w:shd w:val="clear" w:color="auto" w:fill="000000"/>
          </w:tcPr>
          <w:p>
            <w:pPr>
              <w:spacing w:after="0" w:line="20" w:lineRule="exact"/>
              <w:rPr>
                <w:sz w:val="1"/>
                <w:szCs w:val="1"/>
                <w:color w:val="auto"/>
              </w:rPr>
            </w:pPr>
          </w:p>
        </w:tc>
        <w:tc>
          <w:tcPr>
            <w:tcW w:w="200" w:type="dxa"/>
            <w:vAlign w:val="bottom"/>
            <w:tcBorders>
              <w:bottom w:val="single" w:sz="8" w:color="CFF0FC"/>
            </w:tcBorders>
          </w:tcPr>
          <w:p>
            <w:pPr>
              <w:spacing w:after="0" w:line="20" w:lineRule="exact"/>
              <w:rPr>
                <w:sz w:val="1"/>
                <w:szCs w:val="1"/>
                <w:color w:val="auto"/>
              </w:rPr>
            </w:pPr>
          </w:p>
        </w:tc>
        <w:tc>
          <w:tcPr>
            <w:tcW w:w="24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CFF0FC"/>
            </w:tcBorders>
          </w:tcPr>
          <w:p>
            <w:pPr>
              <w:spacing w:after="0" w:line="20" w:lineRule="exact"/>
              <w:rPr>
                <w:sz w:val="1"/>
                <w:szCs w:val="1"/>
                <w:color w:val="auto"/>
              </w:rPr>
            </w:pPr>
          </w:p>
        </w:tc>
        <w:tc>
          <w:tcPr>
            <w:tcW w:w="320" w:type="dxa"/>
            <w:vAlign w:val="bottom"/>
            <w:tcBorders>
              <w:bottom w:val="single" w:sz="8" w:color="CFF0FC"/>
            </w:tcBorders>
            <w:shd w:val="clear" w:color="auto" w:fill="000000"/>
          </w:tcPr>
          <w:p>
            <w:pPr>
              <w:spacing w:after="0" w:line="20" w:lineRule="exact"/>
              <w:rPr>
                <w:sz w:val="1"/>
                <w:szCs w:val="1"/>
                <w:color w:val="auto"/>
              </w:rPr>
            </w:pPr>
          </w:p>
        </w:tc>
        <w:tc>
          <w:tcPr>
            <w:tcW w:w="180" w:type="dxa"/>
            <w:vAlign w:val="bottom"/>
            <w:tcBorders>
              <w:bottom w:val="single" w:sz="8" w:color="CFF0FC"/>
            </w:tcBorders>
          </w:tcPr>
          <w:p>
            <w:pPr>
              <w:spacing w:after="0" w:line="20" w:lineRule="exact"/>
              <w:rPr>
                <w:sz w:val="1"/>
                <w:szCs w:val="1"/>
                <w:color w:val="auto"/>
              </w:rPr>
            </w:pPr>
          </w:p>
        </w:tc>
        <w:tc>
          <w:tcPr>
            <w:tcW w:w="240" w:type="dxa"/>
            <w:vAlign w:val="bottom"/>
            <w:tcBorders>
              <w:bottom w:val="single" w:sz="8" w:color="CFF0FC"/>
            </w:tcBorders>
          </w:tcPr>
          <w:p>
            <w:pPr>
              <w:spacing w:after="0" w:line="20" w:lineRule="exact"/>
              <w:rPr>
                <w:sz w:val="1"/>
                <w:szCs w:val="1"/>
                <w:color w:val="auto"/>
              </w:rPr>
            </w:pPr>
          </w:p>
        </w:tc>
        <w:tc>
          <w:tcPr>
            <w:tcW w:w="280" w:type="dxa"/>
            <w:vAlign w:val="bottom"/>
            <w:tcBorders>
              <w:bottom w:val="single" w:sz="8" w:color="CFF0FC"/>
            </w:tcBorders>
          </w:tcPr>
          <w:p>
            <w:pPr>
              <w:spacing w:after="0" w:line="20" w:lineRule="exact"/>
              <w:rPr>
                <w:sz w:val="1"/>
                <w:szCs w:val="1"/>
                <w:color w:val="auto"/>
              </w:rPr>
            </w:pPr>
          </w:p>
        </w:tc>
        <w:tc>
          <w:tcPr>
            <w:tcW w:w="260" w:type="dxa"/>
            <w:vAlign w:val="bottom"/>
            <w:tcBorders>
              <w:bottom w:val="single" w:sz="8" w:color="CFF0FC"/>
            </w:tcBorders>
            <w:shd w:val="clear" w:color="auto" w:fill="000000"/>
          </w:tcPr>
          <w:p>
            <w:pPr>
              <w:spacing w:after="0" w:line="20" w:lineRule="exact"/>
              <w:rPr>
                <w:sz w:val="1"/>
                <w:szCs w:val="1"/>
                <w:color w:val="auto"/>
              </w:rPr>
            </w:pPr>
          </w:p>
        </w:tc>
        <w:tc>
          <w:tcPr>
            <w:tcW w:w="300" w:type="dxa"/>
            <w:vAlign w:val="bottom"/>
            <w:tcBorders>
              <w:bottom w:val="single" w:sz="8" w:color="CFF0FC"/>
            </w:tcBorders>
          </w:tcPr>
          <w:p>
            <w:pPr>
              <w:spacing w:after="0" w:line="20" w:lineRule="exact"/>
              <w:rPr>
                <w:sz w:val="1"/>
                <w:szCs w:val="1"/>
                <w:color w:val="auto"/>
              </w:rPr>
            </w:pPr>
          </w:p>
        </w:tc>
        <w:tc>
          <w:tcPr>
            <w:tcW w:w="24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CFF0FC"/>
            </w:tcBorders>
          </w:tcPr>
          <w:p>
            <w:pPr>
              <w:spacing w:after="0" w:line="20" w:lineRule="exact"/>
              <w:rPr>
                <w:sz w:val="1"/>
                <w:szCs w:val="1"/>
                <w:color w:val="auto"/>
              </w:rPr>
            </w:pPr>
          </w:p>
        </w:tc>
        <w:tc>
          <w:tcPr>
            <w:tcW w:w="320" w:type="dxa"/>
            <w:vAlign w:val="bottom"/>
            <w:tcBorders>
              <w:bottom w:val="single" w:sz="8" w:color="CFF0FC"/>
            </w:tcBorders>
            <w:shd w:val="clear" w:color="auto" w:fill="000000"/>
          </w:tcPr>
          <w:p>
            <w:pPr>
              <w:spacing w:after="0" w:line="20" w:lineRule="exact"/>
              <w:rPr>
                <w:sz w:val="1"/>
                <w:szCs w:val="1"/>
                <w:color w:val="auto"/>
              </w:rPr>
            </w:pPr>
          </w:p>
        </w:tc>
        <w:tc>
          <w:tcPr>
            <w:tcW w:w="180" w:type="dxa"/>
            <w:vAlign w:val="bottom"/>
            <w:tcBorders>
              <w:bottom w:val="single" w:sz="8" w:color="CFF0FC"/>
            </w:tcBorders>
          </w:tcPr>
          <w:p>
            <w:pPr>
              <w:spacing w:after="0" w:line="20" w:lineRule="exact"/>
              <w:rPr>
                <w:sz w:val="1"/>
                <w:szCs w:val="1"/>
                <w:color w:val="auto"/>
              </w:rPr>
            </w:pPr>
          </w:p>
        </w:tc>
        <w:tc>
          <w:tcPr>
            <w:tcW w:w="240" w:type="dxa"/>
            <w:vAlign w:val="bottom"/>
            <w:tcBorders>
              <w:bottom w:val="single" w:sz="8" w:color="CFF0FC"/>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620" w:type="dxa"/>
            <w:vAlign w:val="bottom"/>
            <w:tcBorders>
              <w:bottom w:val="single" w:sz="8" w:color="CFF0FC"/>
            </w:tcBorders>
          </w:tcPr>
          <w:p>
            <w:pPr>
              <w:spacing w:after="0" w:line="20" w:lineRule="exact"/>
              <w:rPr>
                <w:sz w:val="1"/>
                <w:szCs w:val="1"/>
                <w:color w:val="auto"/>
              </w:rPr>
            </w:pPr>
          </w:p>
        </w:tc>
        <w:tc>
          <w:tcPr>
            <w:tcW w:w="220" w:type="dxa"/>
            <w:vAlign w:val="bottom"/>
            <w:tcBorders>
              <w:bottom w:val="single" w:sz="8" w:color="CFF0FC"/>
            </w:tcBorders>
          </w:tcPr>
          <w:p>
            <w:pPr>
              <w:spacing w:after="0" w:line="20" w:lineRule="exact"/>
              <w:rPr>
                <w:sz w:val="1"/>
                <w:szCs w:val="1"/>
                <w:color w:val="auto"/>
              </w:rPr>
            </w:pPr>
          </w:p>
        </w:tc>
        <w:tc>
          <w:tcPr>
            <w:tcW w:w="80" w:type="dxa"/>
            <w:vAlign w:val="bottom"/>
            <w:tcBorders>
              <w:bottom w:val="single" w:sz="8" w:color="CFF0FC"/>
            </w:tcBorders>
          </w:tcPr>
          <w:p>
            <w:pPr>
              <w:spacing w:after="0" w:line="20" w:lineRule="exact"/>
              <w:rPr>
                <w:sz w:val="1"/>
                <w:szCs w:val="1"/>
                <w:color w:val="auto"/>
              </w:rPr>
            </w:pPr>
          </w:p>
        </w:tc>
        <w:tc>
          <w:tcPr>
            <w:tcW w:w="720" w:type="dxa"/>
            <w:vAlign w:val="bottom"/>
            <w:tcBorders>
              <w:bottom w:val="single" w:sz="8" w:color="CFF0FC"/>
            </w:tcBorders>
          </w:tcPr>
          <w:p>
            <w:pPr>
              <w:spacing w:after="0" w:line="20" w:lineRule="exact"/>
              <w:rPr>
                <w:sz w:val="1"/>
                <w:szCs w:val="1"/>
                <w:color w:val="auto"/>
              </w:rPr>
            </w:pPr>
          </w:p>
        </w:tc>
        <w:tc>
          <w:tcPr>
            <w:tcW w:w="220" w:type="dxa"/>
            <w:vAlign w:val="bottom"/>
            <w:tcBorders>
              <w:bottom w:val="single" w:sz="8" w:color="CFF0FC"/>
            </w:tcBorders>
          </w:tcPr>
          <w:p>
            <w:pPr>
              <w:spacing w:after="0" w:line="20" w:lineRule="exact"/>
              <w:rPr>
                <w:sz w:val="1"/>
                <w:szCs w:val="1"/>
                <w:color w:val="auto"/>
              </w:rPr>
            </w:pPr>
          </w:p>
        </w:tc>
        <w:tc>
          <w:tcPr>
            <w:tcW w:w="60" w:type="dxa"/>
            <w:vAlign w:val="bottom"/>
            <w:tcBorders>
              <w:bottom w:val="single" w:sz="8" w:color="CFF0FC"/>
            </w:tcBorders>
          </w:tcPr>
          <w:p>
            <w:pPr>
              <w:spacing w:after="0" w:line="20" w:lineRule="exact"/>
              <w:rPr>
                <w:sz w:val="1"/>
                <w:szCs w:val="1"/>
                <w:color w:val="auto"/>
              </w:rPr>
            </w:pPr>
          </w:p>
        </w:tc>
        <w:tc>
          <w:tcPr>
            <w:tcW w:w="700" w:type="dxa"/>
            <w:vAlign w:val="bottom"/>
            <w:tcBorders>
              <w:bottom w:val="single" w:sz="8" w:color="CFF0FC"/>
            </w:tcBorders>
          </w:tcPr>
          <w:p>
            <w:pPr>
              <w:spacing w:after="0" w:line="20" w:lineRule="exact"/>
              <w:rPr>
                <w:sz w:val="1"/>
                <w:szCs w:val="1"/>
                <w:color w:val="auto"/>
              </w:rPr>
            </w:pPr>
          </w:p>
        </w:tc>
        <w:tc>
          <w:tcPr>
            <w:tcW w:w="140" w:type="dxa"/>
            <w:vAlign w:val="bottom"/>
            <w:tcBorders>
              <w:bottom w:val="single" w:sz="8" w:color="CFF0FC"/>
            </w:tcBorders>
          </w:tcPr>
          <w:p>
            <w:pPr>
              <w:spacing w:after="0" w:line="20" w:lineRule="exact"/>
              <w:rPr>
                <w:sz w:val="1"/>
                <w:szCs w:val="1"/>
                <w:color w:val="auto"/>
              </w:rPr>
            </w:pPr>
          </w:p>
        </w:tc>
        <w:tc>
          <w:tcPr>
            <w:tcW w:w="80" w:type="dxa"/>
            <w:vAlign w:val="bottom"/>
            <w:tcBorders>
              <w:bottom w:val="single" w:sz="8" w:color="CFF0FC"/>
            </w:tcBorders>
          </w:tcPr>
          <w:p>
            <w:pPr>
              <w:spacing w:after="0" w:line="20" w:lineRule="exact"/>
              <w:rPr>
                <w:sz w:val="1"/>
                <w:szCs w:val="1"/>
                <w:color w:val="auto"/>
              </w:rPr>
            </w:pPr>
          </w:p>
        </w:tc>
        <w:tc>
          <w:tcPr>
            <w:tcW w:w="80" w:type="dxa"/>
            <w:vAlign w:val="bottom"/>
            <w:tcBorders>
              <w:bottom w:val="single" w:sz="8" w:color="CFF0FC"/>
            </w:tcBorders>
          </w:tcPr>
          <w:p>
            <w:pPr>
              <w:spacing w:after="0" w:line="20" w:lineRule="exact"/>
              <w:rPr>
                <w:sz w:val="1"/>
                <w:szCs w:val="1"/>
                <w:color w:val="auto"/>
              </w:rPr>
            </w:pPr>
          </w:p>
        </w:tc>
        <w:tc>
          <w:tcPr>
            <w:tcW w:w="700" w:type="dxa"/>
            <w:vAlign w:val="bottom"/>
            <w:tcBorders>
              <w:bottom w:val="single" w:sz="8" w:color="CFF0FC"/>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8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CFF0FC"/>
            </w:tcBorders>
          </w:tcPr>
          <w:p>
            <w:pPr>
              <w:spacing w:after="0" w:line="20" w:lineRule="exact"/>
              <w:rPr>
                <w:sz w:val="1"/>
                <w:szCs w:val="1"/>
                <w:color w:val="auto"/>
              </w:rPr>
            </w:pPr>
          </w:p>
        </w:tc>
        <w:tc>
          <w:tcPr>
            <w:tcW w:w="640" w:type="dxa"/>
            <w:vAlign w:val="bottom"/>
            <w:tcBorders>
              <w:bottom w:val="single" w:sz="8" w:color="CFF0FC"/>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2860" w:type="dxa"/>
            <w:vAlign w:val="bottom"/>
            <w:gridSpan w:val="2"/>
            <w:shd w:val="clear" w:color="auto" w:fill="CFF0FC"/>
          </w:tcPr>
          <w:p>
            <w:pPr>
              <w:spacing w:after="0" w:line="122" w:lineRule="exact"/>
              <w:rPr>
                <w:sz w:val="20"/>
                <w:szCs w:val="20"/>
                <w:color w:val="auto"/>
              </w:rPr>
            </w:pPr>
            <w:r>
              <w:rPr>
                <w:rFonts w:ascii="Arial" w:cs="Arial" w:eastAsia="Arial" w:hAnsi="Arial"/>
                <w:sz w:val="11"/>
                <w:szCs w:val="11"/>
                <w:color w:val="auto"/>
              </w:rPr>
              <w:t>Balance at December 31, 2015</w:t>
            </w:r>
          </w:p>
        </w:tc>
        <w:tc>
          <w:tcPr>
            <w:tcW w:w="200" w:type="dxa"/>
            <w:vAlign w:val="bottom"/>
            <w:shd w:val="clear" w:color="auto" w:fill="CFF0FC"/>
          </w:tcPr>
          <w:p>
            <w:pPr>
              <w:spacing w:after="0"/>
              <w:rPr>
                <w:sz w:val="10"/>
                <w:szCs w:val="10"/>
                <w:color w:val="auto"/>
              </w:rPr>
            </w:pPr>
          </w:p>
        </w:tc>
        <w:tc>
          <w:tcPr>
            <w:tcW w:w="260" w:type="dxa"/>
            <w:vAlign w:val="bottom"/>
            <w:shd w:val="clear" w:color="auto" w:fill="CFF0FC"/>
          </w:tcPr>
          <w:p>
            <w:pPr>
              <w:spacing w:after="0"/>
              <w:rPr>
                <w:sz w:val="10"/>
                <w:szCs w:val="10"/>
                <w:color w:val="auto"/>
              </w:rPr>
            </w:pPr>
          </w:p>
        </w:tc>
        <w:tc>
          <w:tcPr>
            <w:tcW w:w="200" w:type="dxa"/>
            <w:vAlign w:val="bottom"/>
            <w:shd w:val="clear" w:color="auto" w:fill="CFF0FC"/>
          </w:tcPr>
          <w:p>
            <w:pPr>
              <w:jc w:val="right"/>
              <w:spacing w:after="0" w:line="119" w:lineRule="exact"/>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0"/>
                <w:szCs w:val="10"/>
                <w:color w:val="auto"/>
              </w:rPr>
            </w:pPr>
          </w:p>
        </w:tc>
        <w:tc>
          <w:tcPr>
            <w:tcW w:w="160" w:type="dxa"/>
            <w:vAlign w:val="bottom"/>
            <w:shd w:val="clear" w:color="auto" w:fill="CFF0FC"/>
          </w:tcPr>
          <w:p>
            <w:pPr>
              <w:jc w:val="right"/>
              <w:ind w:right="51"/>
              <w:spacing w:after="0"/>
              <w:rPr>
                <w:sz w:val="20"/>
                <w:szCs w:val="20"/>
                <w:color w:val="auto"/>
              </w:rPr>
            </w:pPr>
            <w:r>
              <w:rPr>
                <w:rFonts w:ascii="Arial" w:cs="Arial" w:eastAsia="Arial" w:hAnsi="Arial"/>
                <w:sz w:val="10"/>
                <w:szCs w:val="10"/>
                <w:color w:val="auto"/>
                <w:w w:val="71"/>
              </w:rPr>
              <w:t>$</w:t>
            </w:r>
          </w:p>
        </w:tc>
        <w:tc>
          <w:tcPr>
            <w:tcW w:w="320" w:type="dxa"/>
            <w:vAlign w:val="bottom"/>
            <w:shd w:val="clear" w:color="auto" w:fill="CFF0FC"/>
          </w:tcPr>
          <w:p>
            <w:pPr>
              <w:spacing w:after="0"/>
              <w:rPr>
                <w:sz w:val="10"/>
                <w:szCs w:val="10"/>
                <w:color w:val="auto"/>
              </w:rPr>
            </w:pPr>
          </w:p>
        </w:tc>
        <w:tc>
          <w:tcPr>
            <w:tcW w:w="180" w:type="dxa"/>
            <w:vAlign w:val="bottom"/>
            <w:shd w:val="clear" w:color="auto" w:fill="CFF0FC"/>
          </w:tcPr>
          <w:p>
            <w:pPr>
              <w:jc w:val="right"/>
              <w:spacing w:after="0" w:line="119" w:lineRule="exact"/>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0"/>
                <w:szCs w:val="10"/>
                <w:color w:val="auto"/>
              </w:rPr>
            </w:pPr>
          </w:p>
        </w:tc>
        <w:tc>
          <w:tcPr>
            <w:tcW w:w="280" w:type="dxa"/>
            <w:vAlign w:val="bottom"/>
            <w:shd w:val="clear" w:color="auto" w:fill="CFF0FC"/>
          </w:tcPr>
          <w:p>
            <w:pPr>
              <w:spacing w:after="0"/>
              <w:rPr>
                <w:sz w:val="10"/>
                <w:szCs w:val="10"/>
                <w:color w:val="auto"/>
              </w:rPr>
            </w:pPr>
          </w:p>
        </w:tc>
        <w:tc>
          <w:tcPr>
            <w:tcW w:w="560" w:type="dxa"/>
            <w:vAlign w:val="bottom"/>
            <w:gridSpan w:val="2"/>
            <w:shd w:val="clear" w:color="auto" w:fill="CFF0FC"/>
          </w:tcPr>
          <w:p>
            <w:pPr>
              <w:jc w:val="right"/>
              <w:spacing w:after="0" w:line="119" w:lineRule="exact"/>
              <w:rPr>
                <w:sz w:val="20"/>
                <w:szCs w:val="20"/>
                <w:color w:val="auto"/>
              </w:rPr>
            </w:pPr>
            <w:r>
              <w:rPr>
                <w:rFonts w:ascii="Arial" w:cs="Arial" w:eastAsia="Arial" w:hAnsi="Arial"/>
                <w:sz w:val="11"/>
                <w:szCs w:val="11"/>
                <w:color w:val="auto"/>
                <w:w w:val="88"/>
              </w:rPr>
              <w:t>149,862,459</w:t>
            </w:r>
          </w:p>
        </w:tc>
        <w:tc>
          <w:tcPr>
            <w:tcW w:w="240" w:type="dxa"/>
            <w:vAlign w:val="bottom"/>
            <w:shd w:val="clear" w:color="auto" w:fill="CFF0FC"/>
          </w:tcPr>
          <w:p>
            <w:pPr>
              <w:spacing w:after="0"/>
              <w:rPr>
                <w:sz w:val="10"/>
                <w:szCs w:val="10"/>
                <w:color w:val="auto"/>
              </w:rPr>
            </w:pPr>
          </w:p>
        </w:tc>
        <w:tc>
          <w:tcPr>
            <w:tcW w:w="160" w:type="dxa"/>
            <w:vAlign w:val="bottom"/>
            <w:shd w:val="clear" w:color="auto" w:fill="CFF0FC"/>
          </w:tcPr>
          <w:p>
            <w:pPr>
              <w:jc w:val="right"/>
              <w:ind w:right="51"/>
              <w:spacing w:after="0"/>
              <w:rPr>
                <w:sz w:val="20"/>
                <w:szCs w:val="20"/>
                <w:color w:val="auto"/>
              </w:rPr>
            </w:pPr>
            <w:r>
              <w:rPr>
                <w:rFonts w:ascii="Arial" w:cs="Arial" w:eastAsia="Arial" w:hAnsi="Arial"/>
                <w:sz w:val="10"/>
                <w:szCs w:val="10"/>
                <w:color w:val="auto"/>
                <w:w w:val="71"/>
              </w:rPr>
              <w:t>$</w:t>
            </w:r>
          </w:p>
        </w:tc>
        <w:tc>
          <w:tcPr>
            <w:tcW w:w="500" w:type="dxa"/>
            <w:vAlign w:val="bottom"/>
            <w:gridSpan w:val="2"/>
            <w:shd w:val="clear" w:color="auto" w:fill="CFF0FC"/>
          </w:tcPr>
          <w:p>
            <w:pPr>
              <w:jc w:val="right"/>
              <w:spacing w:after="0" w:line="119" w:lineRule="exact"/>
              <w:rPr>
                <w:sz w:val="20"/>
                <w:szCs w:val="20"/>
                <w:color w:val="auto"/>
              </w:rPr>
            </w:pPr>
            <w:r>
              <w:rPr>
                <w:rFonts w:ascii="Arial" w:cs="Arial" w:eastAsia="Arial" w:hAnsi="Arial"/>
                <w:sz w:val="11"/>
                <w:szCs w:val="11"/>
                <w:color w:val="auto"/>
              </w:rPr>
              <w:t>15</w:t>
            </w:r>
          </w:p>
        </w:tc>
        <w:tc>
          <w:tcPr>
            <w:tcW w:w="240" w:type="dxa"/>
            <w:vAlign w:val="bottom"/>
            <w:shd w:val="clear" w:color="auto" w:fill="CFF0FC"/>
          </w:tcPr>
          <w:p>
            <w:pPr>
              <w:spacing w:after="0"/>
              <w:rPr>
                <w:sz w:val="10"/>
                <w:szCs w:val="10"/>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FF0FC"/>
          </w:tcPr>
          <w:p>
            <w:pPr>
              <w:jc w:val="right"/>
              <w:spacing w:after="0" w:line="119" w:lineRule="exact"/>
              <w:rPr>
                <w:sz w:val="20"/>
                <w:szCs w:val="20"/>
                <w:color w:val="auto"/>
              </w:rPr>
            </w:pPr>
            <w:r>
              <w:rPr>
                <w:rFonts w:ascii="Arial" w:cs="Arial" w:eastAsia="Arial" w:hAnsi="Arial"/>
                <w:sz w:val="11"/>
                <w:szCs w:val="11"/>
                <w:color w:val="auto"/>
              </w:rPr>
              <w:t>1,392</w:t>
            </w:r>
          </w:p>
        </w:tc>
        <w:tc>
          <w:tcPr>
            <w:tcW w:w="220" w:type="dxa"/>
            <w:vAlign w:val="bottom"/>
            <w:shd w:val="clear" w:color="auto" w:fill="CFF0FC"/>
          </w:tcPr>
          <w:p>
            <w:pPr>
              <w:spacing w:after="0"/>
              <w:rPr>
                <w:sz w:val="10"/>
                <w:szCs w:val="10"/>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FF0FC"/>
          </w:tcPr>
          <w:p>
            <w:pPr>
              <w:jc w:val="right"/>
              <w:ind w:right="180"/>
              <w:spacing w:after="0" w:line="119" w:lineRule="exact"/>
              <w:rPr>
                <w:sz w:val="20"/>
                <w:szCs w:val="20"/>
                <w:color w:val="auto"/>
              </w:rPr>
            </w:pPr>
            <w:r>
              <w:rPr>
                <w:rFonts w:ascii="Arial" w:cs="Arial" w:eastAsia="Arial" w:hAnsi="Arial"/>
                <w:sz w:val="11"/>
                <w:szCs w:val="11"/>
                <w:color w:val="auto"/>
              </w:rPr>
              <w:t>(5,427)</w:t>
            </w: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gridSpan w:val="2"/>
            <w:shd w:val="clear" w:color="auto" w:fill="CFF0FC"/>
          </w:tcPr>
          <w:p>
            <w:pPr>
              <w:jc w:val="right"/>
              <w:ind w:right="100"/>
              <w:spacing w:after="0" w:line="119" w:lineRule="exact"/>
              <w:rPr>
                <w:sz w:val="20"/>
                <w:szCs w:val="20"/>
                <w:color w:val="auto"/>
              </w:rPr>
            </w:pPr>
            <w:r>
              <w:rPr>
                <w:rFonts w:ascii="Arial" w:cs="Arial" w:eastAsia="Arial" w:hAnsi="Arial"/>
                <w:sz w:val="11"/>
                <w:szCs w:val="11"/>
                <w:color w:val="auto"/>
              </w:rPr>
              <w:t>(1,162,886)</w:t>
            </w:r>
          </w:p>
        </w:tc>
        <w:tc>
          <w:tcPr>
            <w:tcW w:w="160" w:type="dxa"/>
            <w:vAlign w:val="bottom"/>
            <w:gridSpan w:val="2"/>
            <w:shd w:val="clear" w:color="auto" w:fill="CFF0FC"/>
          </w:tcPr>
          <w:p>
            <w:pPr>
              <w:jc w:val="right"/>
              <w:ind w:right="20"/>
              <w:spacing w:after="0" w:line="119" w:lineRule="exact"/>
              <w:rPr>
                <w:sz w:val="20"/>
                <w:szCs w:val="20"/>
                <w:color w:val="auto"/>
              </w:rPr>
            </w:pPr>
            <w:r>
              <w:rPr>
                <w:rFonts w:ascii="Arial" w:cs="Arial" w:eastAsia="Arial" w:hAnsi="Arial"/>
                <w:sz w:val="11"/>
                <w:szCs w:val="11"/>
                <w:color w:val="auto"/>
              </w:rPr>
              <w:t>$</w:t>
            </w:r>
          </w:p>
        </w:tc>
        <w:tc>
          <w:tcPr>
            <w:tcW w:w="700" w:type="dxa"/>
            <w:vAlign w:val="bottom"/>
            <w:shd w:val="clear" w:color="auto" w:fill="CFF0FC"/>
          </w:tcPr>
          <w:p>
            <w:pPr>
              <w:jc w:val="right"/>
              <w:spacing w:after="0" w:line="119" w:lineRule="exact"/>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0"/>
                <w:szCs w:val="10"/>
                <w:color w:val="auto"/>
              </w:rPr>
            </w:pPr>
          </w:p>
        </w:tc>
        <w:tc>
          <w:tcPr>
            <w:tcW w:w="240" w:type="dxa"/>
            <w:vAlign w:val="bottom"/>
            <w:gridSpan w:val="2"/>
            <w:shd w:val="clear" w:color="auto" w:fill="CFF0FC"/>
          </w:tcPr>
          <w:p>
            <w:pPr>
              <w:jc w:val="right"/>
              <w:ind w:right="52"/>
              <w:spacing w:after="0" w:line="119" w:lineRule="exact"/>
              <w:rPr>
                <w:sz w:val="20"/>
                <w:szCs w:val="20"/>
                <w:color w:val="auto"/>
              </w:rPr>
            </w:pPr>
            <w:r>
              <w:rPr>
                <w:rFonts w:ascii="Arial" w:cs="Arial" w:eastAsia="Arial" w:hAnsi="Arial"/>
                <w:sz w:val="11"/>
                <w:szCs w:val="11"/>
                <w:color w:val="auto"/>
              </w:rPr>
              <w:t>$</w:t>
            </w:r>
          </w:p>
        </w:tc>
        <w:tc>
          <w:tcPr>
            <w:tcW w:w="760" w:type="dxa"/>
            <w:vAlign w:val="bottom"/>
            <w:gridSpan w:val="2"/>
            <w:shd w:val="clear" w:color="auto" w:fill="CFF0FC"/>
          </w:tcPr>
          <w:p>
            <w:pPr>
              <w:jc w:val="right"/>
              <w:ind w:right="80"/>
              <w:spacing w:after="0" w:line="119" w:lineRule="exact"/>
              <w:rPr>
                <w:sz w:val="20"/>
                <w:szCs w:val="20"/>
                <w:color w:val="auto"/>
              </w:rPr>
            </w:pPr>
            <w:r>
              <w:rPr>
                <w:rFonts w:ascii="Arial" w:cs="Arial" w:eastAsia="Arial" w:hAnsi="Arial"/>
                <w:sz w:val="11"/>
                <w:szCs w:val="11"/>
                <w:color w:val="auto"/>
              </w:rPr>
              <w:t>(1,166,906)</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2016 Activity:</w:t>
            </w: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Net loss</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(212)</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(212)</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Issuance of common stock</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5,077,629</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137,665</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rPr>
                <w:sz w:val="20"/>
                <w:szCs w:val="20"/>
                <w:color w:val="auto"/>
              </w:rPr>
            </w:pPr>
            <w:r>
              <w:rPr>
                <w:rFonts w:ascii="Arial" w:cs="Arial" w:eastAsia="Arial" w:hAnsi="Arial"/>
                <w:sz w:val="11"/>
                <w:szCs w:val="11"/>
                <w:color w:val="auto"/>
              </w:rPr>
              <w:t>137,665</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Amortization of discount on convertible preferred stock</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(1,985)</w:t>
            </w: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(1,985)</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Other comprehensive loss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1"/>
                <w:szCs w:val="11"/>
                <w:color w:val="auto"/>
              </w:rPr>
              <w:t>(942)</w:t>
            </w:r>
          </w:p>
        </w:tc>
        <w:tc>
          <w:tcPr>
            <w:tcW w:w="6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(942)</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Common stock dividends</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(370,186)</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(370,186)</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Convertible preferred stock dividends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(1,743)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(1,743)</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Equity issuance cost</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(623)</w:t>
            </w: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(623)</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Net share settlement</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1"/>
                <w:szCs w:val="11"/>
                <w:color w:val="auto"/>
              </w:rPr>
              <w:t>(203)</w:t>
            </w: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(2,156)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(2,359)</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Stock-based compensation</w:t>
            </w:r>
          </w:p>
        </w:tc>
        <w:tc>
          <w:tcPr>
            <w:tcW w:w="66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spacing w:after="0"/>
              <w:rPr>
                <w:sz w:val="12"/>
                <w:szCs w:val="12"/>
                <w:color w:val="auto"/>
              </w:rPr>
            </w:pPr>
          </w:p>
        </w:tc>
        <w:tc>
          <w:tcPr>
            <w:tcW w:w="50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1"/>
                <w:szCs w:val="11"/>
                <w:color w:val="auto"/>
              </w:rPr>
              <w:t>198,549</w:t>
            </w:r>
          </w:p>
        </w:tc>
        <w:tc>
          <w:tcPr>
            <w:tcW w:w="240" w:type="dxa"/>
            <w:vAlign w:val="bottom"/>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spacing w:after="0"/>
              <w:rPr>
                <w:sz w:val="12"/>
                <w:szCs w:val="12"/>
                <w:color w:val="auto"/>
              </w:rPr>
            </w:pPr>
          </w:p>
        </w:tc>
        <w:tc>
          <w:tcPr>
            <w:tcW w:w="50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tcBorders>
              <w:bottom w:val="single" w:sz="8" w:color="auto"/>
            </w:tcBorders>
            <w:shd w:val="clear" w:color="auto" w:fill="CFF0FC"/>
          </w:tcPr>
          <w:p>
            <w:pPr>
              <w:spacing w:after="0"/>
              <w:rPr>
                <w:sz w:val="12"/>
                <w:szCs w:val="12"/>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4,846</w:t>
            </w:r>
          </w:p>
        </w:tc>
        <w:tc>
          <w:tcPr>
            <w:tcW w:w="220" w:type="dxa"/>
            <w:vAlign w:val="bottom"/>
            <w:shd w:val="clear" w:color="auto" w:fill="CFF0FC"/>
          </w:tcPr>
          <w:p>
            <w:pPr>
              <w:spacing w:after="0"/>
              <w:rPr>
                <w:sz w:val="12"/>
                <w:szCs w:val="12"/>
                <w:color w:val="auto"/>
              </w:rPr>
            </w:pPr>
          </w:p>
        </w:tc>
        <w:tc>
          <w:tcPr>
            <w:tcW w:w="80" w:type="dxa"/>
            <w:vAlign w:val="bottom"/>
            <w:tcBorders>
              <w:bottom w:val="single" w:sz="8" w:color="auto"/>
            </w:tcBorders>
            <w:shd w:val="clear" w:color="auto" w:fill="CFF0FC"/>
          </w:tcPr>
          <w:p>
            <w:pPr>
              <w:spacing w:after="0"/>
              <w:rPr>
                <w:sz w:val="12"/>
                <w:szCs w:val="12"/>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tcBorders>
              <w:bottom w:val="single" w:sz="8" w:color="auto"/>
            </w:tcBorders>
            <w:shd w:val="clear" w:color="auto" w:fill="CFF0FC"/>
          </w:tcPr>
          <w:p>
            <w:pPr>
              <w:spacing w:after="0"/>
              <w:rPr>
                <w:sz w:val="12"/>
                <w:szCs w:val="12"/>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tcBorders>
              <w:bottom w:val="single" w:sz="8" w:color="auto"/>
            </w:tcBorders>
            <w:shd w:val="clear" w:color="auto" w:fill="CFF0FC"/>
          </w:tcPr>
          <w:p>
            <w:pPr>
              <w:spacing w:after="0"/>
              <w:rPr>
                <w:sz w:val="12"/>
                <w:szCs w:val="12"/>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spacing w:after="0"/>
              <w:rPr>
                <w:sz w:val="12"/>
                <w:szCs w:val="12"/>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4,846</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860" w:type="dxa"/>
            <w:vAlign w:val="bottom"/>
            <w:gridSpan w:val="2"/>
          </w:tcPr>
          <w:p>
            <w:pPr>
              <w:spacing w:after="0"/>
              <w:rPr>
                <w:sz w:val="20"/>
                <w:szCs w:val="20"/>
                <w:color w:val="auto"/>
              </w:rPr>
            </w:pPr>
            <w:r>
              <w:rPr>
                <w:rFonts w:ascii="Arial" w:cs="Arial" w:eastAsia="Arial" w:hAnsi="Arial"/>
                <w:sz w:val="11"/>
                <w:szCs w:val="11"/>
                <w:color w:val="auto"/>
              </w:rPr>
              <w:t>Balance at December 31, 2016</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jc w:val="right"/>
              <w:ind w:right="51"/>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155,138,637</w:t>
            </w:r>
          </w:p>
        </w:tc>
        <w:tc>
          <w:tcPr>
            <w:tcW w:w="240" w:type="dxa"/>
            <w:vAlign w:val="bottom"/>
          </w:tcPr>
          <w:p>
            <w:pPr>
              <w:spacing w:after="0"/>
              <w:rPr>
                <w:sz w:val="12"/>
                <w:szCs w:val="12"/>
                <w:color w:val="auto"/>
              </w:rPr>
            </w:pPr>
          </w:p>
        </w:tc>
        <w:tc>
          <w:tcPr>
            <w:tcW w:w="160" w:type="dxa"/>
            <w:vAlign w:val="bottom"/>
          </w:tcPr>
          <w:p>
            <w:pPr>
              <w:jc w:val="right"/>
              <w:ind w:right="51"/>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15</w:t>
            </w:r>
          </w:p>
        </w:tc>
        <w:tc>
          <w:tcPr>
            <w:tcW w:w="24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Pr>
          <w:p>
            <w:pPr>
              <w:jc w:val="right"/>
              <w:spacing w:after="0"/>
              <w:rPr>
                <w:sz w:val="20"/>
                <w:szCs w:val="20"/>
                <w:color w:val="auto"/>
              </w:rPr>
            </w:pPr>
            <w:r>
              <w:rPr>
                <w:rFonts w:ascii="Arial" w:cs="Arial" w:eastAsia="Arial" w:hAnsi="Arial"/>
                <w:sz w:val="11"/>
                <w:szCs w:val="11"/>
                <w:color w:val="auto"/>
              </w:rPr>
              <w:t>141,092</w:t>
            </w:r>
          </w:p>
        </w:tc>
        <w:tc>
          <w:tcPr>
            <w:tcW w:w="22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80"/>
              <w:spacing w:after="0"/>
              <w:rPr>
                <w:sz w:val="20"/>
                <w:szCs w:val="20"/>
                <w:color w:val="auto"/>
              </w:rPr>
            </w:pPr>
            <w:r>
              <w:rPr>
                <w:rFonts w:ascii="Arial" w:cs="Arial" w:eastAsia="Arial" w:hAnsi="Arial"/>
                <w:sz w:val="11"/>
                <w:szCs w:val="11"/>
                <w:color w:val="auto"/>
              </w:rPr>
              <w:t>(6,369)</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(1,537,183)</w:t>
            </w:r>
          </w:p>
        </w:tc>
        <w:tc>
          <w:tcPr>
            <w:tcW w:w="16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240" w:type="dxa"/>
            <w:vAlign w:val="bottom"/>
            <w:gridSpan w:val="2"/>
          </w:tcPr>
          <w:p>
            <w:pPr>
              <w:jc w:val="right"/>
              <w:ind w:right="52"/>
              <w:spacing w:after="0"/>
              <w:rPr>
                <w:sz w:val="20"/>
                <w:szCs w:val="20"/>
                <w:color w:val="auto"/>
              </w:rPr>
            </w:pPr>
            <w:r>
              <w:rPr>
                <w:rFonts w:ascii="Arial" w:cs="Arial" w:eastAsia="Arial" w:hAnsi="Arial"/>
                <w:sz w:val="11"/>
                <w:szCs w:val="11"/>
                <w:color w:val="auto"/>
              </w:rPr>
              <w:t>$</w:t>
            </w: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(1,402,445)</w:t>
            </w:r>
          </w:p>
        </w:tc>
        <w:tc>
          <w:tcPr>
            <w:tcW w:w="0" w:type="dxa"/>
            <w:vAlign w:val="bottom"/>
          </w:tcPr>
          <w:p>
            <w:pPr>
              <w:spacing w:after="0"/>
              <w:rPr>
                <w:sz w:val="1"/>
                <w:szCs w:val="1"/>
                <w:color w:val="auto"/>
              </w:rPr>
            </w:pPr>
          </w:p>
        </w:tc>
      </w:tr>
      <w:tr>
        <w:trPr>
          <w:trHeight w:val="144"/>
        </w:trPr>
        <w:tc>
          <w:tcPr>
            <w:tcW w:w="286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1"/>
                <w:szCs w:val="11"/>
                <w:color w:val="auto"/>
              </w:rPr>
              <w:t>2017 Activity:</w:t>
            </w:r>
          </w:p>
        </w:tc>
        <w:tc>
          <w:tcPr>
            <w:tcW w:w="2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28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30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6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64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Net (loss) income</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(9,439)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611</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(8,828)</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Issuance of common stock</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19,528,302</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2</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517,499</w:t>
            </w: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517,501</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Amortization of discount on convertible preferred stock</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1"/>
                <w:szCs w:val="11"/>
                <w:color w:val="auto"/>
              </w:rPr>
              <w:t>(2,980)</w:t>
            </w: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(2,980)</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Other comprehensive income</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14,190</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365</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14,555</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Common stock dividends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(410,054)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(410,054)</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Distributions to noncontrolling interest</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(4,978)</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(4,978)</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Convertible preferred stock dividends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(2,624)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(2,624)</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Equity issuance cost</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(18,575)</w:t>
            </w: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(18,575)</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Contributions from noncontrolling interest holders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105,969</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rPr>
                <w:sz w:val="20"/>
                <w:szCs w:val="20"/>
                <w:color w:val="auto"/>
              </w:rPr>
            </w:pPr>
            <w:r>
              <w:rPr>
                <w:rFonts w:ascii="Arial" w:cs="Arial" w:eastAsia="Arial" w:hAnsi="Arial"/>
                <w:sz w:val="11"/>
                <w:szCs w:val="11"/>
                <w:color w:val="auto"/>
              </w:rPr>
              <w:t>105,969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Purchase of noncontrolling interest</w:t>
            </w:r>
          </w:p>
        </w:tc>
        <w:tc>
          <w:tcPr>
            <w:tcW w:w="66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(560)</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(560)</w:t>
            </w:r>
          </w:p>
        </w:tc>
        <w:tc>
          <w:tcPr>
            <w:tcW w:w="0" w:type="dxa"/>
            <w:vAlign w:val="bottom"/>
          </w:tcPr>
          <w:p>
            <w:pPr>
              <w:spacing w:after="0"/>
              <w:rPr>
                <w:sz w:val="1"/>
                <w:szCs w:val="1"/>
                <w:color w:val="auto"/>
              </w:rPr>
            </w:pPr>
          </w:p>
        </w:tc>
      </w:tr>
      <w:tr>
        <w:trPr>
          <w:trHeight w:val="142"/>
        </w:trPr>
        <w:tc>
          <w:tcPr>
            <w:tcW w:w="2860" w:type="dxa"/>
            <w:vAlign w:val="bottom"/>
            <w:gridSpan w:val="2"/>
          </w:tcPr>
          <w:p>
            <w:pPr>
              <w:spacing w:after="0"/>
              <w:rPr>
                <w:sz w:val="20"/>
                <w:szCs w:val="20"/>
                <w:color w:val="auto"/>
              </w:rPr>
            </w:pPr>
            <w:r>
              <w:rPr>
                <w:rFonts w:ascii="Arial" w:cs="Arial" w:eastAsia="Arial" w:hAnsi="Arial"/>
                <w:sz w:val="11"/>
                <w:szCs w:val="11"/>
                <w:color w:val="auto"/>
              </w:rPr>
              <w:t>Net share settlement</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1"/>
                <w:szCs w:val="11"/>
                <w:color w:val="auto"/>
              </w:rPr>
              <w:t>(421)</w:t>
            </w:r>
          </w:p>
        </w:tc>
        <w:tc>
          <w:tcPr>
            <w:tcW w:w="8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(1,415)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(1,836)</w:t>
            </w:r>
          </w:p>
        </w:tc>
        <w:tc>
          <w:tcPr>
            <w:tcW w:w="0" w:type="dxa"/>
            <w:vAlign w:val="bottom"/>
          </w:tcPr>
          <w:p>
            <w:pPr>
              <w:spacing w:after="0"/>
              <w:rPr>
                <w:sz w:val="1"/>
                <w:szCs w:val="1"/>
                <w:color w:val="auto"/>
              </w:rPr>
            </w:pPr>
          </w:p>
        </w:tc>
      </w:tr>
      <w:tr>
        <w:trPr>
          <w:trHeight w:val="146"/>
        </w:trPr>
        <w:tc>
          <w:tcPr>
            <w:tcW w:w="286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Stock-based compensation</w:t>
            </w:r>
          </w:p>
        </w:tc>
        <w:tc>
          <w:tcPr>
            <w:tcW w:w="66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spacing w:after="0"/>
              <w:rPr>
                <w:sz w:val="12"/>
                <w:szCs w:val="12"/>
                <w:color w:val="auto"/>
              </w:rPr>
            </w:pPr>
          </w:p>
        </w:tc>
        <w:tc>
          <w:tcPr>
            <w:tcW w:w="50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1"/>
                <w:szCs w:val="11"/>
                <w:color w:val="auto"/>
              </w:rPr>
              <w:t>184,575</w:t>
            </w:r>
          </w:p>
        </w:tc>
        <w:tc>
          <w:tcPr>
            <w:tcW w:w="240" w:type="dxa"/>
            <w:vAlign w:val="bottom"/>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spacing w:after="0"/>
              <w:rPr>
                <w:sz w:val="12"/>
                <w:szCs w:val="12"/>
                <w:color w:val="auto"/>
              </w:rPr>
            </w:pPr>
          </w:p>
        </w:tc>
        <w:tc>
          <w:tcPr>
            <w:tcW w:w="50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100" w:type="dxa"/>
            <w:vAlign w:val="bottom"/>
            <w:tcBorders>
              <w:bottom w:val="single" w:sz="8" w:color="auto"/>
            </w:tcBorders>
            <w:shd w:val="clear" w:color="auto" w:fill="CFF0FC"/>
          </w:tcPr>
          <w:p>
            <w:pPr>
              <w:spacing w:after="0"/>
              <w:rPr>
                <w:sz w:val="12"/>
                <w:szCs w:val="12"/>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7,713</w:t>
            </w:r>
          </w:p>
        </w:tc>
        <w:tc>
          <w:tcPr>
            <w:tcW w:w="220" w:type="dxa"/>
            <w:vAlign w:val="bottom"/>
            <w:shd w:val="clear" w:color="auto" w:fill="CFF0FC"/>
          </w:tcPr>
          <w:p>
            <w:pPr>
              <w:spacing w:after="0"/>
              <w:rPr>
                <w:sz w:val="12"/>
                <w:szCs w:val="12"/>
                <w:color w:val="auto"/>
              </w:rPr>
            </w:pPr>
          </w:p>
        </w:tc>
        <w:tc>
          <w:tcPr>
            <w:tcW w:w="80" w:type="dxa"/>
            <w:vAlign w:val="bottom"/>
            <w:tcBorders>
              <w:bottom w:val="single" w:sz="8" w:color="auto"/>
            </w:tcBorders>
            <w:shd w:val="clear" w:color="auto" w:fill="CFF0FC"/>
          </w:tcPr>
          <w:p>
            <w:pPr>
              <w:spacing w:after="0"/>
              <w:rPr>
                <w:sz w:val="12"/>
                <w:szCs w:val="12"/>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60" w:type="dxa"/>
            <w:vAlign w:val="bottom"/>
            <w:tcBorders>
              <w:bottom w:val="single" w:sz="8" w:color="auto"/>
            </w:tcBorders>
            <w:shd w:val="clear" w:color="auto" w:fill="CFF0FC"/>
          </w:tcPr>
          <w:p>
            <w:pPr>
              <w:spacing w:after="0"/>
              <w:rPr>
                <w:sz w:val="12"/>
                <w:szCs w:val="12"/>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tcBorders>
              <w:bottom w:val="single" w:sz="8" w:color="auto"/>
            </w:tcBorders>
            <w:shd w:val="clear" w:color="auto" w:fill="CFF0FC"/>
          </w:tcPr>
          <w:p>
            <w:pPr>
              <w:spacing w:after="0"/>
              <w:rPr>
                <w:sz w:val="12"/>
                <w:szCs w:val="12"/>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spacing w:after="0"/>
              <w:rPr>
                <w:sz w:val="12"/>
                <w:szCs w:val="12"/>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7,713</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860" w:type="dxa"/>
            <w:vAlign w:val="bottom"/>
            <w:gridSpan w:val="2"/>
          </w:tcPr>
          <w:p>
            <w:pPr>
              <w:spacing w:after="0"/>
              <w:rPr>
                <w:sz w:val="20"/>
                <w:szCs w:val="20"/>
                <w:color w:val="auto"/>
              </w:rPr>
            </w:pPr>
            <w:r>
              <w:rPr>
                <w:rFonts w:ascii="Arial" w:cs="Arial" w:eastAsia="Arial" w:hAnsi="Arial"/>
                <w:sz w:val="11"/>
                <w:szCs w:val="11"/>
                <w:color w:val="auto"/>
              </w:rPr>
              <w:t>Balance at December 31, 2017</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160" w:type="dxa"/>
            <w:vAlign w:val="bottom"/>
          </w:tcPr>
          <w:p>
            <w:pPr>
              <w:jc w:val="right"/>
              <w:ind w:right="51"/>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174,851,514</w:t>
            </w:r>
          </w:p>
        </w:tc>
        <w:tc>
          <w:tcPr>
            <w:tcW w:w="240" w:type="dxa"/>
            <w:vAlign w:val="bottom"/>
          </w:tcPr>
          <w:p>
            <w:pPr>
              <w:spacing w:after="0"/>
              <w:rPr>
                <w:sz w:val="12"/>
                <w:szCs w:val="12"/>
                <w:color w:val="auto"/>
              </w:rPr>
            </w:pPr>
          </w:p>
        </w:tc>
        <w:tc>
          <w:tcPr>
            <w:tcW w:w="160" w:type="dxa"/>
            <w:vAlign w:val="bottom"/>
          </w:tcPr>
          <w:p>
            <w:pPr>
              <w:jc w:val="right"/>
              <w:ind w:right="51"/>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17</w:t>
            </w:r>
          </w:p>
        </w:tc>
        <w:tc>
          <w:tcPr>
            <w:tcW w:w="24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Pr>
          <w:p>
            <w:pPr>
              <w:jc w:val="right"/>
              <w:spacing w:after="0"/>
              <w:rPr>
                <w:sz w:val="20"/>
                <w:szCs w:val="20"/>
                <w:color w:val="auto"/>
              </w:rPr>
            </w:pPr>
            <w:r>
              <w:rPr>
                <w:rFonts w:ascii="Arial" w:cs="Arial" w:eastAsia="Arial" w:hAnsi="Arial"/>
                <w:sz w:val="11"/>
                <w:szCs w:val="11"/>
                <w:color w:val="auto"/>
              </w:rPr>
              <w:t>644,328</w:t>
            </w:r>
          </w:p>
        </w:tc>
        <w:tc>
          <w:tcPr>
            <w:tcW w:w="22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spacing w:after="0"/>
              <w:rPr>
                <w:sz w:val="20"/>
                <w:szCs w:val="20"/>
                <w:color w:val="auto"/>
              </w:rPr>
            </w:pPr>
            <w:r>
              <w:rPr>
                <w:rFonts w:ascii="Arial" w:cs="Arial" w:eastAsia="Arial" w:hAnsi="Arial"/>
                <w:sz w:val="11"/>
                <w:szCs w:val="11"/>
                <w:color w:val="auto"/>
              </w:rPr>
              <w:t>7,821</w:t>
            </w:r>
          </w:p>
        </w:tc>
        <w:tc>
          <w:tcPr>
            <w:tcW w:w="22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1"/>
                <w:szCs w:val="11"/>
                <w:color w:val="auto"/>
              </w:rPr>
              <w:t>(1,960,715)</w:t>
            </w:r>
          </w:p>
        </w:tc>
        <w:tc>
          <w:tcPr>
            <w:tcW w:w="16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700" w:type="dxa"/>
            <w:vAlign w:val="bottom"/>
          </w:tcPr>
          <w:p>
            <w:pPr>
              <w:jc w:val="right"/>
              <w:spacing w:after="0"/>
              <w:rPr>
                <w:sz w:val="20"/>
                <w:szCs w:val="20"/>
                <w:color w:val="auto"/>
              </w:rPr>
            </w:pPr>
            <w:r>
              <w:rPr>
                <w:rFonts w:ascii="Arial" w:cs="Arial" w:eastAsia="Arial" w:hAnsi="Arial"/>
                <w:sz w:val="11"/>
                <w:szCs w:val="11"/>
                <w:color w:val="auto"/>
              </w:rPr>
              <w:t>101,407</w:t>
            </w:r>
          </w:p>
        </w:tc>
        <w:tc>
          <w:tcPr>
            <w:tcW w:w="120" w:type="dxa"/>
            <w:vAlign w:val="bottom"/>
          </w:tcPr>
          <w:p>
            <w:pPr>
              <w:spacing w:after="0"/>
              <w:rPr>
                <w:sz w:val="12"/>
                <w:szCs w:val="12"/>
                <w:color w:val="auto"/>
              </w:rPr>
            </w:pPr>
          </w:p>
        </w:tc>
        <w:tc>
          <w:tcPr>
            <w:tcW w:w="240" w:type="dxa"/>
            <w:vAlign w:val="bottom"/>
            <w:gridSpan w:val="2"/>
          </w:tcPr>
          <w:p>
            <w:pPr>
              <w:jc w:val="right"/>
              <w:ind w:right="52"/>
              <w:spacing w:after="0"/>
              <w:rPr>
                <w:sz w:val="20"/>
                <w:szCs w:val="20"/>
                <w:color w:val="auto"/>
              </w:rPr>
            </w:pPr>
            <w:r>
              <w:rPr>
                <w:rFonts w:ascii="Arial" w:cs="Arial" w:eastAsia="Arial" w:hAnsi="Arial"/>
                <w:sz w:val="11"/>
                <w:szCs w:val="11"/>
                <w:color w:val="auto"/>
              </w:rPr>
              <w:t>$</w:t>
            </w:r>
          </w:p>
        </w:tc>
        <w:tc>
          <w:tcPr>
            <w:tcW w:w="760" w:type="dxa"/>
            <w:vAlign w:val="bottom"/>
            <w:gridSpan w:val="2"/>
          </w:tcPr>
          <w:p>
            <w:pPr>
              <w:jc w:val="right"/>
              <w:ind w:right="80"/>
              <w:spacing w:after="0"/>
              <w:rPr>
                <w:sz w:val="20"/>
                <w:szCs w:val="20"/>
                <w:color w:val="auto"/>
              </w:rPr>
            </w:pPr>
            <w:r>
              <w:rPr>
                <w:rFonts w:ascii="Arial" w:cs="Arial" w:eastAsia="Arial" w:hAnsi="Arial"/>
                <w:sz w:val="11"/>
                <w:szCs w:val="11"/>
                <w:color w:val="auto"/>
              </w:rPr>
              <w:t>(1,207,142)</w:t>
            </w:r>
          </w:p>
        </w:tc>
        <w:tc>
          <w:tcPr>
            <w:tcW w:w="0" w:type="dxa"/>
            <w:vAlign w:val="bottom"/>
          </w:tcPr>
          <w:p>
            <w:pPr>
              <w:spacing w:after="0"/>
              <w:rPr>
                <w:sz w:val="1"/>
                <w:szCs w:val="1"/>
                <w:color w:val="auto"/>
              </w:rPr>
            </w:pPr>
          </w:p>
        </w:tc>
      </w:tr>
      <w:tr>
        <w:trPr>
          <w:trHeight w:val="144"/>
        </w:trPr>
        <w:tc>
          <w:tcPr>
            <w:tcW w:w="286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1"/>
                <w:szCs w:val="11"/>
                <w:color w:val="auto"/>
              </w:rPr>
              <w:t>2018 Activity:</w:t>
            </w:r>
          </w:p>
        </w:tc>
        <w:tc>
          <w:tcPr>
            <w:tcW w:w="2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28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30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32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6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64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860" w:type="dxa"/>
            <w:vAlign w:val="bottom"/>
            <w:gridSpan w:val="2"/>
          </w:tcPr>
          <w:p>
            <w:pPr>
              <w:spacing w:after="0"/>
              <w:rPr>
                <w:sz w:val="20"/>
                <w:szCs w:val="20"/>
                <w:color w:val="auto"/>
              </w:rPr>
            </w:pPr>
            <w:r>
              <w:rPr>
                <w:rFonts w:ascii="Arial" w:cs="Arial" w:eastAsia="Arial" w:hAnsi="Arial"/>
                <w:sz w:val="11"/>
                <w:szCs w:val="11"/>
                <w:color w:val="auto"/>
                <w:w w:val="96"/>
              </w:rPr>
              <w:t>Cumulative effect adjustment for adoption of new accounting</w:t>
            </w: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860" w:type="dxa"/>
            <w:vAlign w:val="bottom"/>
            <w:gridSpan w:val="2"/>
          </w:tcPr>
          <w:p>
            <w:pPr>
              <w:spacing w:after="0"/>
              <w:rPr>
                <w:sz w:val="20"/>
                <w:szCs w:val="20"/>
                <w:color w:val="auto"/>
              </w:rPr>
            </w:pPr>
            <w:r>
              <w:rPr>
                <w:rFonts w:ascii="Arial" w:cs="Arial" w:eastAsia="Arial" w:hAnsi="Arial"/>
                <w:sz w:val="11"/>
                <w:szCs w:val="11"/>
                <w:color w:val="auto"/>
              </w:rPr>
              <w:t>standard</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840" w:type="dxa"/>
            <w:vAlign w:val="bottom"/>
            <w:gridSpan w:val="3"/>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gridSpan w:val="2"/>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1,859</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jc w:val="right"/>
              <w:spacing w:after="0"/>
              <w:rPr>
                <w:sz w:val="20"/>
                <w:szCs w:val="20"/>
                <w:color w:val="auto"/>
              </w:rPr>
            </w:pPr>
            <w:r>
              <w:rPr>
                <w:rFonts w:ascii="Arial" w:cs="Arial" w:eastAsia="Arial" w:hAnsi="Arial"/>
                <w:sz w:val="11"/>
                <w:szCs w:val="11"/>
                <w:color w:val="auto"/>
              </w:rPr>
              <w:t>1,859</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3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61" w:name="page62"/>
    <w:bookmarkEnd w:id="6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Consolidated Statements of Shareholders’ Deficit</w:t>
      </w:r>
    </w:p>
    <w:p>
      <w:pPr>
        <w:spacing w:after="0" w:line="78" w:lineRule="exact"/>
        <w:rPr>
          <w:sz w:val="20"/>
          <w:szCs w:val="20"/>
          <w:color w:val="auto"/>
        </w:rPr>
      </w:pPr>
    </w:p>
    <w:tbl>
      <w:tblPr>
        <w:tblLayout w:type="fixed"/>
        <w:tblInd w:w="0" w:type="dxa"/>
        <w:tblCellMar>
          <w:top w:w="0" w:type="dxa"/>
          <w:left w:w="0" w:type="dxa"/>
          <w:bottom w:w="0" w:type="dxa"/>
          <w:right w:w="0" w:type="dxa"/>
        </w:tblCellMar>
      </w:tblPr>
      <w:tr>
        <w:trPr>
          <w:trHeight w:val="144"/>
        </w:trPr>
        <w:tc>
          <w:tcPr>
            <w:tcW w:w="2860" w:type="dxa"/>
            <w:vAlign w:val="bottom"/>
            <w:shd w:val="clear" w:color="auto" w:fill="CFF0FC"/>
          </w:tcPr>
          <w:p>
            <w:pPr>
              <w:spacing w:after="0"/>
              <w:rPr>
                <w:sz w:val="20"/>
                <w:szCs w:val="20"/>
                <w:color w:val="auto"/>
              </w:rPr>
            </w:pPr>
            <w:r>
              <w:rPr>
                <w:rFonts w:ascii="Arial" w:cs="Arial" w:eastAsia="Arial" w:hAnsi="Arial"/>
                <w:sz w:val="11"/>
                <w:szCs w:val="11"/>
                <w:color w:val="auto"/>
              </w:rPr>
              <w:t>Net income</w:t>
            </w:r>
          </w:p>
        </w:tc>
        <w:tc>
          <w:tcPr>
            <w:tcW w:w="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3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16,187</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358</w:t>
            </w:r>
          </w:p>
        </w:tc>
        <w:tc>
          <w:tcPr>
            <w:tcW w:w="2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16,545</w:t>
            </w:r>
          </w:p>
        </w:tc>
        <w:tc>
          <w:tcPr>
            <w:tcW w:w="120" w:type="dxa"/>
            <w:vAlign w:val="bottom"/>
            <w:shd w:val="clear" w:color="auto" w:fill="CFF0FC"/>
          </w:tcPr>
          <w:p>
            <w:pPr>
              <w:spacing w:after="0"/>
              <w:rPr>
                <w:sz w:val="12"/>
                <w:szCs w:val="12"/>
                <w:color w:val="auto"/>
              </w:rPr>
            </w:pPr>
          </w:p>
        </w:tc>
      </w:tr>
      <w:tr>
        <w:trPr>
          <w:trHeight w:val="142"/>
        </w:trPr>
        <w:tc>
          <w:tcPr>
            <w:tcW w:w="2860" w:type="dxa"/>
            <w:vAlign w:val="bottom"/>
          </w:tcPr>
          <w:p>
            <w:pPr>
              <w:spacing w:after="0"/>
              <w:rPr>
                <w:sz w:val="20"/>
                <w:szCs w:val="20"/>
                <w:color w:val="auto"/>
              </w:rPr>
            </w:pPr>
            <w:r>
              <w:rPr>
                <w:rFonts w:ascii="Arial" w:cs="Arial" w:eastAsia="Arial" w:hAnsi="Arial"/>
                <w:sz w:val="11"/>
                <w:szCs w:val="11"/>
                <w:color w:val="auto"/>
                <w:w w:val="94"/>
              </w:rPr>
              <w:t>At-the-market issuance of common stock, net of offering costs</w:t>
            </w:r>
          </w:p>
        </w:tc>
        <w:tc>
          <w:tcPr>
            <w:tcW w:w="6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5,496,763</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1</w:t>
            </w: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109,441</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1"/>
                <w:szCs w:val="11"/>
                <w:color w:val="auto"/>
              </w:rPr>
              <w:t>109,442</w:t>
            </w:r>
          </w:p>
        </w:tc>
        <w:tc>
          <w:tcPr>
            <w:tcW w:w="120" w:type="dxa"/>
            <w:vAlign w:val="bottom"/>
          </w:tcPr>
          <w:p>
            <w:pPr>
              <w:spacing w:after="0"/>
              <w:rPr>
                <w:sz w:val="12"/>
                <w:szCs w:val="12"/>
                <w:color w:val="auto"/>
              </w:rPr>
            </w:pPr>
          </w:p>
        </w:tc>
      </w:tr>
      <w:tr>
        <w:trPr>
          <w:trHeight w:val="146"/>
        </w:trPr>
        <w:tc>
          <w:tcPr>
            <w:tcW w:w="2860" w:type="dxa"/>
            <w:vAlign w:val="bottom"/>
            <w:shd w:val="clear" w:color="auto" w:fill="CFF0FC"/>
          </w:tcPr>
          <w:p>
            <w:pPr>
              <w:spacing w:after="0"/>
              <w:rPr>
                <w:sz w:val="20"/>
                <w:szCs w:val="20"/>
                <w:color w:val="auto"/>
              </w:rPr>
            </w:pPr>
            <w:r>
              <w:rPr>
                <w:rFonts w:ascii="Arial" w:cs="Arial" w:eastAsia="Arial" w:hAnsi="Arial"/>
                <w:sz w:val="11"/>
                <w:szCs w:val="11"/>
                <w:color w:val="auto"/>
              </w:rPr>
              <w:t>Amortization of discount on convertible preferred stock</w:t>
            </w:r>
          </w:p>
        </w:tc>
        <w:tc>
          <w:tcPr>
            <w:tcW w:w="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3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(2,980)</w:t>
            </w:r>
          </w:p>
        </w:tc>
        <w:tc>
          <w:tcPr>
            <w:tcW w:w="28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(2,980)</w:t>
            </w:r>
          </w:p>
        </w:tc>
      </w:tr>
      <w:tr>
        <w:trPr>
          <w:trHeight w:val="142"/>
        </w:trPr>
        <w:tc>
          <w:tcPr>
            <w:tcW w:w="2860" w:type="dxa"/>
            <w:vAlign w:val="bottom"/>
          </w:tcPr>
          <w:p>
            <w:pPr>
              <w:spacing w:after="0"/>
              <w:rPr>
                <w:sz w:val="20"/>
                <w:szCs w:val="20"/>
                <w:color w:val="auto"/>
              </w:rPr>
            </w:pPr>
            <w:r>
              <w:rPr>
                <w:rFonts w:ascii="Arial" w:cs="Arial" w:eastAsia="Arial" w:hAnsi="Arial"/>
                <w:sz w:val="11"/>
                <w:szCs w:val="11"/>
                <w:color w:val="auto"/>
              </w:rPr>
              <w:t>Other comprehensive income</w:t>
            </w:r>
          </w:p>
        </w:tc>
        <w:tc>
          <w:tcPr>
            <w:tcW w:w="6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22,284</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527</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1"/>
                <w:szCs w:val="11"/>
                <w:color w:val="auto"/>
              </w:rPr>
              <w:t>22,811</w:t>
            </w:r>
          </w:p>
        </w:tc>
        <w:tc>
          <w:tcPr>
            <w:tcW w:w="120" w:type="dxa"/>
            <w:vAlign w:val="bottom"/>
          </w:tcPr>
          <w:p>
            <w:pPr>
              <w:spacing w:after="0"/>
              <w:rPr>
                <w:sz w:val="12"/>
                <w:szCs w:val="12"/>
                <w:color w:val="auto"/>
              </w:rPr>
            </w:pPr>
          </w:p>
        </w:tc>
      </w:tr>
      <w:tr>
        <w:trPr>
          <w:trHeight w:val="146"/>
        </w:trPr>
        <w:tc>
          <w:tcPr>
            <w:tcW w:w="2860" w:type="dxa"/>
            <w:vAlign w:val="bottom"/>
            <w:shd w:val="clear" w:color="auto" w:fill="CFF0FC"/>
          </w:tcPr>
          <w:p>
            <w:pPr>
              <w:spacing w:after="0"/>
              <w:rPr>
                <w:sz w:val="20"/>
                <w:szCs w:val="20"/>
                <w:color w:val="auto"/>
              </w:rPr>
            </w:pPr>
            <w:r>
              <w:rPr>
                <w:rFonts w:ascii="Arial" w:cs="Arial" w:eastAsia="Arial" w:hAnsi="Arial"/>
                <w:sz w:val="11"/>
                <w:szCs w:val="11"/>
                <w:color w:val="auto"/>
              </w:rPr>
              <w:t>Common stock dividends</w:t>
            </w:r>
          </w:p>
        </w:tc>
        <w:tc>
          <w:tcPr>
            <w:tcW w:w="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3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2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(427,656)</w:t>
            </w:r>
          </w:p>
        </w:tc>
        <w:tc>
          <w:tcPr>
            <w:tcW w:w="8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(427,656)</w:t>
            </w:r>
          </w:p>
        </w:tc>
      </w:tr>
      <w:tr>
        <w:trPr>
          <w:trHeight w:val="142"/>
        </w:trPr>
        <w:tc>
          <w:tcPr>
            <w:tcW w:w="2860" w:type="dxa"/>
            <w:vAlign w:val="bottom"/>
          </w:tcPr>
          <w:p>
            <w:pPr>
              <w:spacing w:after="0"/>
              <w:rPr>
                <w:sz w:val="20"/>
                <w:szCs w:val="20"/>
                <w:color w:val="auto"/>
              </w:rPr>
            </w:pPr>
            <w:r>
              <w:rPr>
                <w:rFonts w:ascii="Arial" w:cs="Arial" w:eastAsia="Arial" w:hAnsi="Arial"/>
                <w:sz w:val="11"/>
                <w:szCs w:val="11"/>
                <w:color w:val="auto"/>
              </w:rPr>
              <w:t>Distributions to noncontrolling interest</w:t>
            </w:r>
          </w:p>
        </w:tc>
        <w:tc>
          <w:tcPr>
            <w:tcW w:w="6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1"/>
                <w:szCs w:val="11"/>
                <w:color w:val="auto"/>
              </w:rPr>
              <w:t>(9,917)</w:t>
            </w:r>
          </w:p>
        </w:tc>
        <w:tc>
          <w:tcPr>
            <w:tcW w:w="200" w:type="dxa"/>
            <w:vAlign w:val="bottom"/>
          </w:tcPr>
          <w:p>
            <w:pPr>
              <w:spacing w:after="0"/>
              <w:rPr>
                <w:sz w:val="12"/>
                <w:szCs w:val="12"/>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1"/>
                <w:szCs w:val="11"/>
                <w:color w:val="auto"/>
              </w:rPr>
              <w:t>(9,917)</w:t>
            </w:r>
          </w:p>
        </w:tc>
      </w:tr>
      <w:tr>
        <w:trPr>
          <w:trHeight w:val="146"/>
        </w:trPr>
        <w:tc>
          <w:tcPr>
            <w:tcW w:w="2860" w:type="dxa"/>
            <w:vAlign w:val="bottom"/>
            <w:shd w:val="clear" w:color="auto" w:fill="CFF0FC"/>
          </w:tcPr>
          <w:p>
            <w:pPr>
              <w:spacing w:after="0"/>
              <w:rPr>
                <w:sz w:val="20"/>
                <w:szCs w:val="20"/>
                <w:color w:val="auto"/>
              </w:rPr>
            </w:pPr>
            <w:r>
              <w:rPr>
                <w:rFonts w:ascii="Arial" w:cs="Arial" w:eastAsia="Arial" w:hAnsi="Arial"/>
                <w:sz w:val="11"/>
                <w:szCs w:val="11"/>
                <w:color w:val="auto"/>
              </w:rPr>
              <w:t>Convertible preferred stock dividends</w:t>
            </w:r>
          </w:p>
        </w:tc>
        <w:tc>
          <w:tcPr>
            <w:tcW w:w="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3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2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(2,624)</w:t>
            </w:r>
          </w:p>
        </w:tc>
        <w:tc>
          <w:tcPr>
            <w:tcW w:w="8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(2,624)</w:t>
            </w:r>
          </w:p>
        </w:tc>
      </w:tr>
      <w:tr>
        <w:trPr>
          <w:trHeight w:val="142"/>
        </w:trPr>
        <w:tc>
          <w:tcPr>
            <w:tcW w:w="2860" w:type="dxa"/>
            <w:vAlign w:val="bottom"/>
          </w:tcPr>
          <w:p>
            <w:pPr>
              <w:spacing w:after="0"/>
              <w:rPr>
                <w:sz w:val="20"/>
                <w:szCs w:val="20"/>
                <w:color w:val="auto"/>
              </w:rPr>
            </w:pPr>
            <w:r>
              <w:rPr>
                <w:rFonts w:ascii="Arial" w:cs="Arial" w:eastAsia="Arial" w:hAnsi="Arial"/>
                <w:sz w:val="11"/>
                <w:szCs w:val="11"/>
                <w:color w:val="auto"/>
              </w:rPr>
              <w:t>Net share settlement</w:t>
            </w:r>
          </w:p>
        </w:tc>
        <w:tc>
          <w:tcPr>
            <w:tcW w:w="6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1"/>
                <w:szCs w:val="11"/>
                <w:color w:val="auto"/>
              </w:rPr>
              <w:t>(1,336)</w:t>
            </w:r>
          </w:p>
        </w:tc>
        <w:tc>
          <w:tcPr>
            <w:tcW w:w="28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1"/>
                <w:szCs w:val="11"/>
                <w:color w:val="auto"/>
              </w:rPr>
              <w:t>(269)</w:t>
            </w: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1"/>
                <w:szCs w:val="11"/>
                <w:color w:val="auto"/>
              </w:rPr>
              <w:t>(1,605)</w:t>
            </w:r>
          </w:p>
        </w:tc>
      </w:tr>
      <w:tr>
        <w:trPr>
          <w:trHeight w:val="146"/>
        </w:trPr>
        <w:tc>
          <w:tcPr>
            <w:tcW w:w="2860" w:type="dxa"/>
            <w:vAlign w:val="bottom"/>
            <w:shd w:val="clear" w:color="auto" w:fill="CFF0FC"/>
          </w:tcPr>
          <w:p>
            <w:pPr>
              <w:spacing w:after="0"/>
              <w:rPr>
                <w:sz w:val="20"/>
                <w:szCs w:val="20"/>
                <w:color w:val="auto"/>
              </w:rPr>
            </w:pPr>
            <w:r>
              <w:rPr>
                <w:rFonts w:ascii="Arial" w:cs="Arial" w:eastAsia="Arial" w:hAnsi="Arial"/>
                <w:sz w:val="11"/>
                <w:szCs w:val="11"/>
                <w:color w:val="auto"/>
              </w:rPr>
              <w:t>Stock-based compensation</w:t>
            </w: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340" w:type="dxa"/>
            <w:vAlign w:val="bottom"/>
            <w:tcBorders>
              <w:bottom w:val="single" w:sz="8" w:color="auto"/>
            </w:tcBorders>
            <w:shd w:val="clear" w:color="auto" w:fill="CFF0FC"/>
          </w:tcPr>
          <w:p>
            <w:pPr>
              <w:spacing w:after="0"/>
              <w:rPr>
                <w:sz w:val="12"/>
                <w:szCs w:val="12"/>
                <w:color w:val="auto"/>
              </w:rPr>
            </w:pPr>
          </w:p>
        </w:tc>
        <w:tc>
          <w:tcPr>
            <w:tcW w:w="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187,694</w:t>
            </w:r>
          </w:p>
        </w:tc>
        <w:tc>
          <w:tcPr>
            <w:tcW w:w="240" w:type="dxa"/>
            <w:vAlign w:val="bottom"/>
            <w:shd w:val="clear" w:color="auto" w:fill="CFF0FC"/>
          </w:tcPr>
          <w:p>
            <w:pPr>
              <w:spacing w:after="0"/>
              <w:rPr>
                <w:sz w:val="12"/>
                <w:szCs w:val="12"/>
                <w:color w:val="auto"/>
              </w:rPr>
            </w:pPr>
          </w:p>
        </w:tc>
        <w:tc>
          <w:tcPr>
            <w:tcW w:w="300" w:type="dxa"/>
            <w:vAlign w:val="bottom"/>
            <w:tcBorders>
              <w:bottom w:val="single" w:sz="8" w:color="auto"/>
            </w:tcBorders>
            <w:shd w:val="clear" w:color="auto" w:fill="CFF0FC"/>
          </w:tcPr>
          <w:p>
            <w:pPr>
              <w:spacing w:after="0"/>
              <w:rPr>
                <w:sz w:val="12"/>
                <w:szCs w:val="12"/>
                <w:color w:val="auto"/>
              </w:rPr>
            </w:pPr>
          </w:p>
        </w:tc>
        <w:tc>
          <w:tcPr>
            <w:tcW w:w="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200" w:type="dxa"/>
            <w:vAlign w:val="bottom"/>
            <w:tcBorders>
              <w:bottom w:val="single" w:sz="8" w:color="auto"/>
            </w:tcBorders>
            <w:shd w:val="clear" w:color="auto" w:fill="CFF0FC"/>
          </w:tcPr>
          <w:p>
            <w:pPr>
              <w:spacing w:after="0"/>
              <w:rPr>
                <w:sz w:val="12"/>
                <w:szCs w:val="12"/>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8,064</w:t>
            </w:r>
          </w:p>
        </w:tc>
        <w:tc>
          <w:tcPr>
            <w:tcW w:w="220" w:type="dxa"/>
            <w:vAlign w:val="bottom"/>
            <w:shd w:val="clear" w:color="auto" w:fill="CFF0FC"/>
          </w:tcPr>
          <w:p>
            <w:pPr>
              <w:spacing w:after="0"/>
              <w:rPr>
                <w:sz w:val="12"/>
                <w:szCs w:val="12"/>
                <w:color w:val="auto"/>
              </w:rPr>
            </w:pPr>
          </w:p>
        </w:tc>
        <w:tc>
          <w:tcPr>
            <w:tcW w:w="280" w:type="dxa"/>
            <w:vAlign w:val="bottom"/>
            <w:tcBorders>
              <w:bottom w:val="single" w:sz="8" w:color="auto"/>
            </w:tcBorders>
            <w:shd w:val="clear" w:color="auto" w:fill="CFF0FC"/>
          </w:tcPr>
          <w:p>
            <w:pPr>
              <w:spacing w:after="0"/>
              <w:rPr>
                <w:sz w:val="12"/>
                <w:szCs w:val="12"/>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20" w:type="dxa"/>
            <w:vAlign w:val="bottom"/>
            <w:shd w:val="clear" w:color="auto" w:fill="CFF0FC"/>
          </w:tcPr>
          <w:p>
            <w:pPr>
              <w:spacing w:after="0"/>
              <w:rPr>
                <w:sz w:val="12"/>
                <w:szCs w:val="12"/>
                <w:color w:val="auto"/>
              </w:rPr>
            </w:pPr>
          </w:p>
        </w:tc>
        <w:tc>
          <w:tcPr>
            <w:tcW w:w="180" w:type="dxa"/>
            <w:vAlign w:val="bottom"/>
            <w:tcBorders>
              <w:bottom w:val="single" w:sz="8" w:color="auto"/>
            </w:tcBorders>
            <w:shd w:val="clear" w:color="auto" w:fill="CFF0FC"/>
          </w:tcPr>
          <w:p>
            <w:pPr>
              <w:spacing w:after="0"/>
              <w:rPr>
                <w:sz w:val="12"/>
                <w:szCs w:val="12"/>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60" w:type="dxa"/>
            <w:vAlign w:val="bottom"/>
            <w:tcBorders>
              <w:bottom w:val="single" w:sz="8" w:color="auto"/>
            </w:tcBorders>
            <w:shd w:val="clear" w:color="auto" w:fill="CFF0FC"/>
          </w:tcPr>
          <w:p>
            <w:pPr>
              <w:spacing w:after="0"/>
              <w:rPr>
                <w:sz w:val="12"/>
                <w:szCs w:val="12"/>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00" w:type="dxa"/>
            <w:vAlign w:val="bottom"/>
            <w:shd w:val="clear" w:color="auto" w:fill="CFF0FC"/>
          </w:tcPr>
          <w:p>
            <w:pPr>
              <w:spacing w:after="0"/>
              <w:rPr>
                <w:sz w:val="12"/>
                <w:szCs w:val="12"/>
                <w:color w:val="auto"/>
              </w:rPr>
            </w:pPr>
          </w:p>
        </w:tc>
        <w:tc>
          <w:tcPr>
            <w:tcW w:w="200" w:type="dxa"/>
            <w:vAlign w:val="bottom"/>
            <w:tcBorders>
              <w:bottom w:val="single" w:sz="8" w:color="auto"/>
            </w:tcBorders>
            <w:shd w:val="clear" w:color="auto" w:fill="CFF0FC"/>
          </w:tcPr>
          <w:p>
            <w:pPr>
              <w:spacing w:after="0"/>
              <w:rPr>
                <w:sz w:val="12"/>
                <w:szCs w:val="12"/>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1"/>
                <w:szCs w:val="11"/>
                <w:color w:val="auto"/>
              </w:rPr>
              <w:t>8,064</w:t>
            </w:r>
          </w:p>
        </w:tc>
        <w:tc>
          <w:tcPr>
            <w:tcW w:w="120" w:type="dxa"/>
            <w:vAlign w:val="bottom"/>
            <w:shd w:val="clear" w:color="auto" w:fill="CFF0FC"/>
          </w:tcPr>
          <w:p>
            <w:pPr>
              <w:spacing w:after="0"/>
              <w:rPr>
                <w:sz w:val="12"/>
                <w:szCs w:val="12"/>
                <w:color w:val="auto"/>
              </w:rPr>
            </w:pPr>
          </w:p>
        </w:tc>
      </w:tr>
      <w:tr>
        <w:trPr>
          <w:trHeight w:val="131"/>
        </w:trPr>
        <w:tc>
          <w:tcPr>
            <w:tcW w:w="2860" w:type="dxa"/>
            <w:vAlign w:val="bottom"/>
          </w:tcPr>
          <w:p>
            <w:pPr>
              <w:spacing w:after="0"/>
              <w:rPr>
                <w:sz w:val="20"/>
                <w:szCs w:val="20"/>
                <w:color w:val="auto"/>
              </w:rPr>
            </w:pPr>
            <w:r>
              <w:rPr>
                <w:rFonts w:ascii="Arial" w:cs="Arial" w:eastAsia="Arial" w:hAnsi="Arial"/>
                <w:sz w:val="11"/>
                <w:szCs w:val="11"/>
                <w:color w:val="auto"/>
              </w:rPr>
              <w:t>Balance at December 31, 2018</w:t>
            </w:r>
          </w:p>
        </w:tc>
        <w:tc>
          <w:tcPr>
            <w:tcW w:w="66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3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180,535,971</w:t>
            </w:r>
          </w:p>
        </w:tc>
        <w:tc>
          <w:tcPr>
            <w:tcW w:w="240" w:type="dxa"/>
            <w:vAlign w:val="bottom"/>
          </w:tcPr>
          <w:p>
            <w:pPr>
              <w:spacing w:after="0"/>
              <w:rPr>
                <w:sz w:val="11"/>
                <w:szCs w:val="11"/>
                <w:color w:val="auto"/>
              </w:rPr>
            </w:pPr>
          </w:p>
        </w:tc>
        <w:tc>
          <w:tcPr>
            <w:tcW w:w="300" w:type="dxa"/>
            <w:vAlign w:val="bottom"/>
          </w:tcPr>
          <w:p>
            <w:pPr>
              <w:jc w:val="right"/>
              <w:ind w:right="191"/>
              <w:spacing w:after="0"/>
              <w:rPr>
                <w:sz w:val="20"/>
                <w:szCs w:val="20"/>
                <w:color w:val="auto"/>
              </w:rPr>
            </w:pPr>
            <w:r>
              <w:rPr>
                <w:rFonts w:ascii="Arial" w:cs="Arial" w:eastAsia="Arial" w:hAnsi="Arial"/>
                <w:sz w:val="10"/>
                <w:szCs w:val="10"/>
                <w:color w:val="auto"/>
                <w:w w:val="71"/>
              </w:rPr>
              <w:t>$</w:t>
            </w:r>
          </w:p>
        </w:tc>
        <w:tc>
          <w:tcPr>
            <w:tcW w:w="360" w:type="dxa"/>
            <w:vAlign w:val="bottom"/>
          </w:tcPr>
          <w:p>
            <w:pPr>
              <w:jc w:val="right"/>
              <w:spacing w:after="0"/>
              <w:rPr>
                <w:sz w:val="20"/>
                <w:szCs w:val="20"/>
                <w:color w:val="auto"/>
              </w:rPr>
            </w:pPr>
            <w:r>
              <w:rPr>
                <w:rFonts w:ascii="Arial" w:cs="Arial" w:eastAsia="Arial" w:hAnsi="Arial"/>
                <w:sz w:val="11"/>
                <w:szCs w:val="11"/>
                <w:color w:val="auto"/>
              </w:rPr>
              <w:t>18</w:t>
            </w:r>
          </w:p>
        </w:tc>
        <w:tc>
          <w:tcPr>
            <w:tcW w:w="240" w:type="dxa"/>
            <w:vAlign w:val="bottom"/>
          </w:tcPr>
          <w:p>
            <w:pPr>
              <w:spacing w:after="0"/>
              <w:rPr>
                <w:sz w:val="11"/>
                <w:szCs w:val="11"/>
                <w:color w:val="auto"/>
              </w:rPr>
            </w:pP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757,517</w:t>
            </w:r>
          </w:p>
        </w:tc>
        <w:tc>
          <w:tcPr>
            <w:tcW w:w="220" w:type="dxa"/>
            <w:vAlign w:val="bottom"/>
          </w:tcPr>
          <w:p>
            <w:pPr>
              <w:spacing w:after="0"/>
              <w:rPr>
                <w:sz w:val="11"/>
                <w:szCs w:val="11"/>
                <w:color w:val="auto"/>
              </w:rPr>
            </w:pP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30,105</w:t>
            </w:r>
          </w:p>
        </w:tc>
        <w:tc>
          <w:tcPr>
            <w:tcW w:w="220" w:type="dxa"/>
            <w:vAlign w:val="bottom"/>
          </w:tcPr>
          <w:p>
            <w:pPr>
              <w:spacing w:after="0"/>
              <w:rPr>
                <w:sz w:val="11"/>
                <w:szCs w:val="11"/>
                <w:color w:val="auto"/>
              </w:rPr>
            </w:pPr>
          </w:p>
        </w:tc>
        <w:tc>
          <w:tcPr>
            <w:tcW w:w="180" w:type="dxa"/>
            <w:vAlign w:val="bottom"/>
          </w:tcPr>
          <w:p>
            <w:pPr>
              <w:jc w:val="right"/>
              <w:ind w:right="71"/>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ind w:right="100"/>
              <w:spacing w:after="0"/>
              <w:rPr>
                <w:sz w:val="20"/>
                <w:szCs w:val="20"/>
                <w:color w:val="auto"/>
              </w:rPr>
            </w:pPr>
            <w:r>
              <w:rPr>
                <w:rFonts w:ascii="Arial" w:cs="Arial" w:eastAsia="Arial" w:hAnsi="Arial"/>
                <w:sz w:val="11"/>
                <w:szCs w:val="11"/>
                <w:color w:val="auto"/>
              </w:rPr>
              <w:t>(2,373,218)</w:t>
            </w:r>
          </w:p>
        </w:tc>
        <w:tc>
          <w:tcPr>
            <w:tcW w:w="3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92,375</w:t>
            </w:r>
          </w:p>
        </w:tc>
        <w:tc>
          <w:tcPr>
            <w:tcW w:w="200" w:type="dxa"/>
            <w:vAlign w:val="bottom"/>
          </w:tcPr>
          <w:p>
            <w:pPr>
              <w:spacing w:after="0"/>
              <w:rPr>
                <w:sz w:val="11"/>
                <w:szCs w:val="11"/>
                <w:color w:val="auto"/>
              </w:rPr>
            </w:pP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ind w:right="80"/>
              <w:spacing w:after="0"/>
              <w:rPr>
                <w:sz w:val="20"/>
                <w:szCs w:val="20"/>
                <w:color w:val="auto"/>
              </w:rPr>
            </w:pPr>
            <w:r>
              <w:rPr>
                <w:rFonts w:ascii="Arial" w:cs="Arial" w:eastAsia="Arial" w:hAnsi="Arial"/>
                <w:sz w:val="11"/>
                <w:szCs w:val="11"/>
                <w:color w:val="auto"/>
              </w:rPr>
              <w:t>(1,493,203)</w:t>
            </w:r>
          </w:p>
        </w:tc>
      </w:tr>
      <w:tr>
        <w:trPr>
          <w:trHeight w:val="29"/>
        </w:trPr>
        <w:tc>
          <w:tcPr>
            <w:tcW w:w="286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The accompanying notes are an integral part of these consolidated financial statements.</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62" w:name="page63"/>
    <w:bookmarkEnd w:id="6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Consolidated Statements of Cash Flows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0"/>
                <w:szCs w:val="10"/>
                <w:b w:val="1"/>
                <w:bCs w:val="1"/>
                <w:color w:val="auto"/>
                <w:w w:val="99"/>
              </w:rPr>
              <w:t>Year Ended December 31,</w:t>
            </w:r>
          </w:p>
        </w:tc>
        <w:tc>
          <w:tcPr>
            <w:tcW w:w="1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spacing w:after="0"/>
              <w:rPr>
                <w:sz w:val="20"/>
                <w:szCs w:val="20"/>
                <w:color w:val="auto"/>
              </w:rPr>
            </w:pPr>
            <w:r>
              <w:rPr>
                <w:rFonts w:ascii="Arial" w:cs="Arial" w:eastAsia="Arial" w:hAnsi="Arial"/>
                <w:sz w:val="10"/>
                <w:szCs w:val="10"/>
                <w:color w:val="auto"/>
              </w:rPr>
              <w:t>(Thousands)</w:t>
            </w:r>
          </w:p>
        </w:tc>
        <w:tc>
          <w:tcPr>
            <w:tcW w:w="440" w:type="dxa"/>
            <w:vAlign w:val="bottom"/>
          </w:tcPr>
          <w:p>
            <w:pPr>
              <w:spacing w:after="0"/>
              <w:rPr>
                <w:sz w:val="12"/>
                <w:szCs w:val="12"/>
                <w:color w:val="auto"/>
              </w:rPr>
            </w:pPr>
          </w:p>
        </w:tc>
        <w:tc>
          <w:tcPr>
            <w:tcW w:w="1420" w:type="dxa"/>
            <w:vAlign w:val="bottom"/>
          </w:tcPr>
          <w:p>
            <w:pPr>
              <w:jc w:val="right"/>
              <w:ind w:right="786"/>
              <w:spacing w:after="0"/>
              <w:rPr>
                <w:sz w:val="20"/>
                <w:szCs w:val="20"/>
                <w:color w:val="auto"/>
              </w:rPr>
            </w:pPr>
            <w:r>
              <w:rPr>
                <w:rFonts w:ascii="Arial" w:cs="Arial" w:eastAsia="Arial" w:hAnsi="Arial"/>
                <w:sz w:val="10"/>
                <w:szCs w:val="10"/>
                <w:b w:val="1"/>
                <w:bCs w:val="1"/>
                <w:color w:val="auto"/>
              </w:rPr>
              <w:t>2018</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jc w:val="right"/>
              <w:ind w:right="806"/>
              <w:spacing w:after="0"/>
              <w:rPr>
                <w:sz w:val="20"/>
                <w:szCs w:val="20"/>
                <w:color w:val="auto"/>
              </w:rPr>
            </w:pPr>
            <w:r>
              <w:rPr>
                <w:rFonts w:ascii="Arial" w:cs="Arial" w:eastAsia="Arial" w:hAnsi="Arial"/>
                <w:sz w:val="10"/>
                <w:szCs w:val="10"/>
                <w:b w:val="1"/>
                <w:bCs w:val="1"/>
                <w:color w:val="auto"/>
              </w:rPr>
              <w:t>2017</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ind w:right="786"/>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51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1"/>
                <w:szCs w:val="11"/>
                <w:b w:val="1"/>
                <w:bCs w:val="1"/>
                <w:color w:val="auto"/>
              </w:rPr>
              <w:t>Cash flow from operating activities</w:t>
            </w:r>
          </w:p>
        </w:tc>
        <w:tc>
          <w:tcPr>
            <w:tcW w:w="140" w:type="dxa"/>
            <w:vAlign w:val="bottom"/>
            <w:tcBorders>
              <w:top w:val="single" w:sz="8" w:color="CFF0FC"/>
            </w:tcBorders>
            <w:shd w:val="clear" w:color="auto" w:fill="CFF0FC"/>
          </w:tcPr>
          <w:p>
            <w:pPr>
              <w:spacing w:after="0"/>
              <w:rPr>
                <w:sz w:val="11"/>
                <w:szCs w:val="11"/>
                <w:color w:val="auto"/>
              </w:rPr>
            </w:pPr>
          </w:p>
        </w:tc>
        <w:tc>
          <w:tcPr>
            <w:tcW w:w="440" w:type="dxa"/>
            <w:vAlign w:val="bottom"/>
            <w:tcBorders>
              <w:top w:val="single" w:sz="8" w:color="auto"/>
            </w:tcBorders>
            <w:shd w:val="clear" w:color="auto" w:fill="CFF0FC"/>
          </w:tcPr>
          <w:p>
            <w:pPr>
              <w:spacing w:after="0"/>
              <w:rPr>
                <w:sz w:val="11"/>
                <w:szCs w:val="11"/>
                <w:color w:val="auto"/>
              </w:rPr>
            </w:pPr>
          </w:p>
        </w:tc>
        <w:tc>
          <w:tcPr>
            <w:tcW w:w="1420" w:type="dxa"/>
            <w:vAlign w:val="bottom"/>
            <w:tcBorders>
              <w:top w:val="single" w:sz="8" w:color="auto"/>
            </w:tcBorders>
            <w:shd w:val="clear" w:color="auto" w:fill="CFF0FC"/>
          </w:tcPr>
          <w:p>
            <w:pPr>
              <w:spacing w:after="0"/>
              <w:rPr>
                <w:sz w:val="11"/>
                <w:szCs w:val="11"/>
                <w:color w:val="auto"/>
              </w:rPr>
            </w:pPr>
          </w:p>
        </w:tc>
        <w:tc>
          <w:tcPr>
            <w:tcW w:w="240" w:type="dxa"/>
            <w:vAlign w:val="bottom"/>
            <w:tcBorders>
              <w:top w:val="single" w:sz="8" w:color="CFF0FC"/>
            </w:tcBorders>
            <w:shd w:val="clear" w:color="auto" w:fill="CFF0FC"/>
          </w:tcPr>
          <w:p>
            <w:pPr>
              <w:spacing w:after="0"/>
              <w:rPr>
                <w:sz w:val="11"/>
                <w:szCs w:val="11"/>
                <w:color w:val="auto"/>
              </w:rPr>
            </w:pPr>
          </w:p>
        </w:tc>
        <w:tc>
          <w:tcPr>
            <w:tcW w:w="220" w:type="dxa"/>
            <w:vAlign w:val="bottom"/>
            <w:tcBorders>
              <w:top w:val="single" w:sz="8" w:color="auto"/>
            </w:tcBorders>
            <w:shd w:val="clear" w:color="auto" w:fill="CFF0FC"/>
          </w:tcPr>
          <w:p>
            <w:pPr>
              <w:spacing w:after="0"/>
              <w:rPr>
                <w:sz w:val="11"/>
                <w:szCs w:val="11"/>
                <w:color w:val="auto"/>
              </w:rPr>
            </w:pPr>
          </w:p>
        </w:tc>
        <w:tc>
          <w:tcPr>
            <w:tcW w:w="166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460" w:type="dxa"/>
            <w:vAlign w:val="bottom"/>
            <w:tcBorders>
              <w:top w:val="single" w:sz="8" w:color="auto"/>
            </w:tcBorders>
            <w:shd w:val="clear" w:color="auto" w:fill="CFF0FC"/>
          </w:tcPr>
          <w:p>
            <w:pPr>
              <w:spacing w:after="0"/>
              <w:rPr>
                <w:sz w:val="11"/>
                <w:szCs w:val="11"/>
                <w:color w:val="auto"/>
              </w:rPr>
            </w:pPr>
          </w:p>
        </w:tc>
        <w:tc>
          <w:tcPr>
            <w:tcW w:w="142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spacing w:after="0"/>
              <w:rPr>
                <w:sz w:val="20"/>
                <w:szCs w:val="20"/>
                <w:color w:val="auto"/>
              </w:rPr>
            </w:pPr>
            <w:r>
              <w:rPr>
                <w:rFonts w:ascii="Arial" w:cs="Arial" w:eastAsia="Arial" w:hAnsi="Arial"/>
                <w:sz w:val="11"/>
                <w:szCs w:val="11"/>
                <w:color w:val="auto"/>
              </w:rPr>
              <w:t>Net income (loss)</w:t>
            </w:r>
          </w:p>
        </w:tc>
        <w:tc>
          <w:tcPr>
            <w:tcW w:w="440" w:type="dxa"/>
            <w:vAlign w:val="bottom"/>
          </w:tcPr>
          <w:p>
            <w:pPr>
              <w:jc w:val="right"/>
              <w:ind w:right="373"/>
              <w:spacing w:after="0"/>
              <w:rPr>
                <w:sz w:val="20"/>
                <w:szCs w:val="20"/>
                <w:color w:val="auto"/>
              </w:rPr>
            </w:pPr>
            <w:r>
              <w:rPr>
                <w:rFonts w:ascii="Arial" w:cs="Arial" w:eastAsia="Arial" w:hAnsi="Arial"/>
                <w:sz w:val="5"/>
                <w:szCs w:val="5"/>
                <w:color w:val="auto"/>
                <w:w w:val="70"/>
              </w:rPr>
              <w:t>$</w:t>
            </w:r>
          </w:p>
        </w:tc>
        <w:tc>
          <w:tcPr>
            <w:tcW w:w="1420" w:type="dxa"/>
            <w:vAlign w:val="bottom"/>
          </w:tcPr>
          <w:p>
            <w:pPr>
              <w:jc w:val="right"/>
              <w:spacing w:after="0"/>
              <w:rPr>
                <w:sz w:val="20"/>
                <w:szCs w:val="20"/>
                <w:color w:val="auto"/>
              </w:rPr>
            </w:pPr>
            <w:r>
              <w:rPr>
                <w:rFonts w:ascii="Arial" w:cs="Arial" w:eastAsia="Arial" w:hAnsi="Arial"/>
                <w:sz w:val="11"/>
                <w:szCs w:val="11"/>
                <w:color w:val="auto"/>
              </w:rPr>
              <w:t>16,545</w:t>
            </w:r>
          </w:p>
        </w:tc>
        <w:tc>
          <w:tcPr>
            <w:tcW w:w="240" w:type="dxa"/>
            <w:vAlign w:val="bottom"/>
          </w:tcPr>
          <w:p>
            <w:pPr>
              <w:spacing w:after="0"/>
              <w:rPr>
                <w:sz w:val="12"/>
                <w:szCs w:val="12"/>
                <w:color w:val="auto"/>
              </w:rPr>
            </w:pPr>
          </w:p>
        </w:tc>
        <w:tc>
          <w:tcPr>
            <w:tcW w:w="220" w:type="dxa"/>
            <w:vAlign w:val="bottom"/>
          </w:tcPr>
          <w:p>
            <w:pPr>
              <w:jc w:val="right"/>
              <w:ind w:right="111"/>
              <w:spacing w:after="0"/>
              <w:rPr>
                <w:sz w:val="20"/>
                <w:szCs w:val="20"/>
                <w:color w:val="auto"/>
              </w:rPr>
            </w:pPr>
            <w:r>
              <w:rPr>
                <w:rFonts w:ascii="Arial" w:cs="Arial" w:eastAsia="Arial" w:hAnsi="Arial"/>
                <w:sz w:val="10"/>
                <w:szCs w:val="10"/>
                <w:color w:val="auto"/>
                <w:w w:val="71"/>
              </w:rPr>
              <w:t>$</w:t>
            </w: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(8,828)</w:t>
            </w:r>
          </w:p>
        </w:tc>
        <w:tc>
          <w:tcPr>
            <w:tcW w:w="560" w:type="dxa"/>
            <w:vAlign w:val="bottom"/>
            <w:gridSpan w:val="2"/>
          </w:tcPr>
          <w:p>
            <w:pPr>
              <w:jc w:val="right"/>
              <w:ind w:right="400"/>
              <w:spacing w:after="0"/>
              <w:rPr>
                <w:sz w:val="20"/>
                <w:szCs w:val="20"/>
                <w:color w:val="auto"/>
              </w:rPr>
            </w:pPr>
            <w:r>
              <w:rPr>
                <w:rFonts w:ascii="Arial" w:cs="Arial" w:eastAsia="Arial" w:hAnsi="Arial"/>
                <w:sz w:val="11"/>
                <w:szCs w:val="11"/>
                <w:color w:val="auto"/>
              </w:rPr>
              <w:t>$</w:t>
            </w: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(212)</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Adjustments to reconcile net income (loss) to net cash provided by operating activities:</w:t>
            </w: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Depreciation and amortization</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451,750</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jc w:val="right"/>
              <w:spacing w:after="0"/>
              <w:rPr>
                <w:sz w:val="20"/>
                <w:szCs w:val="20"/>
                <w:color w:val="auto"/>
              </w:rPr>
            </w:pPr>
            <w:r>
              <w:rPr>
                <w:rFonts w:ascii="Arial" w:cs="Arial" w:eastAsia="Arial" w:hAnsi="Arial"/>
                <w:sz w:val="11"/>
                <w:szCs w:val="11"/>
                <w:color w:val="auto"/>
              </w:rPr>
              <w:t>434,205</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375,970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Amortization of deferred financing costs and debt discount</w:t>
            </w: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24,614</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23,102</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16,002</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Deferred income taxes</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(7,385)</w:t>
            </w: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(41,171)</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(2,186)</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Straight-line rental revenues</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(15,048)</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(15,136)</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(17,293)</w:t>
            </w: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Stock-based compensation</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8,064</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jc w:val="right"/>
              <w:spacing w:after="0"/>
              <w:rPr>
                <w:sz w:val="20"/>
                <w:szCs w:val="20"/>
                <w:color w:val="auto"/>
              </w:rPr>
            </w:pPr>
            <w:r>
              <w:rPr>
                <w:rFonts w:ascii="Arial" w:cs="Arial" w:eastAsia="Arial" w:hAnsi="Arial"/>
                <w:sz w:val="11"/>
                <w:szCs w:val="11"/>
                <w:color w:val="auto"/>
              </w:rPr>
              <w:t>7,713</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4,846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Change in fair value of contingent consideration</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(3,721)</w:t>
            </w: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10,736</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Other</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7,818</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jc w:val="right"/>
              <w:spacing w:after="0"/>
              <w:rPr>
                <w:sz w:val="20"/>
                <w:szCs w:val="20"/>
                <w:color w:val="auto"/>
              </w:rPr>
            </w:pPr>
            <w:r>
              <w:rPr>
                <w:rFonts w:ascii="Arial" w:cs="Arial" w:eastAsia="Arial" w:hAnsi="Arial"/>
                <w:sz w:val="11"/>
                <w:szCs w:val="11"/>
                <w:color w:val="auto"/>
              </w:rPr>
              <w:t>872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936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Changes in assets and liabilities, net of acquisitions:</w:t>
            </w: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240"/>
              <w:spacing w:after="0"/>
              <w:rPr>
                <w:sz w:val="20"/>
                <w:szCs w:val="20"/>
                <w:color w:val="auto"/>
              </w:rPr>
            </w:pPr>
            <w:r>
              <w:rPr>
                <w:rFonts w:ascii="Arial" w:cs="Arial" w:eastAsia="Arial" w:hAnsi="Arial"/>
                <w:sz w:val="11"/>
                <w:szCs w:val="11"/>
                <w:color w:val="auto"/>
              </w:rPr>
              <w:t>Accounts receivable</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(52,792)</w:t>
            </w: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(10,524)</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(3,516)</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240"/>
              <w:spacing w:after="0"/>
              <w:rPr>
                <w:sz w:val="20"/>
                <w:szCs w:val="20"/>
                <w:color w:val="auto"/>
              </w:rPr>
            </w:pPr>
            <w:r>
              <w:rPr>
                <w:rFonts w:ascii="Arial" w:cs="Arial" w:eastAsia="Arial" w:hAnsi="Arial"/>
                <w:sz w:val="11"/>
                <w:szCs w:val="11"/>
                <w:color w:val="auto"/>
              </w:rPr>
              <w:t>Other assets</w:t>
            </w: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1,755</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(1,560)</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(1,365)</w:t>
            </w:r>
          </w:p>
        </w:tc>
        <w:tc>
          <w:tcPr>
            <w:tcW w:w="0" w:type="dxa"/>
            <w:vAlign w:val="bottom"/>
          </w:tcPr>
          <w:p>
            <w:pPr>
              <w:spacing w:after="0"/>
              <w:rPr>
                <w:sz w:val="1"/>
                <w:szCs w:val="1"/>
                <w:color w:val="auto"/>
              </w:rPr>
            </w:pPr>
          </w:p>
        </w:tc>
      </w:tr>
      <w:tr>
        <w:trPr>
          <w:trHeight w:val="142"/>
        </w:trPr>
        <w:tc>
          <w:tcPr>
            <w:tcW w:w="5280" w:type="dxa"/>
            <w:vAlign w:val="bottom"/>
            <w:tcBorders>
              <w:bottom w:val="single" w:sz="8" w:color="CFF0FC"/>
            </w:tcBorders>
            <w:gridSpan w:val="2"/>
          </w:tcPr>
          <w:p>
            <w:pPr>
              <w:ind w:left="240"/>
              <w:spacing w:after="0"/>
              <w:rPr>
                <w:sz w:val="20"/>
                <w:szCs w:val="20"/>
                <w:color w:val="auto"/>
              </w:rPr>
            </w:pPr>
            <w:r>
              <w:rPr>
                <w:rFonts w:ascii="Arial" w:cs="Arial" w:eastAsia="Arial" w:hAnsi="Arial"/>
                <w:sz w:val="11"/>
                <w:szCs w:val="11"/>
                <w:color w:val="auto"/>
              </w:rPr>
              <w:t>Accounts payable, accrued expenses and other liabilities</w:t>
            </w:r>
          </w:p>
        </w:tc>
        <w:tc>
          <w:tcPr>
            <w:tcW w:w="44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41,218</w:t>
            </w:r>
          </w:p>
        </w:tc>
        <w:tc>
          <w:tcPr>
            <w:tcW w:w="240" w:type="dxa"/>
            <w:vAlign w:val="bottom"/>
            <w:tcBorders>
              <w:bottom w:val="single" w:sz="8" w:color="CFF0FC"/>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5,851</w:t>
            </w:r>
          </w:p>
        </w:tc>
        <w:tc>
          <w:tcPr>
            <w:tcW w:w="120" w:type="dxa"/>
            <w:vAlign w:val="bottom"/>
            <w:tcBorders>
              <w:bottom w:val="single" w:sz="8" w:color="CFF0FC"/>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2,806</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528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Net cash provided by operating activities</w:t>
            </w:r>
          </w:p>
        </w:tc>
        <w:tc>
          <w:tcPr>
            <w:tcW w:w="440" w:type="dxa"/>
            <w:vAlign w:val="bottom"/>
            <w:shd w:val="clear" w:color="auto" w:fill="CFF0FC"/>
          </w:tcPr>
          <w:p>
            <w:pPr>
              <w:spacing w:after="0"/>
              <w:rPr>
                <w:sz w:val="11"/>
                <w:szCs w:val="11"/>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472,818</w:t>
            </w:r>
          </w:p>
        </w:tc>
        <w:tc>
          <w:tcPr>
            <w:tcW w:w="240" w:type="dxa"/>
            <w:vAlign w:val="bottom"/>
            <w:shd w:val="clear" w:color="auto" w:fill="CFF0FC"/>
          </w:tcPr>
          <w:p>
            <w:pPr>
              <w:spacing w:after="0"/>
              <w:rPr>
                <w:sz w:val="11"/>
                <w:szCs w:val="11"/>
                <w:color w:val="auto"/>
              </w:rPr>
            </w:pPr>
          </w:p>
        </w:tc>
        <w:tc>
          <w:tcPr>
            <w:tcW w:w="220" w:type="dxa"/>
            <w:vAlign w:val="bottom"/>
            <w:shd w:val="clear" w:color="auto" w:fill="CFF0FC"/>
          </w:tcPr>
          <w:p>
            <w:pPr>
              <w:spacing w:after="0"/>
              <w:rPr>
                <w:sz w:val="11"/>
                <w:szCs w:val="11"/>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405,260</w:t>
            </w:r>
          </w:p>
        </w:tc>
        <w:tc>
          <w:tcPr>
            <w:tcW w:w="1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375,988</w:t>
            </w:r>
          </w:p>
        </w:tc>
        <w:tc>
          <w:tcPr>
            <w:tcW w:w="12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spacing w:after="0"/>
              <w:rPr>
                <w:sz w:val="20"/>
                <w:szCs w:val="20"/>
                <w:color w:val="auto"/>
              </w:rPr>
            </w:pPr>
            <w:r>
              <w:rPr>
                <w:rFonts w:ascii="Arial" w:cs="Arial" w:eastAsia="Arial" w:hAnsi="Arial"/>
                <w:sz w:val="11"/>
                <w:szCs w:val="11"/>
                <w:b w:val="1"/>
                <w:bCs w:val="1"/>
                <w:color w:val="auto"/>
              </w:rPr>
              <w:t>Cash flow from investing activities</w:t>
            </w:r>
          </w:p>
        </w:tc>
        <w:tc>
          <w:tcPr>
            <w:tcW w:w="4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Acquisition of businesses, net of cash acquired</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(53,669)</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(761,887)</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(488,788)</w:t>
            </w: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Acquisition of ground lease investments</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(21,764)</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(11,543)</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NMS asset acquisition (Note 5)</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(3,299)</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(69,729)</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Capital expenditures - other</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(423,575)</w:t>
            </w: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(166,028)</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(34,900)</w:t>
            </w:r>
          </w:p>
        </w:tc>
        <w:tc>
          <w:tcPr>
            <w:tcW w:w="0" w:type="dxa"/>
            <w:vAlign w:val="bottom"/>
          </w:tcPr>
          <w:p>
            <w:pPr>
              <w:spacing w:after="0"/>
              <w:rPr>
                <w:sz w:val="1"/>
                <w:szCs w:val="1"/>
                <w:color w:val="auto"/>
              </w:rPr>
            </w:pPr>
          </w:p>
        </w:tc>
      </w:tr>
      <w:tr>
        <w:trPr>
          <w:trHeight w:val="20"/>
        </w:trPr>
        <w:tc>
          <w:tcPr>
            <w:tcW w:w="5280" w:type="dxa"/>
            <w:vAlign w:val="bottom"/>
            <w:gridSpan w:val="2"/>
            <w:vMerge w:val="restart"/>
            <w:shd w:val="clear" w:color="auto" w:fill="CFF0FC"/>
          </w:tcPr>
          <w:p>
            <w:pPr>
              <w:spacing w:after="0"/>
              <w:rPr>
                <w:sz w:val="20"/>
                <w:szCs w:val="20"/>
                <w:color w:val="auto"/>
              </w:rPr>
            </w:pPr>
            <w:r>
              <w:rPr>
                <w:rFonts w:ascii="Arial" w:cs="Arial" w:eastAsia="Arial" w:hAnsi="Arial"/>
                <w:sz w:val="11"/>
                <w:szCs w:val="11"/>
                <w:color w:val="auto"/>
              </w:rPr>
              <w:t>Net cash used in investing activities</w:t>
            </w:r>
          </w:p>
        </w:tc>
        <w:tc>
          <w:tcPr>
            <w:tcW w:w="4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5280" w:type="dxa"/>
            <w:vAlign w:val="bottom"/>
            <w:gridSpan w:val="2"/>
            <w:vMerge w:val="continue"/>
            <w:shd w:val="clear" w:color="auto" w:fill="CFF0FC"/>
          </w:tcPr>
          <w:p>
            <w:pPr>
              <w:spacing w:after="0"/>
              <w:rPr>
                <w:sz w:val="11"/>
                <w:szCs w:val="11"/>
                <w:color w:val="auto"/>
              </w:rPr>
            </w:pPr>
          </w:p>
        </w:tc>
        <w:tc>
          <w:tcPr>
            <w:tcW w:w="440" w:type="dxa"/>
            <w:vAlign w:val="bottom"/>
            <w:shd w:val="clear" w:color="auto" w:fill="CFF0FC"/>
          </w:tcPr>
          <w:p>
            <w:pPr>
              <w:spacing w:after="0"/>
              <w:rPr>
                <w:sz w:val="11"/>
                <w:szCs w:val="11"/>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(480,543)</w:t>
            </w:r>
          </w:p>
        </w:tc>
        <w:tc>
          <w:tcPr>
            <w:tcW w:w="220" w:type="dxa"/>
            <w:vAlign w:val="bottom"/>
            <w:shd w:val="clear" w:color="auto" w:fill="CFF0FC"/>
          </w:tcPr>
          <w:p>
            <w:pPr>
              <w:spacing w:after="0"/>
              <w:rPr>
                <w:sz w:val="11"/>
                <w:szCs w:val="11"/>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(1,019,408)</w:t>
            </w:r>
          </w:p>
        </w:tc>
        <w:tc>
          <w:tcPr>
            <w:tcW w:w="10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(535,231)</w:t>
            </w:r>
          </w:p>
        </w:tc>
        <w:tc>
          <w:tcPr>
            <w:tcW w:w="0" w:type="dxa"/>
            <w:vAlign w:val="bottom"/>
          </w:tcPr>
          <w:p>
            <w:pPr>
              <w:spacing w:after="0"/>
              <w:rPr>
                <w:sz w:val="1"/>
                <w:szCs w:val="1"/>
                <w:color w:val="auto"/>
              </w:rPr>
            </w:pPr>
          </w:p>
        </w:tc>
      </w:tr>
      <w:tr>
        <w:trPr>
          <w:trHeight w:val="142"/>
        </w:trPr>
        <w:tc>
          <w:tcPr>
            <w:tcW w:w="5280" w:type="dxa"/>
            <w:vAlign w:val="bottom"/>
            <w:gridSpan w:val="2"/>
          </w:tcPr>
          <w:p>
            <w:pPr>
              <w:spacing w:after="0"/>
              <w:rPr>
                <w:sz w:val="20"/>
                <w:szCs w:val="20"/>
                <w:color w:val="auto"/>
              </w:rPr>
            </w:pPr>
            <w:r>
              <w:rPr>
                <w:rFonts w:ascii="Arial" w:cs="Arial" w:eastAsia="Arial" w:hAnsi="Arial"/>
                <w:sz w:val="11"/>
                <w:szCs w:val="11"/>
                <w:b w:val="1"/>
                <w:bCs w:val="1"/>
                <w:color w:val="auto"/>
              </w:rPr>
              <w:t>Cash flow from financing activities</w:t>
            </w:r>
          </w:p>
        </w:tc>
        <w:tc>
          <w:tcPr>
            <w:tcW w:w="4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Principal payment on debt</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(21,080)</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(21,080)</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(22,027)</w:t>
            </w: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Dividends paid</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(426,094)</w:t>
            </w: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(400,210)</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(367,830)</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Payments of contingent consideration</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(18,640)</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(19,999)</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Proceeds from issuance of Notes</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60" w:type="dxa"/>
            <w:vAlign w:val="bottom"/>
          </w:tcPr>
          <w:p>
            <w:pPr>
              <w:jc w:val="right"/>
              <w:spacing w:after="0"/>
              <w:rPr>
                <w:sz w:val="20"/>
                <w:szCs w:val="20"/>
                <w:color w:val="auto"/>
              </w:rPr>
            </w:pPr>
            <w:r>
              <w:rPr>
                <w:rFonts w:ascii="Arial" w:cs="Arial" w:eastAsia="Arial" w:hAnsi="Arial"/>
                <w:sz w:val="11"/>
                <w:szCs w:val="11"/>
                <w:color w:val="auto"/>
              </w:rPr>
              <w:t>201,000</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548,875</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Borrowings under revolving credit facility</w:t>
            </w: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500,000</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845,000</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641,000</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Payments under revolving credit facility</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(140,000)</w:t>
            </w: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(565,000)</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(641,000)</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Capital lease payments</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(5,946)</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(3,237)</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1"/>
                <w:szCs w:val="11"/>
                <w:color w:val="auto"/>
              </w:rPr>
              <w:t>(1,549)</w:t>
            </w: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Deferred financing costs</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(28,539)</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(20,557)</w:t>
            </w: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Common stock issuance, net of costs</w:t>
            </w:r>
          </w:p>
        </w:tc>
        <w:tc>
          <w:tcPr>
            <w:tcW w:w="44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109,441</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498,926</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54,213</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Purchase of noncontrolling interest</w:t>
            </w:r>
          </w:p>
        </w:tc>
        <w:tc>
          <w:tcPr>
            <w:tcW w:w="44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(560)</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Distributions paid to noncontrolling interest</w:t>
            </w:r>
          </w:p>
        </w:tc>
        <w:tc>
          <w:tcPr>
            <w:tcW w:w="440" w:type="dxa"/>
            <w:vAlign w:val="bottom"/>
            <w:shd w:val="clear" w:color="auto" w:fill="CFF0FC"/>
          </w:tcPr>
          <w:p>
            <w:pPr>
              <w:spacing w:after="0"/>
              <w:rPr>
                <w:sz w:val="12"/>
                <w:szCs w:val="1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(9,917)</w:t>
            </w:r>
          </w:p>
        </w:tc>
        <w:tc>
          <w:tcPr>
            <w:tcW w:w="220" w:type="dxa"/>
            <w:vAlign w:val="bottom"/>
            <w:shd w:val="clear" w:color="auto" w:fill="CFF0FC"/>
          </w:tcPr>
          <w:p>
            <w:pPr>
              <w:spacing w:after="0"/>
              <w:rPr>
                <w:sz w:val="12"/>
                <w:szCs w:val="12"/>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(2,498)</w:t>
            </w:r>
          </w:p>
        </w:tc>
        <w:tc>
          <w:tcPr>
            <w:tcW w:w="100" w:type="dxa"/>
            <w:vAlign w:val="bottom"/>
            <w:shd w:val="clear" w:color="auto" w:fill="CFF0FC"/>
          </w:tcPr>
          <w:p>
            <w:pPr>
              <w:spacing w:after="0"/>
              <w:rPr>
                <w:sz w:val="12"/>
                <w:szCs w:val="12"/>
                <w:color w:val="auto"/>
              </w:rPr>
            </w:pPr>
          </w:p>
        </w:tc>
        <w:tc>
          <w:tcPr>
            <w:tcW w:w="4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Net share settlement</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(1,605)</w:t>
            </w: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1"/>
                <w:szCs w:val="11"/>
                <w:color w:val="auto"/>
              </w:rPr>
              <w:t>(1,836)</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(2,359)</w:t>
            </w:r>
          </w:p>
        </w:tc>
        <w:tc>
          <w:tcPr>
            <w:tcW w:w="0" w:type="dxa"/>
            <w:vAlign w:val="bottom"/>
          </w:tcPr>
          <w:p>
            <w:pPr>
              <w:spacing w:after="0"/>
              <w:rPr>
                <w:sz w:val="1"/>
                <w:szCs w:val="1"/>
                <w:color w:val="auto"/>
              </w:rPr>
            </w:pPr>
          </w:p>
        </w:tc>
      </w:tr>
      <w:tr>
        <w:trPr>
          <w:trHeight w:val="20"/>
        </w:trPr>
        <w:tc>
          <w:tcPr>
            <w:tcW w:w="5280" w:type="dxa"/>
            <w:vAlign w:val="bottom"/>
            <w:gridSpan w:val="2"/>
            <w:vMerge w:val="restart"/>
            <w:shd w:val="clear" w:color="auto" w:fill="CFF0FC"/>
          </w:tcPr>
          <w:p>
            <w:pPr>
              <w:spacing w:after="0"/>
              <w:rPr>
                <w:sz w:val="20"/>
                <w:szCs w:val="20"/>
                <w:color w:val="auto"/>
              </w:rPr>
            </w:pPr>
            <w:r>
              <w:rPr>
                <w:rFonts w:ascii="Arial" w:cs="Arial" w:eastAsia="Arial" w:hAnsi="Arial"/>
                <w:sz w:val="11"/>
                <w:szCs w:val="11"/>
                <w:color w:val="auto"/>
              </w:rPr>
              <w:t>Net cash (used in) provided by financing activities</w:t>
            </w:r>
          </w:p>
        </w:tc>
        <w:tc>
          <w:tcPr>
            <w:tcW w:w="4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5280" w:type="dxa"/>
            <w:vAlign w:val="bottom"/>
            <w:gridSpan w:val="2"/>
            <w:vMerge w:val="continue"/>
            <w:shd w:val="clear" w:color="auto" w:fill="CFF0FC"/>
          </w:tcPr>
          <w:p>
            <w:pPr>
              <w:spacing w:after="0"/>
              <w:rPr>
                <w:sz w:val="11"/>
                <w:szCs w:val="11"/>
                <w:color w:val="auto"/>
              </w:rPr>
            </w:pPr>
          </w:p>
        </w:tc>
        <w:tc>
          <w:tcPr>
            <w:tcW w:w="440" w:type="dxa"/>
            <w:vAlign w:val="bottom"/>
            <w:shd w:val="clear" w:color="auto" w:fill="CFF0FC"/>
          </w:tcPr>
          <w:p>
            <w:pPr>
              <w:spacing w:after="0"/>
              <w:rPr>
                <w:sz w:val="11"/>
                <w:szCs w:val="11"/>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(13,841)</w:t>
            </w:r>
          </w:p>
        </w:tc>
        <w:tc>
          <w:tcPr>
            <w:tcW w:w="220" w:type="dxa"/>
            <w:vAlign w:val="bottom"/>
            <w:shd w:val="clear" w:color="auto" w:fill="CFF0FC"/>
          </w:tcPr>
          <w:p>
            <w:pPr>
              <w:spacing w:after="0"/>
              <w:rPr>
                <w:sz w:val="11"/>
                <w:szCs w:val="11"/>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501,967</w:t>
            </w:r>
          </w:p>
        </w:tc>
        <w:tc>
          <w:tcPr>
            <w:tcW w:w="1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188,766</w:t>
            </w:r>
          </w:p>
        </w:tc>
        <w:tc>
          <w:tcPr>
            <w:tcW w:w="12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spacing w:after="0"/>
              <w:rPr>
                <w:sz w:val="20"/>
                <w:szCs w:val="20"/>
                <w:color w:val="auto"/>
              </w:rPr>
            </w:pPr>
            <w:r>
              <w:rPr>
                <w:rFonts w:ascii="Arial" w:cs="Arial" w:eastAsia="Arial" w:hAnsi="Arial"/>
                <w:sz w:val="11"/>
                <w:szCs w:val="11"/>
                <w:color w:val="auto"/>
              </w:rPr>
              <w:t>Effect of exchange rates on cash and cash equivalents</w:t>
            </w:r>
          </w:p>
        </w:tc>
        <w:tc>
          <w:tcPr>
            <w:tcW w:w="440" w:type="dxa"/>
            <w:vAlign w:val="bottom"/>
          </w:tcPr>
          <w:p>
            <w:pPr>
              <w:spacing w:after="0"/>
              <w:rPr>
                <w:sz w:val="12"/>
                <w:szCs w:val="12"/>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1"/>
                <w:szCs w:val="11"/>
                <w:color w:val="auto"/>
              </w:rPr>
              <w:t>(173)</w:t>
            </w:r>
          </w:p>
        </w:tc>
        <w:tc>
          <w:tcPr>
            <w:tcW w:w="220" w:type="dxa"/>
            <w:vAlign w:val="bottom"/>
          </w:tcPr>
          <w:p>
            <w:pPr>
              <w:spacing w:after="0"/>
              <w:rPr>
                <w:sz w:val="12"/>
                <w:szCs w:val="12"/>
                <w:color w:val="auto"/>
              </w:rPr>
            </w:pPr>
          </w:p>
        </w:tc>
        <w:tc>
          <w:tcPr>
            <w:tcW w:w="1660" w:type="dxa"/>
            <w:vAlign w:val="bottom"/>
          </w:tcPr>
          <w:p>
            <w:pPr>
              <w:jc w:val="right"/>
              <w:spacing w:after="0"/>
              <w:rPr>
                <w:sz w:val="20"/>
                <w:szCs w:val="20"/>
                <w:color w:val="auto"/>
              </w:rPr>
            </w:pPr>
            <w:r>
              <w:rPr>
                <w:rFonts w:ascii="Arial" w:cs="Arial" w:eastAsia="Arial" w:hAnsi="Arial"/>
                <w:sz w:val="11"/>
                <w:szCs w:val="11"/>
                <w:color w:val="auto"/>
              </w:rPr>
              <w:t>192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1"/>
                <w:szCs w:val="11"/>
                <w:color w:val="auto"/>
              </w:rPr>
              <w:t>(267)</w:t>
            </w:r>
          </w:p>
        </w:tc>
        <w:tc>
          <w:tcPr>
            <w:tcW w:w="0" w:type="dxa"/>
            <w:vAlign w:val="bottom"/>
          </w:tcPr>
          <w:p>
            <w:pPr>
              <w:spacing w:after="0"/>
              <w:rPr>
                <w:sz w:val="1"/>
                <w:szCs w:val="1"/>
                <w:color w:val="auto"/>
              </w:rPr>
            </w:pPr>
          </w:p>
        </w:tc>
      </w:tr>
      <w:tr>
        <w:trPr>
          <w:trHeight w:val="20"/>
        </w:trPr>
        <w:tc>
          <w:tcPr>
            <w:tcW w:w="5280" w:type="dxa"/>
            <w:vAlign w:val="bottom"/>
            <w:gridSpan w:val="2"/>
            <w:vMerge w:val="restart"/>
            <w:shd w:val="clear" w:color="auto" w:fill="CFF0FC"/>
          </w:tcPr>
          <w:p>
            <w:pPr>
              <w:spacing w:after="0"/>
              <w:rPr>
                <w:sz w:val="20"/>
                <w:szCs w:val="20"/>
                <w:color w:val="auto"/>
              </w:rPr>
            </w:pPr>
            <w:r>
              <w:rPr>
                <w:rFonts w:ascii="Arial" w:cs="Arial" w:eastAsia="Arial" w:hAnsi="Arial"/>
                <w:sz w:val="11"/>
                <w:szCs w:val="11"/>
                <w:color w:val="auto"/>
              </w:rPr>
              <w:t>Net (decrease) increase in cash and cash equivalents</w:t>
            </w:r>
          </w:p>
        </w:tc>
        <w:tc>
          <w:tcPr>
            <w:tcW w:w="4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5280" w:type="dxa"/>
            <w:vAlign w:val="bottom"/>
            <w:gridSpan w:val="2"/>
            <w:vMerge w:val="continue"/>
            <w:shd w:val="clear" w:color="auto" w:fill="CFF0FC"/>
          </w:tcPr>
          <w:p>
            <w:pPr>
              <w:spacing w:after="0"/>
              <w:rPr>
                <w:sz w:val="11"/>
                <w:szCs w:val="11"/>
                <w:color w:val="auto"/>
              </w:rPr>
            </w:pPr>
          </w:p>
        </w:tc>
        <w:tc>
          <w:tcPr>
            <w:tcW w:w="440" w:type="dxa"/>
            <w:vAlign w:val="bottom"/>
            <w:shd w:val="clear" w:color="auto" w:fill="CFF0FC"/>
          </w:tcPr>
          <w:p>
            <w:pPr>
              <w:spacing w:after="0"/>
              <w:rPr>
                <w:sz w:val="11"/>
                <w:szCs w:val="11"/>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(21,739)</w:t>
            </w:r>
          </w:p>
        </w:tc>
        <w:tc>
          <w:tcPr>
            <w:tcW w:w="220" w:type="dxa"/>
            <w:vAlign w:val="bottom"/>
            <w:shd w:val="clear" w:color="auto" w:fill="CFF0FC"/>
          </w:tcPr>
          <w:p>
            <w:pPr>
              <w:spacing w:after="0"/>
              <w:rPr>
                <w:sz w:val="11"/>
                <w:szCs w:val="11"/>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1"/>
                <w:szCs w:val="11"/>
                <w:color w:val="auto"/>
              </w:rPr>
              <w:t>(111,989)</w:t>
            </w:r>
          </w:p>
        </w:tc>
        <w:tc>
          <w:tcPr>
            <w:tcW w:w="10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29,256</w:t>
            </w:r>
          </w:p>
        </w:tc>
        <w:tc>
          <w:tcPr>
            <w:tcW w:w="12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5280" w:type="dxa"/>
            <w:vAlign w:val="bottom"/>
            <w:tcBorders>
              <w:bottom w:val="single" w:sz="8" w:color="CFF0FC"/>
            </w:tcBorders>
            <w:gridSpan w:val="2"/>
          </w:tcPr>
          <w:p>
            <w:pPr>
              <w:spacing w:after="0"/>
              <w:rPr>
                <w:sz w:val="20"/>
                <w:szCs w:val="20"/>
                <w:color w:val="auto"/>
              </w:rPr>
            </w:pPr>
            <w:r>
              <w:rPr>
                <w:rFonts w:ascii="Arial" w:cs="Arial" w:eastAsia="Arial" w:hAnsi="Arial"/>
                <w:sz w:val="11"/>
                <w:szCs w:val="11"/>
                <w:color w:val="auto"/>
              </w:rPr>
              <w:t>Cash and cash equivalents at beginning of period</w:t>
            </w:r>
          </w:p>
        </w:tc>
        <w:tc>
          <w:tcPr>
            <w:tcW w:w="44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59,765</w:t>
            </w:r>
          </w:p>
        </w:tc>
        <w:tc>
          <w:tcPr>
            <w:tcW w:w="240" w:type="dxa"/>
            <w:vAlign w:val="bottom"/>
            <w:tcBorders>
              <w:bottom w:val="single" w:sz="8" w:color="CFF0FC"/>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171,754</w:t>
            </w:r>
          </w:p>
        </w:tc>
        <w:tc>
          <w:tcPr>
            <w:tcW w:w="120" w:type="dxa"/>
            <w:vAlign w:val="bottom"/>
            <w:tcBorders>
              <w:bottom w:val="single" w:sz="8" w:color="CFF0FC"/>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142,498</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280" w:type="dxa"/>
            <w:vAlign w:val="bottom"/>
            <w:gridSpan w:val="2"/>
            <w:shd w:val="clear" w:color="auto" w:fill="CFF0FC"/>
          </w:tcPr>
          <w:p>
            <w:pPr>
              <w:spacing w:after="0"/>
              <w:rPr>
                <w:sz w:val="20"/>
                <w:szCs w:val="20"/>
                <w:color w:val="auto"/>
              </w:rPr>
            </w:pPr>
            <w:r>
              <w:rPr>
                <w:rFonts w:ascii="Arial" w:cs="Arial" w:eastAsia="Arial" w:hAnsi="Arial"/>
                <w:sz w:val="11"/>
                <w:szCs w:val="11"/>
                <w:color w:val="auto"/>
              </w:rPr>
              <w:t>Cash and cash equivalents at end of period</w:t>
            </w:r>
          </w:p>
        </w:tc>
        <w:tc>
          <w:tcPr>
            <w:tcW w:w="440" w:type="dxa"/>
            <w:vAlign w:val="bottom"/>
            <w:shd w:val="clear" w:color="auto" w:fill="CFF0FC"/>
          </w:tcPr>
          <w:p>
            <w:pPr>
              <w:jc w:val="right"/>
              <w:ind w:right="373"/>
              <w:spacing w:after="0"/>
              <w:rPr>
                <w:sz w:val="20"/>
                <w:szCs w:val="20"/>
                <w:color w:val="auto"/>
              </w:rPr>
            </w:pPr>
            <w:r>
              <w:rPr>
                <w:rFonts w:ascii="Arial" w:cs="Arial" w:eastAsia="Arial" w:hAnsi="Arial"/>
                <w:sz w:val="5"/>
                <w:szCs w:val="5"/>
                <w:color w:val="auto"/>
                <w:w w:val="70"/>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38,026</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jc w:val="right"/>
              <w:ind w:right="111"/>
              <w:spacing w:after="0"/>
              <w:rPr>
                <w:sz w:val="20"/>
                <w:szCs w:val="20"/>
                <w:color w:val="auto"/>
              </w:rPr>
            </w:pPr>
            <w:r>
              <w:rPr>
                <w:rFonts w:ascii="Arial" w:cs="Arial" w:eastAsia="Arial" w:hAnsi="Arial"/>
                <w:sz w:val="10"/>
                <w:szCs w:val="10"/>
                <w:color w:val="auto"/>
                <w:w w:val="71"/>
              </w:rPr>
              <w:t>$</w:t>
            </w: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59,765</w:t>
            </w:r>
          </w:p>
        </w:tc>
        <w:tc>
          <w:tcPr>
            <w:tcW w:w="120" w:type="dxa"/>
            <w:vAlign w:val="bottom"/>
            <w:shd w:val="clear" w:color="auto" w:fill="CFF0FC"/>
          </w:tcPr>
          <w:p>
            <w:pPr>
              <w:spacing w:after="0"/>
              <w:rPr>
                <w:sz w:val="13"/>
                <w:szCs w:val="13"/>
                <w:color w:val="auto"/>
              </w:rPr>
            </w:pPr>
          </w:p>
        </w:tc>
        <w:tc>
          <w:tcPr>
            <w:tcW w:w="560" w:type="dxa"/>
            <w:vAlign w:val="bottom"/>
            <w:gridSpan w:val="2"/>
            <w:shd w:val="clear" w:color="auto" w:fill="CFF0FC"/>
          </w:tcPr>
          <w:p>
            <w:pPr>
              <w:jc w:val="right"/>
              <w:ind w:right="400"/>
              <w:spacing w:after="0"/>
              <w:rPr>
                <w:sz w:val="20"/>
                <w:szCs w:val="20"/>
                <w:color w:val="auto"/>
              </w:rPr>
            </w:pPr>
            <w:r>
              <w:rPr>
                <w:rFonts w:ascii="Arial" w:cs="Arial" w:eastAsia="Arial" w:hAnsi="Arial"/>
                <w:sz w:val="11"/>
                <w:szCs w:val="11"/>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171,754</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5280" w:type="dxa"/>
            <w:vAlign w:val="bottom"/>
            <w:tcBorders>
              <w:top w:val="single" w:sz="8" w:color="CFF0FC"/>
            </w:tcBorders>
            <w:gridSpan w:val="2"/>
          </w:tcPr>
          <w:p>
            <w:pPr>
              <w:spacing w:after="0"/>
              <w:rPr>
                <w:sz w:val="20"/>
                <w:szCs w:val="20"/>
                <w:color w:val="auto"/>
              </w:rPr>
            </w:pPr>
            <w:r>
              <w:rPr>
                <w:rFonts w:ascii="Arial" w:cs="Arial" w:eastAsia="Arial" w:hAnsi="Arial"/>
                <w:sz w:val="11"/>
                <w:szCs w:val="11"/>
                <w:b w:val="1"/>
                <w:bCs w:val="1"/>
                <w:color w:val="auto"/>
              </w:rPr>
              <w:t>Non-cash investing and financing activities:</w:t>
            </w:r>
          </w:p>
        </w:tc>
        <w:tc>
          <w:tcPr>
            <w:tcW w:w="440" w:type="dxa"/>
            <w:vAlign w:val="bottom"/>
            <w:tcBorders>
              <w:top w:val="single" w:sz="8" w:color="auto"/>
            </w:tcBorders>
          </w:tcPr>
          <w:p>
            <w:pPr>
              <w:spacing w:after="0"/>
              <w:rPr>
                <w:sz w:val="11"/>
                <w:szCs w:val="11"/>
                <w:color w:val="auto"/>
              </w:rPr>
            </w:pPr>
          </w:p>
        </w:tc>
        <w:tc>
          <w:tcPr>
            <w:tcW w:w="1420" w:type="dxa"/>
            <w:vAlign w:val="bottom"/>
            <w:tcBorders>
              <w:top w:val="single" w:sz="8" w:color="auto"/>
            </w:tcBorders>
          </w:tcPr>
          <w:p>
            <w:pPr>
              <w:spacing w:after="0"/>
              <w:rPr>
                <w:sz w:val="11"/>
                <w:szCs w:val="11"/>
                <w:color w:val="auto"/>
              </w:rPr>
            </w:pPr>
          </w:p>
        </w:tc>
        <w:tc>
          <w:tcPr>
            <w:tcW w:w="240" w:type="dxa"/>
            <w:vAlign w:val="bottom"/>
            <w:tcBorders>
              <w:top w:val="single" w:sz="8" w:color="CFF0FC"/>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660" w:type="dxa"/>
            <w:vAlign w:val="bottom"/>
            <w:tcBorders>
              <w:top w:val="single" w:sz="8" w:color="auto"/>
            </w:tcBorders>
          </w:tcPr>
          <w:p>
            <w:pPr>
              <w:spacing w:after="0"/>
              <w:rPr>
                <w:sz w:val="11"/>
                <w:szCs w:val="11"/>
                <w:color w:val="auto"/>
              </w:rPr>
            </w:pPr>
          </w:p>
        </w:tc>
        <w:tc>
          <w:tcPr>
            <w:tcW w:w="120" w:type="dxa"/>
            <w:vAlign w:val="bottom"/>
            <w:tcBorders>
              <w:top w:val="single" w:sz="8" w:color="CFF0FC"/>
            </w:tcBorders>
          </w:tcPr>
          <w:p>
            <w:pPr>
              <w:spacing w:after="0"/>
              <w:rPr>
                <w:sz w:val="11"/>
                <w:szCs w:val="11"/>
                <w:color w:val="auto"/>
              </w:rPr>
            </w:pPr>
          </w:p>
        </w:tc>
        <w:tc>
          <w:tcPr>
            <w:tcW w:w="100" w:type="dxa"/>
            <w:vAlign w:val="bottom"/>
            <w:tcBorders>
              <w:top w:val="single" w:sz="8" w:color="CFF0FC"/>
            </w:tcBorders>
          </w:tcPr>
          <w:p>
            <w:pPr>
              <w:spacing w:after="0"/>
              <w:rPr>
                <w:sz w:val="11"/>
                <w:szCs w:val="11"/>
                <w:color w:val="auto"/>
              </w:rPr>
            </w:pPr>
          </w:p>
        </w:tc>
        <w:tc>
          <w:tcPr>
            <w:tcW w:w="460" w:type="dxa"/>
            <w:vAlign w:val="bottom"/>
            <w:tcBorders>
              <w:top w:val="single" w:sz="8" w:color="auto"/>
            </w:tcBorders>
          </w:tcPr>
          <w:p>
            <w:pPr>
              <w:spacing w:after="0"/>
              <w:rPr>
                <w:sz w:val="11"/>
                <w:szCs w:val="11"/>
                <w:color w:val="auto"/>
              </w:rPr>
            </w:pPr>
          </w:p>
        </w:tc>
        <w:tc>
          <w:tcPr>
            <w:tcW w:w="1420" w:type="dxa"/>
            <w:vAlign w:val="bottom"/>
            <w:tcBorders>
              <w:top w:val="single" w:sz="8" w:color="auto"/>
            </w:tcBorders>
          </w:tcPr>
          <w:p>
            <w:pPr>
              <w:spacing w:after="0"/>
              <w:rPr>
                <w:sz w:val="11"/>
                <w:szCs w:val="11"/>
                <w:color w:val="auto"/>
              </w:rPr>
            </w:pPr>
          </w:p>
        </w:tc>
        <w:tc>
          <w:tcPr>
            <w:tcW w:w="120" w:type="dxa"/>
            <w:vAlign w:val="bottom"/>
            <w:tcBorders>
              <w:top w:val="single" w:sz="8" w:color="CFF0FC"/>
            </w:tcBorders>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Property and equipment acquired but not yet paid</w:t>
            </w:r>
          </w:p>
        </w:tc>
        <w:tc>
          <w:tcPr>
            <w:tcW w:w="440" w:type="dxa"/>
            <w:vAlign w:val="bottom"/>
            <w:shd w:val="clear" w:color="auto" w:fill="CFF0FC"/>
          </w:tcPr>
          <w:p>
            <w:pPr>
              <w:jc w:val="right"/>
              <w:ind w:right="373"/>
              <w:spacing w:after="0"/>
              <w:rPr>
                <w:sz w:val="20"/>
                <w:szCs w:val="20"/>
                <w:color w:val="auto"/>
              </w:rPr>
            </w:pPr>
            <w:r>
              <w:rPr>
                <w:rFonts w:ascii="Arial" w:cs="Arial" w:eastAsia="Arial" w:hAnsi="Arial"/>
                <w:sz w:val="5"/>
                <w:szCs w:val="5"/>
                <w:color w:val="auto"/>
                <w:w w:val="70"/>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17,901</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jc w:val="right"/>
              <w:ind w:right="111"/>
              <w:spacing w:after="0"/>
              <w:rPr>
                <w:sz w:val="20"/>
                <w:szCs w:val="20"/>
                <w:color w:val="auto"/>
              </w:rPr>
            </w:pPr>
            <w:r>
              <w:rPr>
                <w:rFonts w:ascii="Arial" w:cs="Arial" w:eastAsia="Arial" w:hAnsi="Arial"/>
                <w:sz w:val="10"/>
                <w:szCs w:val="10"/>
                <w:color w:val="auto"/>
                <w:w w:val="71"/>
              </w:rPr>
              <w:t>$</w:t>
            </w: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15,285</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400"/>
              <w:spacing w:after="0"/>
              <w:rPr>
                <w:sz w:val="20"/>
                <w:szCs w:val="20"/>
                <w:color w:val="auto"/>
              </w:rPr>
            </w:pPr>
            <w:r>
              <w:rPr>
                <w:rFonts w:ascii="Arial" w:cs="Arial" w:eastAsia="Arial" w:hAnsi="Arial"/>
                <w:sz w:val="11"/>
                <w:szCs w:val="11"/>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5,752</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280" w:type="dxa"/>
            <w:vAlign w:val="bottom"/>
            <w:gridSpan w:val="2"/>
          </w:tcPr>
          <w:p>
            <w:pPr>
              <w:ind w:left="160"/>
              <w:spacing w:after="0"/>
              <w:rPr>
                <w:sz w:val="20"/>
                <w:szCs w:val="20"/>
                <w:color w:val="auto"/>
              </w:rPr>
            </w:pPr>
            <w:r>
              <w:rPr>
                <w:rFonts w:ascii="Arial" w:cs="Arial" w:eastAsia="Arial" w:hAnsi="Arial"/>
                <w:sz w:val="11"/>
                <w:szCs w:val="11"/>
                <w:color w:val="auto"/>
              </w:rPr>
              <w:t>Tenant capital improvements</w:t>
            </w:r>
          </w:p>
        </w:tc>
        <w:tc>
          <w:tcPr>
            <w:tcW w:w="440" w:type="dxa"/>
            <w:vAlign w:val="bottom"/>
          </w:tcPr>
          <w:p>
            <w:pPr>
              <w:jc w:val="right"/>
              <w:ind w:right="373"/>
              <w:spacing w:after="0"/>
              <w:rPr>
                <w:sz w:val="20"/>
                <w:szCs w:val="20"/>
                <w:color w:val="auto"/>
              </w:rPr>
            </w:pPr>
            <w:r>
              <w:rPr>
                <w:rFonts w:ascii="Arial" w:cs="Arial" w:eastAsia="Arial" w:hAnsi="Arial"/>
                <w:sz w:val="5"/>
                <w:szCs w:val="5"/>
                <w:color w:val="auto"/>
                <w:w w:val="70"/>
              </w:rPr>
              <w:t>$</w:t>
            </w:r>
          </w:p>
        </w:tc>
        <w:tc>
          <w:tcPr>
            <w:tcW w:w="1420" w:type="dxa"/>
            <w:vAlign w:val="bottom"/>
          </w:tcPr>
          <w:p>
            <w:pPr>
              <w:jc w:val="right"/>
              <w:spacing w:after="0"/>
              <w:rPr>
                <w:sz w:val="20"/>
                <w:szCs w:val="20"/>
                <w:color w:val="auto"/>
              </w:rPr>
            </w:pPr>
            <w:r>
              <w:rPr>
                <w:rFonts w:ascii="Arial" w:cs="Arial" w:eastAsia="Arial" w:hAnsi="Arial"/>
                <w:sz w:val="11"/>
                <w:szCs w:val="11"/>
                <w:color w:val="auto"/>
              </w:rPr>
              <w:t>153,615</w:t>
            </w:r>
          </w:p>
        </w:tc>
        <w:tc>
          <w:tcPr>
            <w:tcW w:w="240" w:type="dxa"/>
            <w:vAlign w:val="bottom"/>
          </w:tcPr>
          <w:p>
            <w:pPr>
              <w:spacing w:after="0"/>
              <w:rPr>
                <w:sz w:val="12"/>
                <w:szCs w:val="12"/>
                <w:color w:val="auto"/>
              </w:rPr>
            </w:pPr>
          </w:p>
        </w:tc>
        <w:tc>
          <w:tcPr>
            <w:tcW w:w="220" w:type="dxa"/>
            <w:vAlign w:val="bottom"/>
          </w:tcPr>
          <w:p>
            <w:pPr>
              <w:jc w:val="right"/>
              <w:ind w:right="111"/>
              <w:spacing w:after="0"/>
              <w:rPr>
                <w:sz w:val="20"/>
                <w:szCs w:val="20"/>
                <w:color w:val="auto"/>
              </w:rPr>
            </w:pPr>
            <w:r>
              <w:rPr>
                <w:rFonts w:ascii="Arial" w:cs="Arial" w:eastAsia="Arial" w:hAnsi="Arial"/>
                <w:sz w:val="10"/>
                <w:szCs w:val="10"/>
                <w:color w:val="auto"/>
                <w:w w:val="71"/>
              </w:rPr>
              <w:t>$</w:t>
            </w:r>
          </w:p>
        </w:tc>
        <w:tc>
          <w:tcPr>
            <w:tcW w:w="1660" w:type="dxa"/>
            <w:vAlign w:val="bottom"/>
          </w:tcPr>
          <w:p>
            <w:pPr>
              <w:jc w:val="right"/>
              <w:spacing w:after="0"/>
              <w:rPr>
                <w:sz w:val="20"/>
                <w:szCs w:val="20"/>
                <w:color w:val="auto"/>
              </w:rPr>
            </w:pPr>
            <w:r>
              <w:rPr>
                <w:rFonts w:ascii="Arial" w:cs="Arial" w:eastAsia="Arial" w:hAnsi="Arial"/>
                <w:sz w:val="11"/>
                <w:szCs w:val="11"/>
                <w:color w:val="auto"/>
              </w:rPr>
              <w:t>227,969</w:t>
            </w:r>
          </w:p>
        </w:tc>
        <w:tc>
          <w:tcPr>
            <w:tcW w:w="120" w:type="dxa"/>
            <w:vAlign w:val="bottom"/>
          </w:tcPr>
          <w:p>
            <w:pPr>
              <w:spacing w:after="0"/>
              <w:rPr>
                <w:sz w:val="12"/>
                <w:szCs w:val="12"/>
                <w:color w:val="auto"/>
              </w:rPr>
            </w:pPr>
          </w:p>
        </w:tc>
        <w:tc>
          <w:tcPr>
            <w:tcW w:w="560" w:type="dxa"/>
            <w:vAlign w:val="bottom"/>
            <w:gridSpan w:val="2"/>
          </w:tcPr>
          <w:p>
            <w:pPr>
              <w:jc w:val="right"/>
              <w:ind w:right="400"/>
              <w:spacing w:after="0"/>
              <w:rPr>
                <w:sz w:val="20"/>
                <w:szCs w:val="20"/>
                <w:color w:val="auto"/>
              </w:rPr>
            </w:pPr>
            <w:r>
              <w:rPr>
                <w:rFonts w:ascii="Arial" w:cs="Arial" w:eastAsia="Arial" w:hAnsi="Arial"/>
                <w:sz w:val="11"/>
                <w:szCs w:val="11"/>
                <w:color w:val="auto"/>
              </w:rPr>
              <w:t>$</w:t>
            </w:r>
          </w:p>
        </w:tc>
        <w:tc>
          <w:tcPr>
            <w:tcW w:w="1420" w:type="dxa"/>
            <w:vAlign w:val="bottom"/>
          </w:tcPr>
          <w:p>
            <w:pPr>
              <w:jc w:val="right"/>
              <w:spacing w:after="0"/>
              <w:rPr>
                <w:sz w:val="20"/>
                <w:szCs w:val="20"/>
                <w:color w:val="auto"/>
              </w:rPr>
            </w:pPr>
            <w:r>
              <w:rPr>
                <w:rFonts w:ascii="Arial" w:cs="Arial" w:eastAsia="Arial" w:hAnsi="Arial"/>
                <w:sz w:val="11"/>
                <w:szCs w:val="11"/>
                <w:color w:val="auto"/>
              </w:rPr>
              <w:t>156,972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Acquisition of businesses through non-cash consideration</w:t>
            </w:r>
          </w:p>
        </w:tc>
        <w:tc>
          <w:tcPr>
            <w:tcW w:w="440" w:type="dxa"/>
            <w:vAlign w:val="bottom"/>
            <w:shd w:val="clear" w:color="auto" w:fill="CFF0FC"/>
          </w:tcPr>
          <w:p>
            <w:pPr>
              <w:jc w:val="right"/>
              <w:ind w:right="373"/>
              <w:spacing w:after="0"/>
              <w:rPr>
                <w:sz w:val="20"/>
                <w:szCs w:val="20"/>
                <w:color w:val="auto"/>
              </w:rPr>
            </w:pPr>
            <w:r>
              <w:rPr>
                <w:rFonts w:ascii="Arial" w:cs="Arial" w:eastAsia="Arial" w:hAnsi="Arial"/>
                <w:sz w:val="5"/>
                <w:szCs w:val="5"/>
                <w:color w:val="auto"/>
                <w:w w:val="70"/>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jc w:val="right"/>
              <w:ind w:right="111"/>
              <w:spacing w:after="0"/>
              <w:rPr>
                <w:sz w:val="20"/>
                <w:szCs w:val="20"/>
                <w:color w:val="auto"/>
              </w:rPr>
            </w:pPr>
            <w:r>
              <w:rPr>
                <w:rFonts w:ascii="Arial" w:cs="Arial" w:eastAsia="Arial" w:hAnsi="Arial"/>
                <w:sz w:val="10"/>
                <w:szCs w:val="10"/>
                <w:color w:val="auto"/>
                <w:w w:val="71"/>
              </w:rPr>
              <w:t>$</w:t>
            </w:r>
          </w:p>
        </w:tc>
        <w:tc>
          <w:tcPr>
            <w:tcW w:w="16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122,395</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400"/>
              <w:spacing w:after="0"/>
              <w:rPr>
                <w:sz w:val="20"/>
                <w:szCs w:val="20"/>
                <w:color w:val="auto"/>
              </w:rPr>
            </w:pPr>
            <w:r>
              <w:rPr>
                <w:rFonts w:ascii="Arial" w:cs="Arial" w:eastAsia="Arial" w:hAnsi="Arial"/>
                <w:sz w:val="11"/>
                <w:szCs w:val="11"/>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259,996</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The accompanying notes are an integral part of these consolidated financial statements.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63" w:name="page64"/>
    <w:bookmarkEnd w:id="6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Notes to the Consolidated Financial Statements</w:t>
      </w:r>
    </w:p>
    <w:p>
      <w:pPr>
        <w:spacing w:after="0" w:line="299"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 Organization and Description of Business</w:t>
      </w:r>
    </w:p>
    <w:p>
      <w:pPr>
        <w:spacing w:after="0" w:line="154" w:lineRule="exact"/>
        <w:rPr>
          <w:sz w:val="20"/>
          <w:szCs w:val="20"/>
          <w:color w:val="auto"/>
        </w:rPr>
      </w:pPr>
    </w:p>
    <w:p>
      <w:pPr>
        <w:jc w:val="both"/>
        <w:ind w:right="40"/>
        <w:spacing w:after="0" w:line="298" w:lineRule="auto"/>
        <w:rPr>
          <w:sz w:val="20"/>
          <w:szCs w:val="20"/>
          <w:color w:val="auto"/>
        </w:rPr>
      </w:pPr>
      <w:r>
        <w:rPr>
          <w:rFonts w:ascii="Arial" w:cs="Arial" w:eastAsia="Arial" w:hAnsi="Arial"/>
          <w:sz w:val="11"/>
          <w:szCs w:val="11"/>
          <w:color w:val="auto"/>
        </w:rPr>
        <w:t>Uniti Group Inc. (the “Company,” “Uniti,” “we,” “us,” or “our”) was incorporated in the state of Maryland on September 4, 2014. We are an independent, internally managed real estate investment trust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 We manage our operations in four separate lines of business: Uniti Fiber, Uniti Towers, Uniti Leasing, and the Consumer CLEC Business.</w:t>
      </w:r>
    </w:p>
    <w:p>
      <w:pPr>
        <w:spacing w:after="0" w:line="105" w:lineRule="exact"/>
        <w:rPr>
          <w:sz w:val="20"/>
          <w:szCs w:val="20"/>
          <w:color w:val="auto"/>
        </w:rPr>
      </w:pPr>
    </w:p>
    <w:p>
      <w:pPr>
        <w:spacing w:after="0" w:line="257" w:lineRule="auto"/>
        <w:rPr>
          <w:sz w:val="20"/>
          <w:szCs w:val="20"/>
          <w:color w:val="auto"/>
        </w:rPr>
      </w:pPr>
      <w:r>
        <w:rPr>
          <w:rFonts w:ascii="Arial" w:cs="Arial" w:eastAsia="Arial" w:hAnsi="Arial"/>
          <w:sz w:val="12"/>
          <w:szCs w:val="12"/>
          <w:color w:val="auto"/>
        </w:rPr>
        <w:t>The Company operates through a customary “up-REIT” structure, pursuant to which we hold substantially all of our assets through a partnership, Uniti Group LP, a Delaware limited partnership (the “Operating Partnership”), that we control as general partner, with the only significant difference between the financial position and results of operations of the Operating Partnership and its subsidiaries compared to the consolidated financial position and consolidated results of operations of Uniti is that the results for the Operating Partnership and its subsidiaries do not include Uniti’s Consumer CLEC segment, which consists of Talk America Services. The up-REIT structure is intended to facilitate future acquisition opportunities by providing the Company with the ability to use common units of the Operating Partnership as a tax-efficient acquisition currency. As of December 31, 2018, we are the sole general partner of the Operating Partnership and own approximately 97.7% of the partnership interests in the Operating Partnership.</w:t>
      </w:r>
    </w:p>
    <w:p>
      <w:pPr>
        <w:spacing w:after="0" w:line="122"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 Basis of Presentation and Consolidation</w:t>
      </w:r>
    </w:p>
    <w:p>
      <w:pPr>
        <w:spacing w:after="0" w:line="154" w:lineRule="exact"/>
        <w:rPr>
          <w:sz w:val="20"/>
          <w:szCs w:val="20"/>
          <w:color w:val="auto"/>
        </w:rPr>
      </w:pPr>
    </w:p>
    <w:p>
      <w:pPr>
        <w:ind w:right="200"/>
        <w:spacing w:after="0" w:line="263" w:lineRule="auto"/>
        <w:rPr>
          <w:sz w:val="20"/>
          <w:szCs w:val="20"/>
          <w:color w:val="auto"/>
        </w:rPr>
      </w:pPr>
      <w:r>
        <w:rPr>
          <w:rFonts w:ascii="Arial" w:cs="Arial" w:eastAsia="Arial" w:hAnsi="Arial"/>
          <w:sz w:val="12"/>
          <w:szCs w:val="12"/>
          <w:color w:val="auto"/>
        </w:rPr>
        <w:t>The accompanying Consolidated Financial Statements include all accounts of the Company and, its wholly-owned and/or controlled subsidiaries, which includes the Operating Partnership. Under the Accounting Standards Codification 810, Consolidation (“ASC 810”), the Operating Partnership is considered a variable interest entity and is consolidated in the Consolidated Financial Statements of Uniti Group Inc. as the Company has determined to be the primary beneficiary. All material intercompany balances and transactions have been eliminated.</w:t>
      </w:r>
    </w:p>
    <w:p>
      <w:pPr>
        <w:spacing w:after="0" w:line="123" w:lineRule="exact"/>
        <w:rPr>
          <w:sz w:val="20"/>
          <w:szCs w:val="20"/>
          <w:color w:val="auto"/>
        </w:rPr>
      </w:pPr>
    </w:p>
    <w:p>
      <w:pPr>
        <w:ind w:right="60"/>
        <w:spacing w:after="0" w:line="283" w:lineRule="auto"/>
        <w:rPr>
          <w:sz w:val="20"/>
          <w:szCs w:val="20"/>
          <w:color w:val="auto"/>
        </w:rPr>
      </w:pPr>
      <w:r>
        <w:rPr>
          <w:rFonts w:ascii="Arial" w:cs="Arial" w:eastAsia="Arial" w:hAnsi="Arial"/>
          <w:sz w:val="11"/>
          <w:szCs w:val="11"/>
          <w:color w:val="auto"/>
        </w:rPr>
        <w:t>ASC 810 provides guidance on the identification of entities for which control is achieved through means other than voting rights (“variable interest entities” or “VIEs”) and the determination of which business enterprise, if any, should consolidate the VIEs. Generally, the consideration of whether an entity is a VIE applies when either: (1) the equity investors (if any) lack (i) the ability to make decisions about the entity’s activities through voting or similar rights, (ii) the obligation to absorb the expected losses of the entity, or (iii) the right to receive the expected residual returns of the entity; (2) the equity investment at risk is insufficient to finance that entity’s activities without additional subordinated financial support; or (3) the equity investors have voting rights that are not proportionate to their economic interests and substantially all of the activities of the entity involve or are conducted on behalf of an investor with a disproportionately small voting interest. The Company consolidates VIEs in which it is considered to be the primary beneficiary. The primary beneficiary is defined by the entity having both of the following characteristics: (1) the power to direct the activities that, when taken together, most significantly impact the VIE’s performance; and (2) the obligation to absorb losses and right to receive the returns from the VIE that would be significant to the VIE.</w:t>
      </w:r>
    </w:p>
    <w:p>
      <w:pPr>
        <w:spacing w:after="0" w:line="114"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The accompanying consolidated financial statements have been prepared in accordance with U.S. generally accepted accounting principles (“GAAP”) for financial information set forth in the Accounting Standards Codification (“ASC”), as published by the Financial Accounting Standards Board (“FASB”), and with the applicable rules and regulations of the Securities and Exchange Commission (“SEC”).</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Going Concern</w:t>
      </w:r>
    </w:p>
    <w:p>
      <w:pPr>
        <w:spacing w:after="0" w:line="150" w:lineRule="exact"/>
        <w:rPr>
          <w:sz w:val="20"/>
          <w:szCs w:val="20"/>
          <w:color w:val="auto"/>
        </w:rPr>
      </w:pPr>
    </w:p>
    <w:p>
      <w:pPr>
        <w:jc w:val="center"/>
        <w:ind w:right="340"/>
        <w:spacing w:after="0"/>
        <w:rPr>
          <w:sz w:val="20"/>
          <w:szCs w:val="20"/>
          <w:color w:val="auto"/>
        </w:rPr>
      </w:pPr>
      <w:r>
        <w:rPr>
          <w:rFonts w:ascii="Arial" w:cs="Arial" w:eastAsia="Arial" w:hAnsi="Arial"/>
          <w:sz w:val="10"/>
          <w:szCs w:val="10"/>
          <w:color w:val="auto"/>
        </w:rPr>
        <w:t xml:space="preserve">In accordance with Accounting Standards Update ("ASU") 2014-15, </w:t>
      </w:r>
      <w:r>
        <w:rPr>
          <w:rFonts w:ascii="Arial" w:cs="Arial" w:eastAsia="Arial" w:hAnsi="Arial"/>
          <w:sz w:val="10"/>
          <w:szCs w:val="10"/>
          <w:i w:val="1"/>
          <w:iCs w:val="1"/>
          <w:color w:val="auto"/>
        </w:rPr>
        <w:t>Disclosure of Uncertainties about an Entity's Ability to Continue as a Going Concern (Subtopic 205-40)</w:t>
      </w:r>
      <w:r>
        <w:rPr>
          <w:rFonts w:ascii="Arial" w:cs="Arial" w:eastAsia="Arial" w:hAnsi="Arial"/>
          <w:sz w:val="10"/>
          <w:szCs w:val="10"/>
          <w:color w:val="auto"/>
        </w:rPr>
        <w:t>, the Company’s management has evaluated whether there</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64" w:name="page65"/>
    <w:bookmarkEnd w:id="6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8" w:lineRule="exact"/>
        <w:rPr>
          <w:sz w:val="20"/>
          <w:szCs w:val="20"/>
          <w:color w:val="auto"/>
        </w:rPr>
      </w:pPr>
    </w:p>
    <w:p>
      <w:pPr>
        <w:spacing w:after="0"/>
        <w:rPr>
          <w:sz w:val="20"/>
          <w:szCs w:val="20"/>
          <w:color w:val="auto"/>
        </w:rPr>
      </w:pPr>
      <w:r>
        <w:rPr>
          <w:rFonts w:ascii="Arial" w:cs="Arial" w:eastAsia="Arial" w:hAnsi="Arial"/>
          <w:sz w:val="12"/>
          <w:szCs w:val="12"/>
          <w:color w:val="auto"/>
        </w:rPr>
        <w:t>are conditions and events, considered in the aggregate, that raise substantial doubt about the Company’s ability to continue as a going concern within one year after the date of the financial statements are issued.</w:t>
      </w:r>
    </w:p>
    <w:p>
      <w:pPr>
        <w:spacing w:after="0" w:line="150" w:lineRule="exact"/>
        <w:rPr>
          <w:sz w:val="20"/>
          <w:szCs w:val="20"/>
          <w:color w:val="auto"/>
        </w:rPr>
      </w:pPr>
    </w:p>
    <w:p>
      <w:pPr>
        <w:ind w:right="20"/>
        <w:spacing w:after="0" w:line="257" w:lineRule="auto"/>
        <w:rPr>
          <w:sz w:val="20"/>
          <w:szCs w:val="20"/>
          <w:color w:val="auto"/>
        </w:rPr>
      </w:pPr>
      <w:r>
        <w:rPr>
          <w:rFonts w:ascii="Arial" w:cs="Arial" w:eastAsia="Arial" w:hAnsi="Arial"/>
          <w:sz w:val="12"/>
          <w:szCs w:val="12"/>
          <w:color w:val="auto"/>
        </w:rPr>
        <w:t>We are party to a Master Lease agreement (the “Master Lease”) with Windstream Holdings, Inc. (“Windstream Holdings” and together with its consolidated subsidiaries “Windstream”), from which 68.2% of our revenue for the year ended December 31, 2018 was derived. Windstream has been involved in litigation with an entity who acquired certain Windstream debt securities and thereafter issued a notice of default as to such securities related to our spin-off from Windstream (“Spin-Off”). Windstream challenged the matter in federal court and a trial was held in July 2018. On February 15, 2019, the federal court judge issued a ruling against Windstream, finding that an “event of default” occurred with respect to such debt securities, and that the holder’s acceleration of such debt in December 2017 was effective. In response to the adverse outcome, on February 25, 2019, Windstream filed a voluntary petition for relief under Chapter 11 of the Bankruptcy Code in the U.S. Bankruptcy Court for the Southern District of New York.</w:t>
      </w:r>
    </w:p>
    <w:p>
      <w:pPr>
        <w:spacing w:after="0" w:line="126" w:lineRule="exact"/>
        <w:rPr>
          <w:sz w:val="20"/>
          <w:szCs w:val="20"/>
          <w:color w:val="auto"/>
        </w:rPr>
      </w:pPr>
    </w:p>
    <w:p>
      <w:pPr>
        <w:ind w:right="60"/>
        <w:spacing w:after="0" w:line="281" w:lineRule="auto"/>
        <w:rPr>
          <w:sz w:val="20"/>
          <w:szCs w:val="20"/>
          <w:color w:val="auto"/>
        </w:rPr>
      </w:pPr>
      <w:r>
        <w:rPr>
          <w:rFonts w:ascii="Arial" w:cs="Arial" w:eastAsia="Arial" w:hAnsi="Arial"/>
          <w:sz w:val="11"/>
          <w:szCs w:val="11"/>
          <w:color w:val="auto"/>
        </w:rPr>
        <w:t>In bankruptcy, Windstream has the option to assume or reject the Master Lease. Because the Master Lease is a single indivisible Master Lease with a single rent payment, the lease must be assumed or rejected in whole and cannot be sub-divided by facility or market. A significant amount of Windstream’s revenue is generated from the use of our network included in the Master Lease, and we believe that the Master Lease is essential to Windstream’s</w:t>
      </w:r>
    </w:p>
    <w:p>
      <w:pPr>
        <w:spacing w:after="0" w:line="1" w:lineRule="exact"/>
        <w:rPr>
          <w:sz w:val="20"/>
          <w:szCs w:val="20"/>
          <w:color w:val="auto"/>
        </w:rPr>
      </w:pPr>
    </w:p>
    <w:p>
      <w:pPr>
        <w:ind w:right="100"/>
        <w:spacing w:after="0" w:line="281" w:lineRule="auto"/>
        <w:rPr>
          <w:sz w:val="20"/>
          <w:szCs w:val="20"/>
          <w:color w:val="auto"/>
        </w:rPr>
      </w:pPr>
      <w:r>
        <w:rPr>
          <w:rFonts w:ascii="Arial" w:cs="Arial" w:eastAsia="Arial" w:hAnsi="Arial"/>
          <w:sz w:val="11"/>
          <w:szCs w:val="11"/>
          <w:color w:val="auto"/>
        </w:rPr>
        <w:t>operations. Furthermore, Windstream is designated as a “carrier of last resort” in certain markets where it utilizes the Master Lease to provide service to its customers, and Windstream would require approval from the Public Utility Commissions and the Federal Communications Commission to cease providing service in those markets. As a result, we believe the probability of Windstream rejecting the lease in bankruptcy to be remote. However, a rejection of the Master Lease, or even a temporary disruption in payments to us, may require us to fund certain expenses and obligations (e.g., real estate taxes, insurance and maintenance expenses) to preserve the value of our properties, and could materially adversely affect our consolidated results of operations, liquidity and financial condition, including our ability to service debt, comply with debt covenants and pay dividends to our stockholders as required to maintain our status as a REIT. As a result, conditions or events have been identified that are present that raise substantial doubt about the Company’s ability to continue as a going concern.</w:t>
      </w:r>
    </w:p>
    <w:p>
      <w:pPr>
        <w:spacing w:after="0" w:line="115" w:lineRule="exact"/>
        <w:rPr>
          <w:sz w:val="20"/>
          <w:szCs w:val="20"/>
          <w:color w:val="auto"/>
        </w:rPr>
      </w:pPr>
    </w:p>
    <w:p>
      <w:pPr>
        <w:ind w:right="80"/>
        <w:spacing w:after="0" w:line="327" w:lineRule="auto"/>
        <w:rPr>
          <w:sz w:val="20"/>
          <w:szCs w:val="20"/>
          <w:color w:val="auto"/>
        </w:rPr>
      </w:pPr>
      <w:r>
        <w:rPr>
          <w:rFonts w:ascii="Arial" w:cs="Arial" w:eastAsia="Arial" w:hAnsi="Arial"/>
          <w:sz w:val="10"/>
          <w:szCs w:val="10"/>
          <w:color w:val="auto"/>
        </w:rPr>
        <w:t>The Company has considered the mitigating effects of management’s plans to alleviate the substantial doubt about the ability to continue as going concern in the event there is a disruption in the payments due to us under the Master Lease prior to Windstream’s assumption or rejection of the lease. Those plans include deferring, reducing or delaying cash dividends and capital expenditures, if necessary, paying one or more dividends that are required to maintain our REIT status in shares to the extent allowed under the IRS REIT rules, curtailing acquisition activities, accessing the capital markets and identifying alternative sources of liquidity. Based on our analysis, including consideration of the timing of petitioners’ requirements to make post-petition lease payments under U.S. bankruptcy law, we believe that we have adequate liquidity to continue to fund our operations for twelve months after the issuance of the financial statements.</w:t>
      </w:r>
    </w:p>
    <w:p>
      <w:pPr>
        <w:spacing w:after="0" w:line="94" w:lineRule="exact"/>
        <w:rPr>
          <w:sz w:val="20"/>
          <w:szCs w:val="20"/>
          <w:color w:val="auto"/>
        </w:rPr>
      </w:pPr>
    </w:p>
    <w:p>
      <w:pPr>
        <w:spacing w:after="0" w:line="257" w:lineRule="auto"/>
        <w:rPr>
          <w:sz w:val="20"/>
          <w:szCs w:val="20"/>
          <w:color w:val="auto"/>
        </w:rPr>
      </w:pPr>
      <w:r>
        <w:rPr>
          <w:rFonts w:ascii="Arial" w:cs="Arial" w:eastAsia="Arial" w:hAnsi="Arial"/>
          <w:sz w:val="12"/>
          <w:szCs w:val="12"/>
          <w:color w:val="auto"/>
        </w:rPr>
        <w:t>Although management has concluded the probability of a rejection of the Master Lease to be remote, and has noted the absence of any provision in the Master Lease that contemplates renegotiation of the lease and the lack of any ability of the bankruptcy court to unilaterally reset the rent or terms of the lease, it is difficult to predict what could occur in Windstream’s bankruptcy restructuring. The Company has evaluated its ability to continue as a going concern in light of the possibility of a consensual renegotiation of the Master Lease, and the impact of any renegotiated lease on our compliance with our debt covenants. We note that our Credit Agreement prohibits the Company from amending the Master Lease that, among other provisions, pro forma for any such amendment, would result in a consolidated secured leverage ratio that exceeds 5.0 to 1.0. Furthermore, management has no intention to enter into a lease amendment that would violate our debt covenants.</w:t>
      </w:r>
    </w:p>
    <w:p>
      <w:pPr>
        <w:spacing w:after="0" w:line="126" w:lineRule="exact"/>
        <w:rPr>
          <w:sz w:val="20"/>
          <w:szCs w:val="20"/>
          <w:color w:val="auto"/>
        </w:rPr>
      </w:pPr>
    </w:p>
    <w:p>
      <w:pPr>
        <w:spacing w:after="0"/>
        <w:rPr>
          <w:sz w:val="20"/>
          <w:szCs w:val="20"/>
          <w:color w:val="auto"/>
        </w:rPr>
      </w:pPr>
      <w:r>
        <w:rPr>
          <w:rFonts w:ascii="Arial" w:cs="Arial" w:eastAsia="Arial" w:hAnsi="Arial"/>
          <w:sz w:val="10"/>
          <w:szCs w:val="10"/>
          <w:color w:val="auto"/>
        </w:rPr>
        <w:t>However, because there can be no certainty as of the outcome of Windstream’s decision to assume or reject the Master Lease, uncertainties exist as to the outcome or impacts of any potential consensual renegotiation of the Master Lease.</w:t>
      </w:r>
    </w:p>
    <w:p>
      <w:pPr>
        <w:spacing w:after="0" w:line="38" w:lineRule="exact"/>
        <w:rPr>
          <w:sz w:val="20"/>
          <w:szCs w:val="20"/>
          <w:color w:val="auto"/>
        </w:rPr>
      </w:pPr>
    </w:p>
    <w:p>
      <w:pPr>
        <w:spacing w:after="0"/>
        <w:rPr>
          <w:sz w:val="20"/>
          <w:szCs w:val="20"/>
          <w:color w:val="auto"/>
        </w:rPr>
      </w:pPr>
      <w:r>
        <w:rPr>
          <w:rFonts w:ascii="Arial" w:cs="Arial" w:eastAsia="Arial" w:hAnsi="Arial"/>
          <w:sz w:val="12"/>
          <w:szCs w:val="12"/>
          <w:color w:val="auto"/>
        </w:rPr>
        <w:t>Therefore, substantial doubt about our ability to continue as a going concern within one year after the issuance of the financial statements exists.</w:t>
      </w:r>
    </w:p>
    <w:p>
      <w:pPr>
        <w:spacing w:after="0" w:line="141" w:lineRule="exact"/>
        <w:rPr>
          <w:sz w:val="20"/>
          <w:szCs w:val="20"/>
          <w:color w:val="auto"/>
        </w:rPr>
      </w:pPr>
    </w:p>
    <w:p>
      <w:pPr>
        <w:spacing w:after="0"/>
        <w:rPr>
          <w:sz w:val="20"/>
          <w:szCs w:val="20"/>
          <w:color w:val="auto"/>
        </w:rPr>
      </w:pPr>
      <w:r>
        <w:rPr>
          <w:rFonts w:ascii="Arial" w:cs="Arial" w:eastAsia="Arial" w:hAnsi="Arial"/>
          <w:sz w:val="11"/>
          <w:szCs w:val="11"/>
          <w:color w:val="auto"/>
        </w:rPr>
        <w:t>The accompanying consolidated financial statements have been prepared on a going concern basis, which contemplates the realization of assets and satisfaction of liabilities in the ordinary course of business. The financial</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65" w:name="page66"/>
    <w:bookmarkEnd w:id="6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statements do not include any adjustments that might be necessary if the Company is unable to continue as a going concern.</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3. Summary of Significant Accounting Policies</w:t>
      </w:r>
    </w:p>
    <w:p>
      <w:pPr>
        <w:spacing w:after="0" w:line="154" w:lineRule="exact"/>
        <w:rPr>
          <w:sz w:val="20"/>
          <w:szCs w:val="20"/>
          <w:color w:val="auto"/>
        </w:rPr>
      </w:pPr>
    </w:p>
    <w:p>
      <w:pPr>
        <w:ind w:right="20"/>
        <w:spacing w:after="0" w:line="298" w:lineRule="auto"/>
        <w:rPr>
          <w:sz w:val="20"/>
          <w:szCs w:val="20"/>
          <w:color w:val="auto"/>
        </w:rPr>
      </w:pPr>
      <w:r>
        <w:rPr>
          <w:rFonts w:ascii="Arial" w:cs="Arial" w:eastAsia="Arial" w:hAnsi="Arial"/>
          <w:sz w:val="11"/>
          <w:szCs w:val="11"/>
          <w:u w:val="single" w:color="auto"/>
          <w:color w:val="auto"/>
        </w:rPr>
        <w:t>Use of Estimates</w:t>
      </w:r>
      <w:r>
        <w:rPr>
          <w:rFonts w:ascii="Arial" w:cs="Arial" w:eastAsia="Arial" w:hAnsi="Arial"/>
          <w:sz w:val="11"/>
          <w:szCs w:val="11"/>
          <w:color w:val="auto"/>
        </w:rPr>
        <w:t>—The preparation of financial statements, in accordance with GAAP, requires management to make estimates and assumptions that affect the reported amounts of assets, liabilities, revenues and expenses and disclosure of contingent assets and liabilities. The estimates and assumptions used in the accompanying financial statements are based upon management’s evaluation of the relevant facts and circumstances as of the date of the financial statements. Actual results may differ from the estimates and assumptions used in preparing the accompanying financial statements, and such differences could be material.</w:t>
      </w:r>
    </w:p>
    <w:p>
      <w:pPr>
        <w:spacing w:after="0" w:line="105" w:lineRule="exact"/>
        <w:rPr>
          <w:sz w:val="20"/>
          <w:szCs w:val="20"/>
          <w:color w:val="auto"/>
        </w:rPr>
      </w:pPr>
    </w:p>
    <w:p>
      <w:pPr>
        <w:spacing w:after="0" w:line="259" w:lineRule="auto"/>
        <w:rPr>
          <w:sz w:val="20"/>
          <w:szCs w:val="20"/>
          <w:color w:val="auto"/>
        </w:rPr>
      </w:pPr>
      <w:r>
        <w:rPr>
          <w:rFonts w:ascii="Arial" w:cs="Arial" w:eastAsia="Arial" w:hAnsi="Arial"/>
          <w:sz w:val="12"/>
          <w:szCs w:val="12"/>
          <w:u w:val="single" w:color="auto"/>
          <w:color w:val="auto"/>
        </w:rPr>
        <w:t>Property, Plant and Equipment</w:t>
      </w:r>
      <w:r>
        <w:rPr>
          <w:rFonts w:ascii="Arial" w:cs="Arial" w:eastAsia="Arial" w:hAnsi="Arial"/>
          <w:sz w:val="12"/>
          <w:szCs w:val="12"/>
          <w:color w:val="auto"/>
        </w:rPr>
        <w:t>—Property, plant and equipment is stated at original cost, net of accumulated depreciation. The Company capitalizes costs incurred in bringing property, plant and equipment to an operational state, including all activities directly associated with the acquisition, construction, and installation of the related assets it owns. The Company capitalizes a portion of the interest costs it incurs for assets that require a period of time to get them ready for their intended use. The amount of interest that is capitalized is based on the average accumulated expenditures made during the period involved in bringing the assets comprising a network to an operational state at the Company’s weighted average interest rate during the respective accounting period.</w:t>
      </w:r>
    </w:p>
    <w:p>
      <w:pPr>
        <w:spacing w:after="0" w:line="125" w:lineRule="exact"/>
        <w:rPr>
          <w:sz w:val="20"/>
          <w:szCs w:val="20"/>
          <w:color w:val="auto"/>
        </w:rPr>
      </w:pPr>
    </w:p>
    <w:p>
      <w:pPr>
        <w:jc w:val="both"/>
        <w:ind w:right="80"/>
        <w:spacing w:after="0" w:line="147" w:lineRule="exact"/>
        <w:rPr>
          <w:sz w:val="20"/>
          <w:szCs w:val="20"/>
          <w:color w:val="auto"/>
        </w:rPr>
      </w:pPr>
      <w:r>
        <w:rPr>
          <w:rFonts w:ascii="Arial" w:cs="Arial" w:eastAsia="Arial" w:hAnsi="Arial"/>
          <w:sz w:val="12"/>
          <w:szCs w:val="12"/>
          <w:color w:val="auto"/>
        </w:rPr>
        <w:t>The Company also enters into leasing arrangements providing for the long</w:t>
      </w:r>
      <w:r>
        <w:rPr>
          <w:rFonts w:ascii="MS PGothic" w:cs="MS PGothic" w:eastAsia="MS PGothic" w:hAnsi="MS PGothic"/>
          <w:sz w:val="12"/>
          <w:szCs w:val="12"/>
          <w:color w:val="auto"/>
        </w:rPr>
        <w:t>‑</w:t>
      </w:r>
      <w:r>
        <w:rPr>
          <w:rFonts w:ascii="Arial" w:cs="Arial" w:eastAsia="Arial" w:hAnsi="Arial"/>
          <w:sz w:val="12"/>
          <w:szCs w:val="12"/>
          <w:color w:val="auto"/>
        </w:rPr>
        <w:t>term use of constructed fiber that is then integrated into the Company’s network infrastructure. For each lease that qualifies as a capital lease, the present value of the lease payments, which may include both periodic lease payments over the term of the lease as well as upfront payments to the lessor, is capitalized at the inception of the lease and included in property and equipment. As of December 31, 2018 and 2017, the accumulated amortization of our capital lease assets was $15.8 million and $10.1 million, respectively.</w:t>
      </w:r>
    </w:p>
    <w:p>
      <w:pPr>
        <w:spacing w:after="0" w:line="137" w:lineRule="exact"/>
        <w:rPr>
          <w:sz w:val="20"/>
          <w:szCs w:val="20"/>
          <w:color w:val="auto"/>
        </w:rPr>
      </w:pPr>
    </w:p>
    <w:p>
      <w:pPr>
        <w:spacing w:after="0" w:line="264" w:lineRule="auto"/>
        <w:rPr>
          <w:sz w:val="20"/>
          <w:szCs w:val="20"/>
          <w:color w:val="auto"/>
        </w:rPr>
      </w:pPr>
      <w:r>
        <w:rPr>
          <w:rFonts w:ascii="Arial" w:cs="Arial" w:eastAsia="Arial" w:hAnsi="Arial"/>
          <w:sz w:val="12"/>
          <w:szCs w:val="12"/>
          <w:color w:val="auto"/>
        </w:rPr>
        <w:t>Certain property, plant and equipment acquired as part of our spin-off from Windstream is depreciated using a group composite depreciation method. Under this method, when property is retired, the original cost, net of salvage value, is charged against accumulated depreciation and no immediate gain or loss is recognized on the disposition of the property. For all other property, which includes amortization of capital lease assets, depreciation is computed using the straight-line method over the estimated useful life of the respective property. When the property is retired or otherwise disposed of, the related cost and accumulated depreciation are written-off, with the corresponding gain or loss reflected in operating results. Construction in progress includes direct materials and labor related to fixed assets during the construction period. Depreciation will begin once the construction period has ceased and the related asset has been placed into service, in which it will be depreciated over its useful life.</w:t>
      </w:r>
    </w:p>
    <w:p>
      <w:pPr>
        <w:spacing w:after="0" w:line="124" w:lineRule="exact"/>
        <w:rPr>
          <w:sz w:val="20"/>
          <w:szCs w:val="20"/>
          <w:color w:val="auto"/>
        </w:rPr>
      </w:pPr>
    </w:p>
    <w:p>
      <w:pPr>
        <w:ind w:right="300"/>
        <w:spacing w:after="0" w:line="276" w:lineRule="auto"/>
        <w:rPr>
          <w:sz w:val="20"/>
          <w:szCs w:val="20"/>
          <w:color w:val="auto"/>
        </w:rPr>
      </w:pPr>
      <w:r>
        <w:rPr>
          <w:rFonts w:ascii="Arial" w:cs="Arial" w:eastAsia="Arial" w:hAnsi="Arial"/>
          <w:sz w:val="12"/>
          <w:szCs w:val="12"/>
          <w:color w:val="auto"/>
        </w:rPr>
        <w:t>Costs of maintenance and repairs to property, plant and equipment subject triple-net leasing arrangements are the responsibility of our tenant. Costs of maintenance and repairs to property, plant and equipment not subject to triple-net leasing arrangements are expensed as incurred.</w:t>
      </w:r>
    </w:p>
    <w:p>
      <w:pPr>
        <w:spacing w:after="0" w:line="115" w:lineRule="exact"/>
        <w:rPr>
          <w:sz w:val="20"/>
          <w:szCs w:val="20"/>
          <w:color w:val="auto"/>
        </w:rPr>
      </w:pPr>
    </w:p>
    <w:p>
      <w:pPr>
        <w:jc w:val="both"/>
        <w:ind w:right="380"/>
        <w:spacing w:after="0" w:line="263" w:lineRule="auto"/>
        <w:rPr>
          <w:sz w:val="20"/>
          <w:szCs w:val="20"/>
          <w:color w:val="auto"/>
        </w:rPr>
      </w:pPr>
      <w:r>
        <w:rPr>
          <w:rFonts w:ascii="Arial" w:cs="Arial" w:eastAsia="Arial" w:hAnsi="Arial"/>
          <w:sz w:val="12"/>
          <w:szCs w:val="12"/>
          <w:color w:val="auto"/>
        </w:rPr>
        <w:t>We acquire real property interests from third parties who own land where communications infrastructure assets are located and desire to monetize the underlying real property. These real property interests entitle us to receive rental payments from leases on our sites. The financial results of the acquired real property interests are included in the Leasing segment from the date of acquisition and were not material, individually or in the aggregate, to our results of operations. Real property interests are recorded in property, plant and equipment on our Consolidated Balance Sheet.</w:t>
      </w:r>
    </w:p>
    <w:p>
      <w:pPr>
        <w:spacing w:after="0" w:line="123" w:lineRule="exact"/>
        <w:rPr>
          <w:sz w:val="20"/>
          <w:szCs w:val="20"/>
          <w:color w:val="auto"/>
        </w:rPr>
      </w:pPr>
    </w:p>
    <w:p>
      <w:pPr>
        <w:ind w:right="60"/>
        <w:spacing w:after="0" w:line="290" w:lineRule="auto"/>
        <w:rPr>
          <w:sz w:val="20"/>
          <w:szCs w:val="20"/>
          <w:color w:val="auto"/>
        </w:rPr>
      </w:pPr>
      <w:r>
        <w:rPr>
          <w:rFonts w:ascii="Arial" w:cs="Arial" w:eastAsia="Arial" w:hAnsi="Arial"/>
          <w:sz w:val="11"/>
          <w:szCs w:val="11"/>
          <w:u w:val="single" w:color="auto"/>
          <w:color w:val="auto"/>
        </w:rPr>
        <w:t>Tenant Capital Improvements</w:t>
      </w:r>
      <w:r>
        <w:rPr>
          <w:rFonts w:ascii="Arial" w:cs="Arial" w:eastAsia="Arial" w:hAnsi="Arial"/>
          <w:sz w:val="11"/>
          <w:szCs w:val="11"/>
          <w:color w:val="auto"/>
        </w:rPr>
        <w:t>—Our lease with Windstream provides that tenant funded capital improvements (“TCIs”), defined as maintenance, repair, overbuild, upgrade or replacements to the leased network, including, without limitation, the replacement of copper distribution systems with fiber distribution systems, automatically become property of Uniti upon their construction by Windstream. We receive non-monetary consideration related to the TCIs as they automatically become our property, and we recognize the cost basis of TCIs that are capital in nature as real estate investments and deferred revenue. We depreciate the real estate investments over their estimated useful lives and amortize the deferred revenue as additional leasing revenues over the same depreciable life of the TCI assets. At December 31, 2018 and 2017, the net book value of TCIs recorded as a component of property, plant</w:t>
      </w:r>
    </w:p>
    <w:p>
      <w:pPr>
        <w:spacing w:after="0" w:line="109"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131" w:right="239" w:bottom="1440" w:gutter="0" w:footer="0" w:header="0"/>
        </w:sectPr>
      </w:pPr>
    </w:p>
    <w:bookmarkStart w:id="66" w:name="page67"/>
    <w:bookmarkEnd w:id="6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40"/>
        <w:spacing w:after="0" w:line="276" w:lineRule="auto"/>
        <w:rPr>
          <w:sz w:val="20"/>
          <w:szCs w:val="20"/>
          <w:color w:val="auto"/>
        </w:rPr>
      </w:pPr>
      <w:r>
        <w:rPr>
          <w:rFonts w:ascii="Arial" w:cs="Arial" w:eastAsia="Arial" w:hAnsi="Arial"/>
          <w:sz w:val="12"/>
          <w:szCs w:val="12"/>
          <w:color w:val="auto"/>
        </w:rPr>
        <w:t>and equipment on our Consolidated Balance Sheet was $562.9 million and $432.4 million, respectively. For the years ended December 31, 2018, 2017 and 2016, we recognized $23.1 million, $14.3 million, and $6.1 million of revenue and depreciation expense related to TCIs, respectively.</w:t>
      </w:r>
    </w:p>
    <w:p>
      <w:pPr>
        <w:spacing w:after="0" w:line="115" w:lineRule="exact"/>
        <w:rPr>
          <w:sz w:val="20"/>
          <w:szCs w:val="20"/>
          <w:color w:val="auto"/>
        </w:rPr>
      </w:pPr>
    </w:p>
    <w:p>
      <w:pPr>
        <w:ind w:right="80"/>
        <w:spacing w:after="0" w:line="259" w:lineRule="auto"/>
        <w:rPr>
          <w:sz w:val="20"/>
          <w:szCs w:val="20"/>
          <w:color w:val="auto"/>
        </w:rPr>
      </w:pPr>
      <w:r>
        <w:rPr>
          <w:rFonts w:ascii="Arial" w:cs="Arial" w:eastAsia="Arial" w:hAnsi="Arial"/>
          <w:sz w:val="12"/>
          <w:szCs w:val="12"/>
          <w:u w:val="single" w:color="auto"/>
          <w:color w:val="auto"/>
        </w:rPr>
        <w:t>Impairment of Long-Lived Assets</w:t>
      </w:r>
      <w:r>
        <w:rPr>
          <w:rFonts w:ascii="Arial" w:cs="Arial" w:eastAsia="Arial" w:hAnsi="Arial"/>
          <w:sz w:val="12"/>
          <w:szCs w:val="12"/>
          <w:color w:val="auto"/>
        </w:rPr>
        <w:t>—We review long-lived assets for impairment whenever events or changes in circumstances indicate that the carrying amount of the asset group may not be recoverable from future undiscounted net cash flows we expect the asset group to generate. If the asset group is not fully recoverable, an impairment loss would be recognized for the difference between the carrying value of the asset group and its estimated fair value based on discounted net future cash flows. During the years ended December 31, 2018, 2017 and 2016, there were no events or changes in circumstances indicating that the carrying amount of any of our assets groups to not be recoverable from future undiscounted net cash flows we expect the asset groups to generate, and no impairment losses were recognized.</w:t>
      </w:r>
    </w:p>
    <w:p>
      <w:pPr>
        <w:spacing w:after="0" w:line="125" w:lineRule="exact"/>
        <w:rPr>
          <w:sz w:val="20"/>
          <w:szCs w:val="20"/>
          <w:color w:val="auto"/>
        </w:rPr>
      </w:pPr>
    </w:p>
    <w:p>
      <w:pPr>
        <w:spacing w:after="0" w:line="146" w:lineRule="exact"/>
        <w:rPr>
          <w:sz w:val="20"/>
          <w:szCs w:val="20"/>
          <w:color w:val="auto"/>
        </w:rPr>
      </w:pPr>
      <w:r>
        <w:rPr>
          <w:rFonts w:ascii="Arial" w:cs="Arial" w:eastAsia="Arial" w:hAnsi="Arial"/>
          <w:sz w:val="11"/>
          <w:szCs w:val="11"/>
          <w:u w:val="single" w:color="auto"/>
          <w:color w:val="auto"/>
        </w:rPr>
        <w:t>Asset Retirement Obligations</w:t>
      </w:r>
      <w:r>
        <w:rPr>
          <w:rFonts w:ascii="Arial" w:cs="Arial" w:eastAsia="Arial" w:hAnsi="Arial"/>
          <w:sz w:val="11"/>
          <w:szCs w:val="11"/>
          <w:color w:val="auto"/>
        </w:rPr>
        <w:t>—The Company records obligations to perform asset retirement activities, primarily including requirements to remove equipment from leased space or customer sites as required under the terms of the related lease and customer agreements. The fair value of the liability for asset retirement obligations, which represents the net present value of the estimated expected future cash outlay, is recognized in the period in which it is incurred and the fair value of the liability can reasonably be estimated. The liability accretes as a result of the passage of time and related accretion expense is recognized in the Consolidated Statements of Income. The associated asset retirement costs are capitalized as an additional carrying amount of the related long</w:t>
      </w:r>
      <w:r>
        <w:rPr>
          <w:rFonts w:ascii="MS PGothic" w:cs="MS PGothic" w:eastAsia="MS PGothic" w:hAnsi="MS PGothic"/>
          <w:sz w:val="11"/>
          <w:szCs w:val="11"/>
          <w:color w:val="auto"/>
        </w:rPr>
        <w:t>‑</w:t>
      </w:r>
      <w:r>
        <w:rPr>
          <w:rFonts w:ascii="Arial" w:cs="Arial" w:eastAsia="Arial" w:hAnsi="Arial"/>
          <w:sz w:val="11"/>
          <w:szCs w:val="11"/>
          <w:color w:val="auto"/>
        </w:rPr>
        <w:t>lived asset and depreciated on a straight-line basis over the asset’s useful life. As of December 31, 2018 and 2017, our aggregate carrying amount of asset retirement obligations totaled $10.4 million and $9.4 million, respectively. During the year ended December 31, 2018 and 2017, we incurred liabilities of $0.1 million and $4.4 million related to asset retirement obligations, respectively. During the year ended December 31, 2018, 2017, and 2016, we recognized $0.9 million, $4.4 million, and $0.8 million of accretion expense related to asset retirement obligations, respectively.</w:t>
      </w:r>
    </w:p>
    <w:p>
      <w:pPr>
        <w:spacing w:after="0" w:line="136" w:lineRule="exact"/>
        <w:rPr>
          <w:sz w:val="20"/>
          <w:szCs w:val="20"/>
          <w:color w:val="auto"/>
        </w:rPr>
      </w:pPr>
    </w:p>
    <w:p>
      <w:pPr>
        <w:spacing w:after="0"/>
        <w:rPr>
          <w:sz w:val="20"/>
          <w:szCs w:val="20"/>
          <w:color w:val="auto"/>
        </w:rPr>
      </w:pPr>
      <w:r>
        <w:rPr>
          <w:rFonts w:ascii="Arial" w:cs="Arial" w:eastAsia="Arial" w:hAnsi="Arial"/>
          <w:sz w:val="11"/>
          <w:szCs w:val="11"/>
          <w:u w:val="single" w:color="auto"/>
          <w:color w:val="auto"/>
        </w:rPr>
        <w:t>Cash and Cash Equivalents</w:t>
      </w:r>
      <w:r>
        <w:rPr>
          <w:rFonts w:ascii="Arial" w:cs="Arial" w:eastAsia="Arial" w:hAnsi="Arial"/>
          <w:sz w:val="11"/>
          <w:szCs w:val="11"/>
          <w:color w:val="auto"/>
        </w:rPr>
        <w:t>—Cash and cash equivalents include all non-restricted cash held at financial institutions and other non-restricted highly liquid short-term investments with original maturities of three months or less.</w:t>
      </w:r>
    </w:p>
    <w:p>
      <w:pPr>
        <w:spacing w:after="0" w:line="162" w:lineRule="exact"/>
        <w:rPr>
          <w:sz w:val="20"/>
          <w:szCs w:val="20"/>
          <w:color w:val="auto"/>
        </w:rPr>
      </w:pPr>
    </w:p>
    <w:p>
      <w:pPr>
        <w:ind w:right="100"/>
        <w:spacing w:after="0" w:line="259" w:lineRule="auto"/>
        <w:rPr>
          <w:sz w:val="20"/>
          <w:szCs w:val="20"/>
          <w:color w:val="auto"/>
        </w:rPr>
      </w:pPr>
      <w:r>
        <w:rPr>
          <w:rFonts w:ascii="Arial" w:cs="Arial" w:eastAsia="Arial" w:hAnsi="Arial"/>
          <w:sz w:val="12"/>
          <w:szCs w:val="12"/>
          <w:u w:val="single" w:color="auto"/>
          <w:color w:val="auto"/>
        </w:rPr>
        <w:t>Derivative Instruments and Hedging Activities</w:t>
      </w:r>
      <w:r>
        <w:rPr>
          <w:rFonts w:ascii="Arial" w:cs="Arial" w:eastAsia="Arial" w:hAnsi="Arial"/>
          <w:sz w:val="12"/>
          <w:szCs w:val="12"/>
          <w:color w:val="auto"/>
        </w:rPr>
        <w:t xml:space="preserve">—We account for our derivatives in accordance with FASB ASC 815, </w:t>
      </w:r>
      <w:r>
        <w:rPr>
          <w:rFonts w:ascii="Arial" w:cs="Arial" w:eastAsia="Arial" w:hAnsi="Arial"/>
          <w:sz w:val="12"/>
          <w:szCs w:val="12"/>
          <w:i w:val="1"/>
          <w:iCs w:val="1"/>
          <w:color w:val="auto"/>
        </w:rPr>
        <w:t>Derivatives and Hedging</w:t>
      </w:r>
      <w:r>
        <w:rPr>
          <w:rFonts w:ascii="Arial" w:cs="Arial" w:eastAsia="Arial" w:hAnsi="Arial"/>
          <w:sz w:val="12"/>
          <w:szCs w:val="12"/>
          <w:color w:val="auto"/>
        </w:rPr>
        <w:t>, in which we reflect all derivative instruments at fair value as either assets or liabilities on our Consolidated Balance Sheet. For derivative instruments that are designated and qualify as hedging instruments, we record the effective portion of the gain or loss on the hedged instruments as a component of accumulated other comprehensive income or loss. Any ineffective portion of a derivative’s change in fair value is immediately recognized within net income. For derivatives that do not meet the criteria for hedge accounting, changes in fair value are immediately recognized within net income. See Note 6 and Note 8.</w:t>
      </w:r>
    </w:p>
    <w:p>
      <w:pPr>
        <w:spacing w:after="0" w:line="125" w:lineRule="exact"/>
        <w:rPr>
          <w:sz w:val="20"/>
          <w:szCs w:val="20"/>
          <w:color w:val="auto"/>
        </w:rPr>
      </w:pPr>
    </w:p>
    <w:p>
      <w:pPr>
        <w:ind w:right="160"/>
        <w:spacing w:after="0" w:line="380" w:lineRule="auto"/>
        <w:rPr>
          <w:sz w:val="20"/>
          <w:szCs w:val="20"/>
          <w:color w:val="auto"/>
        </w:rPr>
      </w:pPr>
      <w:r>
        <w:rPr>
          <w:rFonts w:ascii="Arial" w:cs="Arial" w:eastAsia="Arial" w:hAnsi="Arial"/>
          <w:sz w:val="10"/>
          <w:szCs w:val="10"/>
          <w:u w:val="single" w:color="auto"/>
          <w:color w:val="auto"/>
        </w:rPr>
        <w:t>Intangible Assets</w:t>
      </w:r>
      <w:r>
        <w:rPr>
          <w:rFonts w:ascii="Arial" w:cs="Arial" w:eastAsia="Arial" w:hAnsi="Arial"/>
          <w:sz w:val="10"/>
          <w:szCs w:val="10"/>
          <w:color w:val="auto"/>
        </w:rPr>
        <w:t>—Intangible assets are presented in the financial statements at cost less accumulated amortization and are amortized using the straight-line method over their estimated useful lives with the exception of the customer list intangible assets related to our Consumer CLEC Business, which were brought over at carry-over basis at the time of Spin-Off, and are amortized using the sum-of-the-years’-digits method over their estimated useful lives.</w:t>
      </w:r>
    </w:p>
    <w:p>
      <w:pPr>
        <w:spacing w:after="0" w:line="68" w:lineRule="exact"/>
        <w:rPr>
          <w:sz w:val="20"/>
          <w:szCs w:val="20"/>
          <w:color w:val="auto"/>
        </w:rPr>
      </w:pPr>
    </w:p>
    <w:p>
      <w:pPr>
        <w:ind w:right="180"/>
        <w:spacing w:after="0" w:line="263" w:lineRule="auto"/>
        <w:rPr>
          <w:sz w:val="20"/>
          <w:szCs w:val="20"/>
          <w:color w:val="auto"/>
        </w:rPr>
      </w:pPr>
      <w:r>
        <w:rPr>
          <w:rFonts w:ascii="Arial" w:cs="Arial" w:eastAsia="Arial" w:hAnsi="Arial"/>
          <w:sz w:val="12"/>
          <w:szCs w:val="12"/>
          <w:u w:val="single" w:color="auto"/>
          <w:color w:val="auto"/>
        </w:rPr>
        <w:t>Foreign Currency Translation</w:t>
      </w:r>
      <w:r>
        <w:rPr>
          <w:rFonts w:ascii="Arial" w:cs="Arial" w:eastAsia="Arial" w:hAnsi="Arial"/>
          <w:sz w:val="12"/>
          <w:szCs w:val="12"/>
          <w:color w:val="auto"/>
        </w:rPr>
        <w:t>—The financial statements of our international subsidiaries whose functional currency is the local currency, and includes the Mexican Peso and Colombian Peso, are translated into U.S. dollars using the exchange rate at the balance sheet date for assets and liabilities and the weighted average exchange rate for the applicable period for revenues, expenses, gains and losses. Translation adjustments are recorded as a separate component of comprehensive income in stockholders’ equity.</w:t>
      </w:r>
    </w:p>
    <w:p>
      <w:pPr>
        <w:spacing w:after="0" w:line="123" w:lineRule="exact"/>
        <w:rPr>
          <w:sz w:val="20"/>
          <w:szCs w:val="20"/>
          <w:color w:val="auto"/>
        </w:rPr>
      </w:pPr>
    </w:p>
    <w:p>
      <w:pPr>
        <w:ind w:right="340"/>
        <w:spacing w:after="0" w:line="276" w:lineRule="auto"/>
        <w:rPr>
          <w:sz w:val="20"/>
          <w:szCs w:val="20"/>
          <w:color w:val="auto"/>
        </w:rPr>
      </w:pPr>
      <w:r>
        <w:rPr>
          <w:rFonts w:ascii="Arial" w:cs="Arial" w:eastAsia="Arial" w:hAnsi="Arial"/>
          <w:sz w:val="12"/>
          <w:szCs w:val="12"/>
          <w:u w:val="single" w:color="auto"/>
          <w:color w:val="auto"/>
        </w:rPr>
        <w:t>Reclassifications</w:t>
      </w:r>
      <w:r>
        <w:rPr>
          <w:rFonts w:ascii="Arial" w:cs="Arial" w:eastAsia="Arial" w:hAnsi="Arial"/>
          <w:sz w:val="12"/>
          <w:szCs w:val="12"/>
          <w:color w:val="auto"/>
        </w:rPr>
        <w:t>—During 2017 and forward, we managed and reported our operations in four reportable business segments: Leasing, Fiber Infrastructure, Towers and Consumer CLEC. Certain prior year asset categories and related amounts in Note 7 have been reclassified to conform with current year presentation.</w:t>
      </w:r>
    </w:p>
    <w:p>
      <w:pPr>
        <w:spacing w:after="0" w:line="115" w:lineRule="exact"/>
        <w:rPr>
          <w:sz w:val="20"/>
          <w:szCs w:val="20"/>
          <w:color w:val="auto"/>
        </w:rPr>
      </w:pPr>
    </w:p>
    <w:p>
      <w:pPr>
        <w:ind w:right="120"/>
        <w:spacing w:after="0" w:line="323" w:lineRule="auto"/>
        <w:rPr>
          <w:sz w:val="20"/>
          <w:szCs w:val="20"/>
          <w:color w:val="auto"/>
        </w:rPr>
      </w:pPr>
      <w:r>
        <w:rPr>
          <w:rFonts w:ascii="Arial" w:cs="Arial" w:eastAsia="Arial" w:hAnsi="Arial"/>
          <w:sz w:val="11"/>
          <w:szCs w:val="11"/>
          <w:u w:val="single" w:color="auto"/>
          <w:color w:val="auto"/>
        </w:rPr>
        <w:t>Transaction Related Costs</w:t>
      </w:r>
      <w:r>
        <w:rPr>
          <w:rFonts w:ascii="Arial" w:cs="Arial" w:eastAsia="Arial" w:hAnsi="Arial"/>
          <w:sz w:val="11"/>
          <w:szCs w:val="11"/>
          <w:color w:val="auto"/>
        </w:rPr>
        <w:t>—The Company expenses transaction related costs in the period in which they are incurred and services are received. Transaction related costs include incremental acquisition pursuit, transaction and integration costs, including unsuccessful acquisition pursuit costs. Pursuit and transaction costs include professional services (legal, accounting, advisory, regulatory, etc.), finder’s fees, travel expenses, and other direct expenses</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67" w:name="page68"/>
    <w:bookmarkEnd w:id="6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associated with an acquisition. Integration costs include direct costs necessary to integrate an acquired business, including professional services, systems and data conversion, severance and retention bonuses payable to employees of an acquired business.</w:t>
      </w:r>
    </w:p>
    <w:p>
      <w:pPr>
        <w:spacing w:after="0" w:line="115" w:lineRule="exact"/>
        <w:rPr>
          <w:sz w:val="20"/>
          <w:szCs w:val="20"/>
          <w:color w:val="auto"/>
        </w:rPr>
      </w:pPr>
    </w:p>
    <w:p>
      <w:pPr>
        <w:ind w:right="460"/>
        <w:spacing w:after="0" w:line="276" w:lineRule="auto"/>
        <w:rPr>
          <w:sz w:val="20"/>
          <w:szCs w:val="20"/>
          <w:color w:val="auto"/>
        </w:rPr>
      </w:pPr>
      <w:r>
        <w:rPr>
          <w:rFonts w:ascii="Arial" w:cs="Arial" w:eastAsia="Arial" w:hAnsi="Arial"/>
          <w:sz w:val="12"/>
          <w:szCs w:val="12"/>
          <w:u w:val="single" w:color="auto"/>
          <w:color w:val="auto"/>
        </w:rPr>
        <w:t>Debt Issuance Costs</w:t>
      </w:r>
      <w:r>
        <w:rPr>
          <w:rFonts w:ascii="Arial" w:cs="Arial" w:eastAsia="Arial" w:hAnsi="Arial"/>
          <w:sz w:val="12"/>
          <w:szCs w:val="12"/>
          <w:color w:val="auto"/>
        </w:rPr>
        <w:t>—The Company recognizes debt issuance costs related to a recognized debt liability as a direct deduction from the carrying amount of the debt liability, consistent with debt discounts. The costs, which include underwriting, legal, and other direct costs related to the issuance of debt, are amortized over the contractual term of the debt using the effective interest method.</w:t>
      </w:r>
    </w:p>
    <w:p>
      <w:pPr>
        <w:spacing w:after="0" w:line="115" w:lineRule="exact"/>
        <w:rPr>
          <w:sz w:val="20"/>
          <w:szCs w:val="20"/>
          <w:color w:val="auto"/>
        </w:rPr>
      </w:pPr>
    </w:p>
    <w:p>
      <w:pPr>
        <w:ind w:right="220"/>
        <w:spacing w:after="0" w:line="276" w:lineRule="auto"/>
        <w:rPr>
          <w:sz w:val="20"/>
          <w:szCs w:val="20"/>
          <w:color w:val="auto"/>
        </w:rPr>
      </w:pPr>
      <w:r>
        <w:rPr>
          <w:rFonts w:ascii="Arial" w:cs="Arial" w:eastAsia="Arial" w:hAnsi="Arial"/>
          <w:sz w:val="12"/>
          <w:szCs w:val="12"/>
          <w:u w:val="single" w:color="auto"/>
          <w:color w:val="auto"/>
        </w:rPr>
        <w:t>Revenue Recognition</w:t>
      </w:r>
      <w:r>
        <w:rPr>
          <w:rFonts w:ascii="Arial" w:cs="Arial" w:eastAsia="Arial" w:hAnsi="Arial"/>
          <w:sz w:val="12"/>
          <w:szCs w:val="12"/>
          <w:color w:val="auto"/>
        </w:rPr>
        <w:t>—We recognize leasing revenues on a straight-line basis over the applicable lease term when collectability is reasonably assured. Recognizing leasing income on a straight-line basis generally results in recognized revenues during the first half of the lease term in excess of cash amounts contractually due from our tenants, creating a straight-line rent receivable.</w:t>
      </w:r>
    </w:p>
    <w:p>
      <w:pPr>
        <w:spacing w:after="0" w:line="115"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We evaluate the collectability of straight-line rent receivables and record a provision for doubtful accounts if management believes the receivables to be uncollectible. At December 31, 2018 and 2017, no allowance was recorded related to our straight-line rent receivable.</w:t>
      </w:r>
    </w:p>
    <w:p>
      <w:pPr>
        <w:spacing w:after="0" w:line="115" w:lineRule="exact"/>
        <w:rPr>
          <w:sz w:val="20"/>
          <w:szCs w:val="20"/>
          <w:color w:val="auto"/>
        </w:rPr>
      </w:pPr>
    </w:p>
    <w:p>
      <w:pPr>
        <w:ind w:right="300"/>
        <w:spacing w:after="0" w:line="323" w:lineRule="auto"/>
        <w:rPr>
          <w:sz w:val="20"/>
          <w:szCs w:val="20"/>
          <w:color w:val="auto"/>
        </w:rPr>
      </w:pPr>
      <w:r>
        <w:rPr>
          <w:rFonts w:ascii="Arial" w:cs="Arial" w:eastAsia="Arial" w:hAnsi="Arial"/>
          <w:sz w:val="11"/>
          <w:szCs w:val="11"/>
          <w:color w:val="auto"/>
        </w:rPr>
        <w:t>We lease certain assets to Windstream under a triple-net lease, whereby Windstream is responsible for the costs related to operating the Distribution Systems, including property taxes, insurance and maintenance and repair costs. As a result, we do not record an obligation related to the payment of property taxes or insurance, as Windstream makes direct payments to the taxing authorities and insurance carriers, respectively.</w:t>
      </w:r>
    </w:p>
    <w:p>
      <w:pPr>
        <w:spacing w:after="0" w:line="92" w:lineRule="exact"/>
        <w:rPr>
          <w:sz w:val="20"/>
          <w:szCs w:val="20"/>
          <w:color w:val="auto"/>
        </w:rPr>
      </w:pPr>
    </w:p>
    <w:p>
      <w:pPr>
        <w:spacing w:after="0" w:line="145" w:lineRule="exact"/>
        <w:rPr>
          <w:sz w:val="20"/>
          <w:szCs w:val="20"/>
          <w:color w:val="auto"/>
        </w:rPr>
      </w:pPr>
      <w:r>
        <w:rPr>
          <w:rFonts w:ascii="Arial" w:cs="Arial" w:eastAsia="Arial" w:hAnsi="Arial"/>
          <w:sz w:val="12"/>
          <w:szCs w:val="12"/>
          <w:color w:val="auto"/>
        </w:rPr>
        <w:t xml:space="preserve">The Company adopted ASU No. 2014-09, </w:t>
      </w:r>
      <w:r>
        <w:rPr>
          <w:rFonts w:ascii="Arial" w:cs="Arial" w:eastAsia="Arial" w:hAnsi="Arial"/>
          <w:sz w:val="12"/>
          <w:szCs w:val="12"/>
          <w:i w:val="1"/>
          <w:iCs w:val="1"/>
          <w:color w:val="auto"/>
        </w:rPr>
        <w:t>Revenue from Contracts with Customers (Topic 606)</w:t>
      </w:r>
      <w:r>
        <w:rPr>
          <w:rFonts w:ascii="Arial" w:cs="Arial" w:eastAsia="Arial" w:hAnsi="Arial"/>
          <w:sz w:val="12"/>
          <w:szCs w:val="12"/>
          <w:color w:val="auto"/>
        </w:rPr>
        <w:t xml:space="preserve"> (“Topic 606”) on January 1, 2018 (see Note 4). Prior to the adoption of Topic 606, the Company recognized service revenues related to its broadband transport and backhaul communications services when (i) persuasive evidence of an arrangement exists, (ii) the services have been provided to the customer, (iii) the sales price was fixed or determinable, and (iv) the collection of the sales price is reasonably assured. Services provided to the Company’s customers are rendered pursuant to contractual fee</w:t>
      </w:r>
      <w:r>
        <w:rPr>
          <w:rFonts w:ascii="MS PGothic" w:cs="MS PGothic" w:eastAsia="MS PGothic" w:hAnsi="MS PGothic"/>
          <w:sz w:val="12"/>
          <w:szCs w:val="12"/>
          <w:color w:val="auto"/>
        </w:rPr>
        <w:t>‑</w:t>
      </w:r>
      <w:r>
        <w:rPr>
          <w:rFonts w:ascii="Arial" w:cs="Arial" w:eastAsia="Arial" w:hAnsi="Arial"/>
          <w:sz w:val="12"/>
          <w:szCs w:val="12"/>
          <w:color w:val="auto"/>
        </w:rPr>
        <w:t>based arrangements, which generally provide for recurring fees charged for the use of designated portions of the Company’s network and typically range for a period of three to ten years. The Company’s revenue arrangements often include upfront fees charged to the customer for the cost of establishing the necessary components of the Company’s network prior to the commencement of use by the customer. Fees charged to customers for the recurring use of the Company’s network are recognized during the related periods of service. Upfront fees that are billed in advance of providing services are deferred until such time the customer accepts the Company’s network and then are recognized as service revenues ratably over a period in which substantive services required under the revenue arrangement are expected to be performed, which is the initial term of the arrangement.</w:t>
      </w:r>
    </w:p>
    <w:p>
      <w:pPr>
        <w:spacing w:after="0" w:line="139" w:lineRule="exact"/>
        <w:rPr>
          <w:sz w:val="20"/>
          <w:szCs w:val="20"/>
          <w:color w:val="auto"/>
        </w:rPr>
      </w:pPr>
    </w:p>
    <w:p>
      <w:pPr>
        <w:ind w:right="100"/>
        <w:spacing w:after="0" w:line="327" w:lineRule="auto"/>
        <w:rPr>
          <w:sz w:val="20"/>
          <w:szCs w:val="20"/>
          <w:color w:val="auto"/>
        </w:rPr>
      </w:pPr>
      <w:r>
        <w:rPr>
          <w:rFonts w:ascii="Arial" w:cs="Arial" w:eastAsia="Arial" w:hAnsi="Arial"/>
          <w:sz w:val="10"/>
          <w:szCs w:val="10"/>
          <w:color w:val="auto"/>
        </w:rPr>
        <w:t>We evaluate the collectability of service receivables by considering a variety of factors. The Company typically does not require collateral. When the Company becomes aware of a specific customer’s inability to meet its financial obligations, the Company records a specific reserve for bad debt to reduce the related accounts receivable to the amount the Company reasonably believes is collectible. When appropriate, the Company also records reserves for bad debts for all other customers based on a variety of factors including the length of time the receivable is past due, the financial health of the customer, macroeconomic considerations and historical experience. If circumstances related to specific customers change, the Company adjusts its estimates of the recoverability of receivables as needed. At December 31, 2018 and 2017, the allowance recorded for service receivables was $2.3 million and $1.0 million, respectively.</w:t>
      </w:r>
    </w:p>
    <w:p>
      <w:pPr>
        <w:spacing w:after="0" w:line="94" w:lineRule="exact"/>
        <w:rPr>
          <w:sz w:val="20"/>
          <w:szCs w:val="20"/>
          <w:color w:val="auto"/>
        </w:rPr>
      </w:pPr>
    </w:p>
    <w:p>
      <w:pPr>
        <w:ind w:right="60"/>
        <w:spacing w:after="0" w:line="263" w:lineRule="auto"/>
        <w:rPr>
          <w:sz w:val="20"/>
          <w:szCs w:val="20"/>
          <w:color w:val="auto"/>
        </w:rPr>
      </w:pPr>
      <w:r>
        <w:rPr>
          <w:rFonts w:ascii="Arial" w:cs="Arial" w:eastAsia="Arial" w:hAnsi="Arial"/>
          <w:sz w:val="12"/>
          <w:szCs w:val="12"/>
          <w:color w:val="auto"/>
        </w:rPr>
        <w:t>Consumer CLEC Business revenues are primarily derived from providing access to or usage of leased networks and facilities and are recognized over the period that the corresponding services are rendered to customers. Revenues derived from other telecommunications services, including broadband, long distance and enhanced service revenues are recognized monthly as services are provided. Sales of customer premise equipment and modems are recognized when products are delivered to and accepted by customers.</w:t>
      </w:r>
    </w:p>
    <w:p>
      <w:pPr>
        <w:spacing w:after="0" w:line="123" w:lineRule="exact"/>
        <w:rPr>
          <w:sz w:val="20"/>
          <w:szCs w:val="20"/>
          <w:color w:val="auto"/>
        </w:rPr>
      </w:pPr>
    </w:p>
    <w:p>
      <w:pPr>
        <w:ind w:right="200"/>
        <w:spacing w:after="0" w:line="276" w:lineRule="auto"/>
        <w:rPr>
          <w:sz w:val="20"/>
          <w:szCs w:val="20"/>
          <w:color w:val="auto"/>
        </w:rPr>
      </w:pPr>
      <w:r>
        <w:rPr>
          <w:rFonts w:ascii="Arial" w:cs="Arial" w:eastAsia="Arial" w:hAnsi="Arial"/>
          <w:sz w:val="12"/>
          <w:szCs w:val="12"/>
          <w:u w:val="single" w:color="auto"/>
          <w:color w:val="auto"/>
        </w:rPr>
        <w:t>Stock-Based Compensation</w:t>
      </w:r>
      <w:r>
        <w:rPr>
          <w:rFonts w:ascii="Arial" w:cs="Arial" w:eastAsia="Arial" w:hAnsi="Arial"/>
          <w:sz w:val="12"/>
          <w:szCs w:val="12"/>
          <w:color w:val="auto"/>
        </w:rPr>
        <w:t>—We account for stock-based compensation using the fair value method of accounting. We have determined that our stock-based payment awards granted in exchange for employee services qualify as equity classified awards, which are measured based on the fair value of the award on the date of the grant. The fair</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68" w:name="page69"/>
    <w:bookmarkEnd w:id="6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value of restricted stock-based payments is based on the market value of our common stock on the date of grant. The fair value of performance-based awards, which have performance conditions, is based on a Monte Carlo simulation. The fair value of all stock-based compensation is recognized over the period during which an employee is required to provide services in exchange for the award. See Note 11.</w:t>
      </w:r>
    </w:p>
    <w:p>
      <w:pPr>
        <w:spacing w:after="0" w:line="115" w:lineRule="exact"/>
        <w:rPr>
          <w:sz w:val="20"/>
          <w:szCs w:val="20"/>
          <w:color w:val="auto"/>
        </w:rPr>
      </w:pPr>
    </w:p>
    <w:p>
      <w:pPr>
        <w:ind w:right="40"/>
        <w:spacing w:after="0" w:line="255" w:lineRule="auto"/>
        <w:rPr>
          <w:sz w:val="20"/>
          <w:szCs w:val="20"/>
          <w:color w:val="auto"/>
        </w:rPr>
      </w:pPr>
      <w:r>
        <w:rPr>
          <w:rFonts w:ascii="Arial" w:cs="Arial" w:eastAsia="Arial" w:hAnsi="Arial"/>
          <w:sz w:val="12"/>
          <w:szCs w:val="12"/>
          <w:u w:val="single" w:color="auto"/>
          <w:color w:val="auto"/>
        </w:rPr>
        <w:t>Income Taxes</w:t>
      </w:r>
      <w:r>
        <w:rPr>
          <w:rFonts w:ascii="Arial" w:cs="Arial" w:eastAsia="Arial" w:hAnsi="Arial"/>
          <w:sz w:val="12"/>
          <w:szCs w:val="12"/>
          <w:color w:val="auto"/>
        </w:rPr>
        <w:t>—We elected on our initial U.S. federal income tax return to be treated as a REIT under the Internal Revenue Code of 1986, as amended (the “Code”). To qualify as a REIT, we must distribute at least 90% of our annual REIT taxable income to shareholders, and meet certain organizational and operational requirements, including asset holding requirements. As a REIT, we will generally not be subject to U.S. federal income tax on income that we distribute as dividends to our shareholders. If we fail to qualify as a REIT in any taxable year, we will be subject to U.S. federal income tax, including any applicable alternative minimum tax for open taxable years through 2018, on our taxable income at regular corporate income tax rates, and we could not deduct dividends paid to our shareholders in computing taxable income. Any resulting corporate liability could be substantial and could materially and adversely affect our net income and net cash available for distribution to shareholders. Unless we were entitled to relief under certain Code provisions, we also would be disqualified from reelecting to be taxed as a REIT for the four taxable years following the year in which we failed to qualify as a REIT.</w:t>
      </w:r>
    </w:p>
    <w:p>
      <w:pPr>
        <w:spacing w:after="0" w:line="129" w:lineRule="exact"/>
        <w:rPr>
          <w:sz w:val="20"/>
          <w:szCs w:val="20"/>
          <w:color w:val="auto"/>
        </w:rPr>
      </w:pPr>
    </w:p>
    <w:p>
      <w:pPr>
        <w:jc w:val="both"/>
        <w:spacing w:after="0" w:line="259" w:lineRule="auto"/>
        <w:rPr>
          <w:sz w:val="20"/>
          <w:szCs w:val="20"/>
          <w:color w:val="auto"/>
        </w:rPr>
      </w:pPr>
      <w:r>
        <w:rPr>
          <w:rFonts w:ascii="Arial" w:cs="Arial" w:eastAsia="Arial" w:hAnsi="Arial"/>
          <w:sz w:val="12"/>
          <w:szCs w:val="12"/>
          <w:color w:val="auto"/>
        </w:rPr>
        <w:t>Subject to the temporary restriction imposed by the waiver and amendment to our Credit Agreement (see Note 10), our ability to make cash distributions to our shareholders in amounts exceeding 90% of our REIT taxable income, determined without regard to the dividends paid deduction and excluding any capital gains, generally will be restricted. As a result, we may be required to record a provision in our Consolidated Financial Statements for U.S. federal income taxes related to the activities of the REIT and its passthrough subsidiaries for any undistributed income. We are subject to the statutory requirements of the locations in which we conduct business, and state and local income taxes are accrued as deemed required in the best judgment of management based on analysis and interpretation of respective tax laws.</w:t>
      </w:r>
    </w:p>
    <w:p>
      <w:pPr>
        <w:spacing w:after="0" w:line="125" w:lineRule="exact"/>
        <w:rPr>
          <w:sz w:val="20"/>
          <w:szCs w:val="20"/>
          <w:color w:val="auto"/>
        </w:rPr>
      </w:pPr>
    </w:p>
    <w:p>
      <w:pPr>
        <w:ind w:right="360"/>
        <w:spacing w:after="0" w:line="276" w:lineRule="auto"/>
        <w:rPr>
          <w:sz w:val="20"/>
          <w:szCs w:val="20"/>
          <w:color w:val="auto"/>
        </w:rPr>
      </w:pPr>
      <w:r>
        <w:rPr>
          <w:rFonts w:ascii="Arial" w:cs="Arial" w:eastAsia="Arial" w:hAnsi="Arial"/>
          <w:sz w:val="12"/>
          <w:szCs w:val="12"/>
          <w:color w:val="auto"/>
        </w:rPr>
        <w:t>We have elected to treat the subsidiaries through which we operate Uniti Fiber and Talk America as taxable REIT subsidiaries (“TRSs”). TRSs enable us to engage in activities that result in income that does not constitute qualifying income for a REIT. Our TRSs are subject to U.S. federal, state and local corporate income taxes.</w:t>
      </w:r>
    </w:p>
    <w:p>
      <w:pPr>
        <w:spacing w:after="0" w:line="115" w:lineRule="exact"/>
        <w:rPr>
          <w:sz w:val="20"/>
          <w:szCs w:val="20"/>
          <w:color w:val="auto"/>
        </w:rPr>
      </w:pPr>
    </w:p>
    <w:p>
      <w:pPr>
        <w:jc w:val="both"/>
        <w:spacing w:after="0" w:line="259" w:lineRule="auto"/>
        <w:rPr>
          <w:sz w:val="20"/>
          <w:szCs w:val="20"/>
          <w:color w:val="auto"/>
        </w:rPr>
      </w:pPr>
      <w:r>
        <w:rPr>
          <w:rFonts w:ascii="Arial" w:cs="Arial" w:eastAsia="Arial" w:hAnsi="Arial"/>
          <w:sz w:val="12"/>
          <w:szCs w:val="12"/>
          <w:color w:val="auto"/>
        </w:rPr>
        <w:t>Deferred tax assets and liabilities are recognized under the asset and liability method for the estimated future tax consequences attributable to differences between the financial statement carrying amounts of existing assets and liabilities and their respective tax bases. Deferred tax balances are adjusted to reflect tax rates based on currently enacted tax laws, which will be in effect in the years in which the temporary differences are expected to reverse. The effect on deferred tax assets and liabilities of a change in tax rates is recognized in the results of operations in the period of the enactment date. A valuation allowance is recorded to reduce the carrying amounts of deferred tax assets unless it is more likely than not that such assets will be realized.</w:t>
      </w:r>
    </w:p>
    <w:p>
      <w:pPr>
        <w:spacing w:after="0" w:line="125" w:lineRule="exact"/>
        <w:rPr>
          <w:sz w:val="20"/>
          <w:szCs w:val="20"/>
          <w:color w:val="auto"/>
        </w:rPr>
      </w:pPr>
    </w:p>
    <w:p>
      <w:pPr>
        <w:ind w:right="120"/>
        <w:spacing w:after="0" w:line="263" w:lineRule="auto"/>
        <w:rPr>
          <w:sz w:val="20"/>
          <w:szCs w:val="20"/>
          <w:color w:val="auto"/>
        </w:rPr>
      </w:pPr>
      <w:r>
        <w:rPr>
          <w:rFonts w:ascii="Arial" w:cs="Arial" w:eastAsia="Arial" w:hAnsi="Arial"/>
          <w:sz w:val="12"/>
          <w:szCs w:val="12"/>
          <w:color w:val="auto"/>
        </w:rPr>
        <w:t>We recognize the benefit of tax positions that are "more likely than not" to be sustained upon examination based on their technical merit. The benefit of a tax position is measured at the largest amount that has a greater than 50 percent likelihood of being realized upon ultimate settlement. If applicable, we will report tax-related penalties and interest expense as a component of income tax expense. We currently have unrecognized tax benefits of $3.0 million recorded in deferred incomes taxes on our Consolidated Balance Sheet.</w:t>
      </w:r>
    </w:p>
    <w:p>
      <w:pPr>
        <w:spacing w:after="0" w:line="123" w:lineRule="exact"/>
        <w:rPr>
          <w:sz w:val="20"/>
          <w:szCs w:val="20"/>
          <w:color w:val="auto"/>
        </w:rPr>
      </w:pPr>
    </w:p>
    <w:p>
      <w:pPr>
        <w:ind w:right="220"/>
        <w:spacing w:after="0" w:line="276" w:lineRule="auto"/>
        <w:rPr>
          <w:sz w:val="20"/>
          <w:szCs w:val="20"/>
          <w:color w:val="auto"/>
        </w:rPr>
      </w:pPr>
      <w:r>
        <w:rPr>
          <w:rFonts w:ascii="Arial" w:cs="Arial" w:eastAsia="Arial" w:hAnsi="Arial"/>
          <w:sz w:val="12"/>
          <w:szCs w:val="12"/>
          <w:color w:val="auto"/>
        </w:rPr>
        <w:t>The Company will be subject to a federal corporate level tax on any gain recognized from the sale of assets occurring within a five year recognition period after the Spin-Off up to the amount of the built in gain that existed on April 24, 2015, which is based on the fair market value of the assets in excess of the Company’s tax basis as of such date.</w:t>
      </w:r>
    </w:p>
    <w:p>
      <w:pPr>
        <w:spacing w:after="0" w:line="115" w:lineRule="exact"/>
        <w:rPr>
          <w:sz w:val="20"/>
          <w:szCs w:val="20"/>
          <w:color w:val="auto"/>
        </w:rPr>
      </w:pPr>
    </w:p>
    <w:p>
      <w:pPr>
        <w:ind w:right="120"/>
        <w:spacing w:after="0" w:line="259" w:lineRule="auto"/>
        <w:rPr>
          <w:sz w:val="20"/>
          <w:szCs w:val="20"/>
          <w:color w:val="auto"/>
        </w:rPr>
      </w:pPr>
      <w:r>
        <w:rPr>
          <w:rFonts w:ascii="Arial" w:cs="Arial" w:eastAsia="Arial" w:hAnsi="Arial"/>
          <w:sz w:val="12"/>
          <w:szCs w:val="12"/>
          <w:u w:val="single" w:color="auto"/>
          <w:color w:val="auto"/>
        </w:rPr>
        <w:t>Business Combinations</w:t>
      </w:r>
      <w:r>
        <w:rPr>
          <w:rFonts w:ascii="Arial" w:cs="Arial" w:eastAsia="Arial" w:hAnsi="Arial"/>
          <w:sz w:val="12"/>
          <w:szCs w:val="12"/>
          <w:color w:val="auto"/>
        </w:rPr>
        <w:t xml:space="preserve">—In accordance with ASC 805, </w:t>
      </w:r>
      <w:r>
        <w:rPr>
          <w:rFonts w:ascii="Arial" w:cs="Arial" w:eastAsia="Arial" w:hAnsi="Arial"/>
          <w:sz w:val="12"/>
          <w:szCs w:val="12"/>
          <w:i w:val="1"/>
          <w:iCs w:val="1"/>
          <w:color w:val="auto"/>
        </w:rPr>
        <w:t>Business Combinations</w:t>
      </w:r>
      <w:r>
        <w:rPr>
          <w:rFonts w:ascii="Arial" w:cs="Arial" w:eastAsia="Arial" w:hAnsi="Arial"/>
          <w:sz w:val="12"/>
          <w:szCs w:val="12"/>
          <w:color w:val="auto"/>
        </w:rPr>
        <w:t>, we apply the acquisition method of accounting for acquisitions meeting the definition of a business combination or asset acquisition, where assets acquired and liabilities assumed are recorded at fair value at the date of each acquisition, and the results of operations are included with those of the Company from the dates of the respective acquisitions. The fair value of the acquired assets and liabilities are estimated using the income, market and/or cost approach. The income approach utilizes the present value of estimated future cash flows that a business or asset can be expected to generate, while under the market approach, the fair value of an asset or business reflects the price at which</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69" w:name="page70"/>
    <w:bookmarkEnd w:id="6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0"/>
        <w:spacing w:after="0" w:line="257" w:lineRule="auto"/>
        <w:rPr>
          <w:sz w:val="20"/>
          <w:szCs w:val="20"/>
          <w:color w:val="auto"/>
        </w:rPr>
      </w:pPr>
      <w:r>
        <w:rPr>
          <w:rFonts w:ascii="Arial" w:cs="Arial" w:eastAsia="Arial" w:hAnsi="Arial"/>
          <w:sz w:val="12"/>
          <w:szCs w:val="12"/>
          <w:color w:val="auto"/>
        </w:rPr>
        <w:t>comparable assets are purchased under similar circumstances. Inherent in our preparation of cash flow projections are significant assumptions and estimates derived from a review of operating results, business plans, expected growth rates, capital expenditure plans, cost of capital and tax rates. We also make certain forecasts about future economic conditions, interest rates and other market data. Many of the factors used in assessing fair value are outside the control of management. Small changes in these assumptions or estimates could materially affect the cash flow projections, and therefore could affect the estimated fair value. Impact these assumptions or estimates include customer retention, execution of our business plans, which impact growth, cost escalation impacting margin, the level of capital expenditures required to sustain our growth and market factors, including stock price fluctuations and increased rates, impacting our cost of capital.</w:t>
      </w:r>
    </w:p>
    <w:p>
      <w:pPr>
        <w:spacing w:after="0" w:line="126" w:lineRule="exact"/>
        <w:rPr>
          <w:sz w:val="20"/>
          <w:szCs w:val="20"/>
          <w:color w:val="auto"/>
        </w:rPr>
      </w:pPr>
    </w:p>
    <w:p>
      <w:pPr>
        <w:ind w:right="40"/>
        <w:spacing w:after="0" w:line="257" w:lineRule="auto"/>
        <w:rPr>
          <w:sz w:val="20"/>
          <w:szCs w:val="20"/>
          <w:color w:val="auto"/>
        </w:rPr>
      </w:pPr>
      <w:r>
        <w:rPr>
          <w:rFonts w:ascii="Arial" w:cs="Arial" w:eastAsia="Arial" w:hAnsi="Arial"/>
          <w:sz w:val="12"/>
          <w:szCs w:val="12"/>
          <w:color w:val="auto"/>
        </w:rPr>
        <w:t>For acquisitions meeting the definition of a business combination, any excess of the purchase price paid by the Company over the amounts recognized for assets acquired and liabilities assumed is recorded as goodwill. ASC 805 also requires acquirers to, among other things, estimate the acquisition date fair value of any contingent consideration and recognize any subsequent changes in the fair value of contingent consideration in earnings. When provisional amounts are initially recorded, the Company continues to evaluate acquisitions for a period not to exceed one year after the applicable acquisition date of each transaction to determine whether any additional adjustments are needed to the allocation of the purchase price paid for the assets acquired and liabilities assumed. For acquisitions meeting the definition of an asset acquisition, the fair value of the consideration transferred, including transaction costs, is allocated to the assets acquired and liabilities assumed based on their relative fair values. No goodwill is recognized in an asset acquisition.</w:t>
      </w:r>
    </w:p>
    <w:p>
      <w:pPr>
        <w:spacing w:after="0" w:line="126" w:lineRule="exact"/>
        <w:rPr>
          <w:sz w:val="20"/>
          <w:szCs w:val="20"/>
          <w:color w:val="auto"/>
        </w:rPr>
      </w:pPr>
    </w:p>
    <w:p>
      <w:pPr>
        <w:jc w:val="both"/>
        <w:spacing w:after="0" w:line="263" w:lineRule="auto"/>
        <w:rPr>
          <w:sz w:val="20"/>
          <w:szCs w:val="20"/>
          <w:color w:val="auto"/>
        </w:rPr>
      </w:pPr>
      <w:r>
        <w:rPr>
          <w:rFonts w:ascii="Arial" w:cs="Arial" w:eastAsia="Arial" w:hAnsi="Arial"/>
          <w:sz w:val="12"/>
          <w:szCs w:val="12"/>
          <w:u w:val="single" w:color="auto"/>
          <w:color w:val="auto"/>
        </w:rPr>
        <w:t>Noncontrolling Interest</w:t>
      </w:r>
      <w:r>
        <w:rPr>
          <w:rFonts w:ascii="Arial" w:cs="Arial" w:eastAsia="Arial" w:hAnsi="Arial"/>
          <w:sz w:val="12"/>
          <w:szCs w:val="12"/>
          <w:color w:val="auto"/>
        </w:rPr>
        <w:t>—The limited partner equity interests in our operating partnership are exchangeable on a one-for-one basis for shares of our common stock or, at our election, cash of equivalent value. All of the limited partner equity interests in our operating partnership not held by the Company are reflected as noncontrolling interests. In the consolidated statements of operations, we allocate net income (loss) attributable to noncontrolling interests to arrive at net income (loss) attributable to shareholders based on their proportionate share.</w:t>
      </w:r>
    </w:p>
    <w:p>
      <w:pPr>
        <w:spacing w:after="0" w:line="123" w:lineRule="exact"/>
        <w:rPr>
          <w:sz w:val="20"/>
          <w:szCs w:val="20"/>
          <w:color w:val="auto"/>
        </w:rPr>
      </w:pPr>
    </w:p>
    <w:p>
      <w:pPr>
        <w:jc w:val="both"/>
        <w:spacing w:after="0" w:line="276" w:lineRule="auto"/>
        <w:rPr>
          <w:sz w:val="20"/>
          <w:szCs w:val="20"/>
          <w:color w:val="auto"/>
        </w:rPr>
      </w:pPr>
      <w:r>
        <w:rPr>
          <w:rFonts w:ascii="Arial" w:cs="Arial" w:eastAsia="Arial" w:hAnsi="Arial"/>
          <w:sz w:val="12"/>
          <w:szCs w:val="12"/>
          <w:color w:val="auto"/>
        </w:rPr>
        <w:t>For transactions that result in changes to the Company's ownership interest in our operating partnership, the carrying amount of noncontrolling interests is adjusted to reflect such changes. The difference between the fair value of the consideration received or paid and the amount by which the noncontrolling interest is adjusted is reflected as an adjustment to additional paid-in capital on the consolidated balance sheets.</w:t>
      </w:r>
    </w:p>
    <w:p>
      <w:pPr>
        <w:spacing w:after="0" w:line="115" w:lineRule="exact"/>
        <w:rPr>
          <w:sz w:val="20"/>
          <w:szCs w:val="20"/>
          <w:color w:val="auto"/>
        </w:rPr>
      </w:pPr>
    </w:p>
    <w:p>
      <w:pPr>
        <w:jc w:val="both"/>
        <w:spacing w:after="0" w:line="257" w:lineRule="auto"/>
        <w:rPr>
          <w:sz w:val="20"/>
          <w:szCs w:val="20"/>
          <w:color w:val="auto"/>
        </w:rPr>
      </w:pPr>
      <w:r>
        <w:rPr>
          <w:rFonts w:ascii="Arial" w:cs="Arial" w:eastAsia="Arial" w:hAnsi="Arial"/>
          <w:sz w:val="12"/>
          <w:szCs w:val="12"/>
          <w:u w:val="single" w:color="auto"/>
          <w:color w:val="auto"/>
        </w:rPr>
        <w:t>Goodwill</w:t>
      </w:r>
      <w:r>
        <w:rPr>
          <w:rFonts w:ascii="Arial" w:cs="Arial" w:eastAsia="Arial" w:hAnsi="Arial"/>
          <w:sz w:val="12"/>
          <w:szCs w:val="12"/>
          <w:color w:val="auto"/>
        </w:rPr>
        <w:t xml:space="preserve">—Goodwill is recognized for the excess of purchase price over the fair value of net assets of businesses acquired. Goodwill is reviewed for impairment at least annually. In accordance with ASC 350-20, </w:t>
      </w:r>
      <w:r>
        <w:rPr>
          <w:rFonts w:ascii="Arial" w:cs="Arial" w:eastAsia="Arial" w:hAnsi="Arial"/>
          <w:sz w:val="12"/>
          <w:szCs w:val="12"/>
          <w:i w:val="1"/>
          <w:iCs w:val="1"/>
          <w:color w:val="auto"/>
        </w:rPr>
        <w:t>Intangibles-Goodwill and</w:t>
      </w:r>
      <w:r>
        <w:rPr>
          <w:rFonts w:ascii="Arial" w:cs="Arial" w:eastAsia="Arial" w:hAnsi="Arial"/>
          <w:sz w:val="12"/>
          <w:szCs w:val="12"/>
          <w:color w:val="auto"/>
        </w:rPr>
        <w:t xml:space="preserve"> </w:t>
      </w:r>
      <w:r>
        <w:rPr>
          <w:rFonts w:ascii="Arial" w:cs="Arial" w:eastAsia="Arial" w:hAnsi="Arial"/>
          <w:sz w:val="12"/>
          <w:szCs w:val="12"/>
          <w:i w:val="1"/>
          <w:iCs w:val="1"/>
          <w:color w:val="auto"/>
        </w:rPr>
        <w:t>Other</w:t>
      </w:r>
      <w:r>
        <w:rPr>
          <w:rFonts w:ascii="Arial" w:cs="Arial" w:eastAsia="Arial" w:hAnsi="Arial"/>
          <w:sz w:val="12"/>
          <w:szCs w:val="12"/>
          <w:color w:val="auto"/>
        </w:rPr>
        <w:t>, we evaluate goodwill for impairment between annual impairment tests if an event occurs or circumstances change that would more likely than not reduce the fair value of a reporting unit below its carrying amount. Unless</w:t>
      </w:r>
      <w:r>
        <w:rPr>
          <w:rFonts w:ascii="Arial" w:cs="Arial" w:eastAsia="Arial" w:hAnsi="Arial"/>
          <w:sz w:val="12"/>
          <w:szCs w:val="12"/>
          <w:i w:val="1"/>
          <w:iCs w:val="1"/>
          <w:color w:val="auto"/>
        </w:rPr>
        <w:t xml:space="preserve"> </w:t>
      </w:r>
      <w:r>
        <w:rPr>
          <w:rFonts w:ascii="Arial" w:cs="Arial" w:eastAsia="Arial" w:hAnsi="Arial"/>
          <w:sz w:val="12"/>
          <w:szCs w:val="12"/>
          <w:color w:val="auto"/>
        </w:rPr>
        <w:t>circumstances otherwise dictate, the annual impairment test is performed in the fourth quarter. Application of the goodwill impairment test requires significant judgment, including: the identification of reporting units; assignment of assets and liabilities to reporting units; assignment of goodwill to reporting units; determination of the fair value of each reporting unit; and an assumption as to the form of the transaction in which the reporting unit would be acquired by a market participant (either a taxable or nontaxable transaction).</w:t>
      </w:r>
    </w:p>
    <w:p>
      <w:pPr>
        <w:spacing w:after="0" w:line="126" w:lineRule="exact"/>
        <w:rPr>
          <w:sz w:val="20"/>
          <w:szCs w:val="20"/>
          <w:color w:val="auto"/>
        </w:rPr>
      </w:pPr>
    </w:p>
    <w:p>
      <w:pPr>
        <w:jc w:val="both"/>
        <w:spacing w:after="0" w:line="263" w:lineRule="auto"/>
        <w:rPr>
          <w:sz w:val="20"/>
          <w:szCs w:val="20"/>
          <w:color w:val="auto"/>
        </w:rPr>
      </w:pPr>
      <w:r>
        <w:rPr>
          <w:rFonts w:ascii="Arial" w:cs="Arial" w:eastAsia="Arial" w:hAnsi="Arial"/>
          <w:sz w:val="12"/>
          <w:szCs w:val="12"/>
          <w:color w:val="auto"/>
        </w:rPr>
        <w:t>We estimate the fair value of our reporting units (which are our segments) using a combination of an income approach based on the present value of estimated future cash flows and a market approach based on market data of comparable businesses and acquisition multiples paid in recent transactions. If the carrying value of a reporting unit's net assets is less than its fair value, no indication of impairment exists. If the carrying amount of the reporting unit is greater than the fair value of the reporting unit, an impairment loss must be recognized for the excess and charged to operations not exceed the carrying value of goodwill.</w:t>
      </w:r>
    </w:p>
    <w:p>
      <w:pPr>
        <w:spacing w:after="0" w:line="123" w:lineRule="exact"/>
        <w:rPr>
          <w:sz w:val="20"/>
          <w:szCs w:val="20"/>
          <w:color w:val="auto"/>
        </w:rPr>
      </w:pPr>
    </w:p>
    <w:p>
      <w:pPr>
        <w:jc w:val="both"/>
        <w:ind w:right="40"/>
        <w:spacing w:after="0" w:line="298" w:lineRule="auto"/>
        <w:rPr>
          <w:sz w:val="20"/>
          <w:szCs w:val="20"/>
          <w:color w:val="auto"/>
        </w:rPr>
      </w:pPr>
      <w:r>
        <w:rPr>
          <w:rFonts w:ascii="Arial" w:cs="Arial" w:eastAsia="Arial" w:hAnsi="Arial"/>
          <w:sz w:val="11"/>
          <w:szCs w:val="11"/>
          <w:color w:val="auto"/>
        </w:rPr>
        <w:t>Inherent in our preparation of cash flow projections are significant assumptions and estimates derived from a review of our operating results, business plans, expected growth rates, capital expenditure plans, cost of capital and tax rates. We also make certain forecasts about future economic conditions, interest rates and other market data. Many of the factors used in assessing fair value are outside the control of management, and these assumptions and estimates may change in future periods. Small changes in these assumptions or estimates could materially affect our cash flow projections, and therefore could affect the likelihood and amount of potential impairment. Potential</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70" w:name="page71"/>
    <w:bookmarkEnd w:id="7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events that could negatively impact these assumptions or estimates include customer losses or poor execution of our business plans, which impact growth, cost escalation impacting margin, the level of capital expenditures required to sustain our growth and market factors, including stock price fluctuations and increased rates, impacting our cost of capital. The market approach uses market data of comparable business and acquisition multiples paid in recent transactions to estimate fair value. Declines in the comparable business and acquisitions multiples could affect the likelihood and amount of potential impairment.</w:t>
      </w:r>
    </w:p>
    <w:p>
      <w:pPr>
        <w:spacing w:after="0" w:line="123"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As of December 31, 2018 and 2017, all of our Goodwill is included in our Fiber Infrastructure segment. We performed our goodwill impairment analysis during the fourth quarter and we concluded the implied fair value of our Fiber Infrastructure reporting unit was in excess of its carrying value by less than 5%. During the years ended December 31, 2018 and 2017, no impairment losses were recognized.</w:t>
      </w:r>
    </w:p>
    <w:p>
      <w:pPr>
        <w:spacing w:after="0" w:line="115"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In light of the recent developments below surrounding Windstream, as discussed in “Concentration of Credit Risks”, if there were to be changes in assumptions impacting the forecasted cash flows at Uniti Fiber, our conclusions regarding the likelihood and amount of any potential impairment could change.</w:t>
      </w:r>
    </w:p>
    <w:p>
      <w:pPr>
        <w:spacing w:after="0" w:line="115"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u w:val="single" w:color="auto"/>
          <w:color w:val="auto"/>
        </w:rPr>
        <w:t>Earnings per Share</w:t>
      </w:r>
      <w:r>
        <w:rPr>
          <w:rFonts w:ascii="Arial" w:cs="Arial" w:eastAsia="Arial" w:hAnsi="Arial"/>
          <w:sz w:val="12"/>
          <w:szCs w:val="12"/>
          <w:color w:val="auto"/>
        </w:rPr>
        <w:t>—Outstanding restricted stock awards that contain rights to non-forfeitable dividends are deemed to be participating securities, requiring the application of the two-class method of computing basic and dilutive earnings per share.</w:t>
      </w:r>
    </w:p>
    <w:p>
      <w:pPr>
        <w:spacing w:after="0" w:line="115" w:lineRule="exact"/>
        <w:rPr>
          <w:sz w:val="20"/>
          <w:szCs w:val="20"/>
          <w:color w:val="auto"/>
        </w:rPr>
      </w:pPr>
    </w:p>
    <w:p>
      <w:pPr>
        <w:spacing w:after="0" w:line="276" w:lineRule="auto"/>
        <w:rPr>
          <w:rFonts w:ascii="Arial" w:cs="Arial" w:eastAsia="Arial" w:hAnsi="Arial"/>
          <w:sz w:val="12"/>
          <w:szCs w:val="12"/>
          <w:color w:val="auto"/>
        </w:rPr>
      </w:pPr>
      <w:r>
        <w:rPr>
          <w:rFonts w:ascii="Arial" w:cs="Arial" w:eastAsia="Arial" w:hAnsi="Arial"/>
          <w:sz w:val="12"/>
          <w:szCs w:val="12"/>
          <w:color w:val="auto"/>
        </w:rPr>
        <w:t xml:space="preserve">Basic earnings per share includes only the weighted average number of common shares outstanding during the period. Dilutive earnings per share includes the weighted average number of common shares and the dilutive effect of restricted stock and performance-based awards outstanding during the period, when such awards are dilutive. See </w:t>
      </w:r>
      <w:hyperlink w:anchor="page93">
        <w:r>
          <w:rPr>
            <w:rFonts w:ascii="Arial" w:cs="Arial" w:eastAsia="Arial" w:hAnsi="Arial"/>
            <w:sz w:val="12"/>
            <w:szCs w:val="12"/>
            <w:u w:val="single" w:color="auto"/>
            <w:color w:val="0000EE"/>
          </w:rPr>
          <w:t>Note 13.</w:t>
        </w:r>
      </w:hyperlink>
    </w:p>
    <w:p>
      <w:pPr>
        <w:spacing w:after="0" w:line="115" w:lineRule="exact"/>
        <w:rPr>
          <w:sz w:val="20"/>
          <w:szCs w:val="20"/>
          <w:color w:val="auto"/>
        </w:rPr>
      </w:pPr>
    </w:p>
    <w:p>
      <w:pPr>
        <w:spacing w:after="0" w:line="279" w:lineRule="auto"/>
        <w:rPr>
          <w:sz w:val="20"/>
          <w:szCs w:val="20"/>
          <w:color w:val="auto"/>
        </w:rPr>
      </w:pPr>
      <w:r>
        <w:rPr>
          <w:rFonts w:ascii="Arial" w:cs="Arial" w:eastAsia="Arial" w:hAnsi="Arial"/>
          <w:sz w:val="11"/>
          <w:szCs w:val="11"/>
          <w:u w:val="single" w:color="auto"/>
          <w:color w:val="auto"/>
        </w:rPr>
        <w:t>Concentration of Credit Risks</w:t>
      </w:r>
      <w:r>
        <w:rPr>
          <w:rFonts w:ascii="Arial" w:cs="Arial" w:eastAsia="Arial" w:hAnsi="Arial"/>
          <w:sz w:val="11"/>
          <w:szCs w:val="11"/>
          <w:color w:val="auto"/>
        </w:rPr>
        <w:t>—We are party to a Master Lease with Windstream from which substantially all of Uniti’s leasing revenues and operating cash flows are currently derived. Revenue under the Master Lease provided 68.2% of our revenue for the year ended December 31, 2018, 74.8% of our revenue for the year ended December 31, 2017, and 87.9% of our revenue for the year ended December 31, 2016. Because a substantial portion of our revenue and cash flows are derived from lease payments by Windstream pursuant to the Master Lease, there could be a material adverse impact on our consolidated results of operations, liquidity, financial condition and/or ability to pay dividends and service debt if Windstream were to default under the Master Lease or otherwise experiences operating or liquidity difficulties and becomes unable to generate sufficient cash to make payments to us. In recent years, Windstream has experienced annual declines in its total revenue, sales and cash flow, and has had its credit ratings downgraded by nationally recognized credit rating agencies multiple times over the past 12 months. In addition, Windstream has been involved in litigation with an entity who acquired certain Windstream debt securities and thereafter issued a notice of default as to such securities relating to our spin-off from Windstream. On December 7, 2017, the entity issued a notice of acceleration to Windstream claiming that the alleged default had matured into an “event of default” and that the principal amount, along with accrued interest, of such securities was due and payable immediately. Windstream 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w:t>
      </w:r>
    </w:p>
    <w:p>
      <w:pPr>
        <w:spacing w:after="0" w:line="118" w:lineRule="exact"/>
        <w:rPr>
          <w:sz w:val="20"/>
          <w:szCs w:val="20"/>
          <w:color w:val="auto"/>
        </w:rPr>
      </w:pPr>
    </w:p>
    <w:p>
      <w:pPr>
        <w:spacing w:after="0"/>
        <w:rPr>
          <w:sz w:val="20"/>
          <w:szCs w:val="20"/>
          <w:color w:val="auto"/>
        </w:rPr>
      </w:pPr>
      <w:r>
        <w:rPr>
          <w:rFonts w:ascii="Arial" w:cs="Arial" w:eastAsia="Arial" w:hAnsi="Arial"/>
          <w:sz w:val="12"/>
          <w:szCs w:val="12"/>
          <w:color w:val="auto"/>
        </w:rPr>
        <w:t>In response to the adverse outcome, on February 25, 2019, Windstream filed a voluntary petition for relief under Chapter 11 of the Bankruptcy Code in the U.S. Bankruptcy Court for the Southern District of New York.</w:t>
      </w:r>
    </w:p>
    <w:p>
      <w:pPr>
        <w:spacing w:after="0" w:line="150" w:lineRule="exact"/>
        <w:rPr>
          <w:sz w:val="20"/>
          <w:szCs w:val="20"/>
          <w:color w:val="auto"/>
        </w:rPr>
      </w:pPr>
    </w:p>
    <w:p>
      <w:pPr>
        <w:ind w:right="20"/>
        <w:spacing w:after="0" w:line="290" w:lineRule="auto"/>
        <w:rPr>
          <w:rFonts w:ascii="Arial" w:cs="Arial" w:eastAsia="Arial" w:hAnsi="Arial"/>
          <w:sz w:val="11"/>
          <w:szCs w:val="11"/>
          <w:color w:val="auto"/>
        </w:rPr>
      </w:pPr>
      <w:r>
        <w:rPr>
          <w:rFonts w:ascii="Arial" w:cs="Arial" w:eastAsia="Arial" w:hAnsi="Arial"/>
          <w:sz w:val="11"/>
          <w:szCs w:val="11"/>
          <w:color w:val="auto"/>
        </w:rPr>
        <w:t xml:space="preserve">In bankruptcy,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insurance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See </w:t>
      </w:r>
      <w:hyperlink w:anchor="page64">
        <w:r>
          <w:rPr>
            <w:rFonts w:ascii="Arial" w:cs="Arial" w:eastAsia="Arial" w:hAnsi="Arial"/>
            <w:sz w:val="11"/>
            <w:szCs w:val="11"/>
            <w:u w:val="single" w:color="auto"/>
            <w:color w:val="0000EE"/>
          </w:rPr>
          <w:t>Note 2</w:t>
        </w:r>
      </w:hyperlink>
      <w:r>
        <w:rPr>
          <w:rFonts w:ascii="Arial" w:cs="Arial" w:eastAsia="Arial" w:hAnsi="Arial"/>
          <w:sz w:val="11"/>
          <w:szCs w:val="11"/>
          <w:color w:val="auto"/>
        </w:rPr>
        <w:t>. A rejection by Windstream of the Master Lease or its inability or unwillingness to meet its rent and other obligations under the Master Lease could materially adversely affect our consolidated results of operations,</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71" w:name="page72"/>
    <w:bookmarkEnd w:id="7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8" w:lineRule="exact"/>
        <w:rPr>
          <w:sz w:val="20"/>
          <w:szCs w:val="20"/>
          <w:color w:val="auto"/>
        </w:rPr>
      </w:pPr>
    </w:p>
    <w:p>
      <w:pPr>
        <w:spacing w:after="0"/>
        <w:rPr>
          <w:sz w:val="20"/>
          <w:szCs w:val="20"/>
          <w:color w:val="auto"/>
        </w:rPr>
      </w:pPr>
      <w:r>
        <w:rPr>
          <w:rFonts w:ascii="Arial" w:cs="Arial" w:eastAsia="Arial" w:hAnsi="Arial"/>
          <w:sz w:val="12"/>
          <w:szCs w:val="12"/>
          <w:color w:val="auto"/>
        </w:rPr>
        <w:t>liquidity, and financial condition, including our ability to service debt, comply with debt covenants and pay dividends to our stockholders as required to maintain our status as a REIT.</w:t>
      </w:r>
    </w:p>
    <w:p>
      <w:pPr>
        <w:spacing w:after="0" w:line="150"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Windstream is a publicly traded company and is subject to the periodic filing requirements of the Securities Exchange Act of 1934, as amended. Windstream filings can be found at www.sec.gov. Windstream filings are not incorporated by reference in this Annual Report on Form 10-K.</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Recently Adopted Accounting Pronouncements</w:t>
      </w:r>
    </w:p>
    <w:p>
      <w:pPr>
        <w:spacing w:after="0" w:line="150" w:lineRule="exact"/>
        <w:rPr>
          <w:sz w:val="20"/>
          <w:szCs w:val="20"/>
          <w:color w:val="auto"/>
        </w:rPr>
      </w:pPr>
    </w:p>
    <w:p>
      <w:pPr>
        <w:ind w:right="40"/>
        <w:spacing w:after="0" w:line="290" w:lineRule="auto"/>
        <w:rPr>
          <w:sz w:val="20"/>
          <w:szCs w:val="20"/>
          <w:color w:val="auto"/>
        </w:rPr>
      </w:pPr>
      <w:r>
        <w:rPr>
          <w:rFonts w:ascii="Arial" w:cs="Arial" w:eastAsia="Arial" w:hAnsi="Arial"/>
          <w:sz w:val="11"/>
          <w:szCs w:val="11"/>
          <w:color w:val="auto"/>
        </w:rPr>
        <w:t xml:space="preserve">In August 2016, the FASB issued ASU No. 2016-15, </w:t>
      </w:r>
      <w:r>
        <w:rPr>
          <w:rFonts w:ascii="Arial" w:cs="Arial" w:eastAsia="Arial" w:hAnsi="Arial"/>
          <w:sz w:val="11"/>
          <w:szCs w:val="11"/>
          <w:i w:val="1"/>
          <w:iCs w:val="1"/>
          <w:color w:val="auto"/>
        </w:rPr>
        <w:t>Statement of Cash Flows (Topic 230): Classification of Certain Cash Receipts and Cash Payments</w:t>
      </w:r>
      <w:r>
        <w:rPr>
          <w:rFonts w:ascii="Arial" w:cs="Arial" w:eastAsia="Arial" w:hAnsi="Arial"/>
          <w:sz w:val="11"/>
          <w:szCs w:val="11"/>
          <w:color w:val="auto"/>
        </w:rPr>
        <w:t xml:space="preserve"> (“ASU 2016-15”). ASU 2016-15 provides guidance on reducing the diversity in how certain cash receipts and cash payments are presented and classified in the statement of cash flows. In addition to other specific cash flow issues, ASU 2016-15 provides clarification on when an entity should separate cash receipts and cash payments into more than one class of cash flows and when an entity should classify those cash receipts and payments into one class of cash flows on the basis of predominance. The new guidance is effective for the fiscal years beginning after December 15, 2017, and interim periods within those fiscal years. We adopted ASU 2016-15 effective January 1, 2018, and there was no material impact on our financial position.</w:t>
      </w:r>
    </w:p>
    <w:p>
      <w:pPr>
        <w:spacing w:after="0" w:line="109" w:lineRule="exact"/>
        <w:rPr>
          <w:sz w:val="20"/>
          <w:szCs w:val="20"/>
          <w:color w:val="auto"/>
        </w:rPr>
      </w:pPr>
    </w:p>
    <w:p>
      <w:pPr>
        <w:jc w:val="both"/>
        <w:ind w:right="60"/>
        <w:spacing w:after="0" w:line="263" w:lineRule="auto"/>
        <w:rPr>
          <w:sz w:val="20"/>
          <w:szCs w:val="20"/>
          <w:color w:val="auto"/>
        </w:rPr>
      </w:pPr>
      <w:r>
        <w:rPr>
          <w:rFonts w:ascii="Arial" w:cs="Arial" w:eastAsia="Arial" w:hAnsi="Arial"/>
          <w:sz w:val="12"/>
          <w:szCs w:val="12"/>
          <w:color w:val="auto"/>
        </w:rPr>
        <w:t>In August 2017, the FASB issued ASU No. 2017-12</w:t>
      </w:r>
      <w:r>
        <w:rPr>
          <w:rFonts w:ascii="Arial" w:cs="Arial" w:eastAsia="Arial" w:hAnsi="Arial"/>
          <w:sz w:val="12"/>
          <w:szCs w:val="12"/>
          <w:i w:val="1"/>
          <w:iCs w:val="1"/>
          <w:color w:val="auto"/>
        </w:rPr>
        <w:t>, Derivatives and Hedging (Topic 815): Targeted Improvements to Accounting for Hedging Activities</w:t>
      </w:r>
      <w:r>
        <w:rPr>
          <w:rFonts w:ascii="Arial" w:cs="Arial" w:eastAsia="Arial" w:hAnsi="Arial"/>
          <w:sz w:val="12"/>
          <w:szCs w:val="12"/>
          <w:color w:val="auto"/>
        </w:rPr>
        <w:t xml:space="preserve"> (“ASU 2017-12”), which amends and simplifies existing guidance in order to allow companies to more accurately present the economic effects of risk management activities in the financial statements. ASU 2017-12 is effective for annual periods beginning after December 15, 2018 and interim periods within those annual periods, and earlier adoption is permitted. We adopted ASU 2017-12 effective January 1, 2018, and there was no material impact on our financial position.</w:t>
      </w:r>
    </w:p>
    <w:p>
      <w:pPr>
        <w:spacing w:after="0" w:line="123" w:lineRule="exact"/>
        <w:rPr>
          <w:sz w:val="20"/>
          <w:szCs w:val="20"/>
          <w:color w:val="auto"/>
        </w:rPr>
      </w:pPr>
    </w:p>
    <w:p>
      <w:pPr>
        <w:jc w:val="both"/>
        <w:spacing w:after="0" w:line="298" w:lineRule="auto"/>
        <w:rPr>
          <w:sz w:val="20"/>
          <w:szCs w:val="20"/>
          <w:color w:val="auto"/>
        </w:rPr>
      </w:pPr>
      <w:r>
        <w:rPr>
          <w:rFonts w:ascii="Arial" w:cs="Arial" w:eastAsia="Arial" w:hAnsi="Arial"/>
          <w:sz w:val="11"/>
          <w:szCs w:val="11"/>
          <w:color w:val="auto"/>
        </w:rPr>
        <w:t xml:space="preserve">In February 2017, the FASB issued ASU No. 2017-05, </w:t>
      </w:r>
      <w:r>
        <w:rPr>
          <w:rFonts w:ascii="Arial" w:cs="Arial" w:eastAsia="Arial" w:hAnsi="Arial"/>
          <w:sz w:val="11"/>
          <w:szCs w:val="11"/>
          <w:i w:val="1"/>
          <w:iCs w:val="1"/>
          <w:color w:val="auto"/>
        </w:rPr>
        <w:t>Other Income - Gains and Losses from the Derecognition of Nonfinancial Assets (Subtopic 610-20): Clarifying the Scope of Asset Derecognition Guidance and Accounting for Partial</w:t>
      </w:r>
      <w:r>
        <w:rPr>
          <w:rFonts w:ascii="Arial" w:cs="Arial" w:eastAsia="Arial" w:hAnsi="Arial"/>
          <w:sz w:val="11"/>
          <w:szCs w:val="11"/>
          <w:color w:val="auto"/>
        </w:rPr>
        <w:t xml:space="preserve"> </w:t>
      </w:r>
      <w:r>
        <w:rPr>
          <w:rFonts w:ascii="Arial" w:cs="Arial" w:eastAsia="Arial" w:hAnsi="Arial"/>
          <w:sz w:val="11"/>
          <w:szCs w:val="11"/>
          <w:i w:val="1"/>
          <w:iCs w:val="1"/>
          <w:color w:val="auto"/>
        </w:rPr>
        <w:t xml:space="preserve">Sales of Nonfinancial Assets </w:t>
      </w:r>
      <w:r>
        <w:rPr>
          <w:rFonts w:ascii="Arial" w:cs="Arial" w:eastAsia="Arial" w:hAnsi="Arial"/>
          <w:sz w:val="11"/>
          <w:szCs w:val="11"/>
          <w:color w:val="auto"/>
        </w:rPr>
        <w:t>(“ASU 2017-05”), which provides guidance for recognizing gains and losses from the transfer of nonfinancial assets and for partial sales of nonfinancial assets, and is effective for financial statements issued for</w:t>
      </w:r>
      <w:r>
        <w:rPr>
          <w:rFonts w:ascii="Arial" w:cs="Arial" w:eastAsia="Arial" w:hAnsi="Arial"/>
          <w:sz w:val="11"/>
          <w:szCs w:val="11"/>
          <w:i w:val="1"/>
          <w:iCs w:val="1"/>
          <w:color w:val="auto"/>
        </w:rPr>
        <w:t xml:space="preserve"> </w:t>
      </w:r>
      <w:r>
        <w:rPr>
          <w:rFonts w:ascii="Arial" w:cs="Arial" w:eastAsia="Arial" w:hAnsi="Arial"/>
          <w:sz w:val="11"/>
          <w:szCs w:val="11"/>
          <w:color w:val="auto"/>
        </w:rPr>
        <w:t>fiscal years and interim periods beginning after December 15, 2017. We adopted ASU 2017-05 effective January 1, 2018, using the modified retrospective approach and there was no material impact on our financial position.</w:t>
      </w:r>
    </w:p>
    <w:p>
      <w:pPr>
        <w:spacing w:after="0" w:line="105" w:lineRule="exact"/>
        <w:rPr>
          <w:sz w:val="20"/>
          <w:szCs w:val="20"/>
          <w:color w:val="auto"/>
        </w:rPr>
      </w:pPr>
    </w:p>
    <w:p>
      <w:pPr>
        <w:ind w:right="180"/>
        <w:spacing w:after="0" w:line="290" w:lineRule="auto"/>
        <w:rPr>
          <w:rFonts w:ascii="Arial" w:cs="Arial" w:eastAsia="Arial" w:hAnsi="Arial"/>
          <w:sz w:val="11"/>
          <w:szCs w:val="11"/>
          <w:color w:val="auto"/>
        </w:rPr>
      </w:pPr>
      <w:r>
        <w:rPr>
          <w:rFonts w:ascii="Arial" w:cs="Arial" w:eastAsia="Arial" w:hAnsi="Arial"/>
          <w:sz w:val="11"/>
          <w:szCs w:val="11"/>
          <w:color w:val="auto"/>
        </w:rPr>
        <w:t xml:space="preserve">In May 2014, the FASB issued ASU No. 2014-09, </w:t>
      </w:r>
      <w:r>
        <w:rPr>
          <w:rFonts w:ascii="Arial" w:cs="Arial" w:eastAsia="Arial" w:hAnsi="Arial"/>
          <w:sz w:val="11"/>
          <w:szCs w:val="11"/>
          <w:i w:val="1"/>
          <w:iCs w:val="1"/>
          <w:color w:val="auto"/>
        </w:rPr>
        <w:t>Revenue from Contracts with Customers (Topic 606)</w:t>
      </w:r>
      <w:r>
        <w:rPr>
          <w:rFonts w:ascii="Arial" w:cs="Arial" w:eastAsia="Arial" w:hAnsi="Arial"/>
          <w:sz w:val="11"/>
          <w:szCs w:val="11"/>
          <w:color w:val="auto"/>
        </w:rPr>
        <w:t>. This update outlines a single comprehensive revenue recognition model for entities to follow in accounting for revenue from contracts with customers and supersedes most current revenue recognition guidance, including industry-specific guidance. The core principle of the revenue model is that an entity should recognize revenue for the transfer of promised goods or services to customers in an amount that reflects the consideration to which the entity expects to be entitled to receive for those goods or services. Topic 606 is effective for annual periods beginning after December 15, 2017 and interim periods within those annual periods. We adopted Topic 606 as of January 1, 2018 using the modified retrospective transition method. See Note 4</w:t>
      </w:r>
      <w:hyperlink w:anchor="page73">
        <w:r>
          <w:rPr>
            <w:rFonts w:ascii="Arial" w:cs="Arial" w:eastAsia="Arial" w:hAnsi="Arial"/>
            <w:sz w:val="11"/>
            <w:szCs w:val="11"/>
            <w:u w:val="single" w:color="auto"/>
            <w:color w:val="0000EE"/>
          </w:rPr>
          <w:t>.</w:t>
        </w:r>
      </w:hyperlink>
    </w:p>
    <w:p>
      <w:pPr>
        <w:spacing w:after="0" w:line="109"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Recent Accounting Pronouncements Not Yet Adopted</w:t>
      </w:r>
    </w:p>
    <w:p>
      <w:pPr>
        <w:spacing w:after="0" w:line="150" w:lineRule="exact"/>
        <w:rPr>
          <w:sz w:val="20"/>
          <w:szCs w:val="20"/>
          <w:color w:val="auto"/>
        </w:rPr>
      </w:pPr>
    </w:p>
    <w:p>
      <w:pPr>
        <w:spacing w:after="0" w:line="283" w:lineRule="auto"/>
        <w:rPr>
          <w:sz w:val="20"/>
          <w:szCs w:val="20"/>
          <w:color w:val="auto"/>
        </w:rPr>
      </w:pPr>
      <w:r>
        <w:rPr>
          <w:rFonts w:ascii="Arial" w:cs="Arial" w:eastAsia="Arial" w:hAnsi="Arial"/>
          <w:sz w:val="11"/>
          <w:szCs w:val="11"/>
          <w:color w:val="auto"/>
        </w:rPr>
        <w:t xml:space="preserve">In February 2016, the FASB issued ASU No. 2016-02, </w:t>
      </w:r>
      <w:r>
        <w:rPr>
          <w:rFonts w:ascii="Arial" w:cs="Arial" w:eastAsia="Arial" w:hAnsi="Arial"/>
          <w:sz w:val="11"/>
          <w:szCs w:val="11"/>
          <w:i w:val="1"/>
          <w:iCs w:val="1"/>
          <w:color w:val="auto"/>
        </w:rPr>
        <w:t>Leases</w:t>
      </w:r>
      <w:r>
        <w:rPr>
          <w:rFonts w:ascii="Arial" w:cs="Arial" w:eastAsia="Arial" w:hAnsi="Arial"/>
          <w:sz w:val="11"/>
          <w:szCs w:val="11"/>
          <w:color w:val="auto"/>
        </w:rPr>
        <w:t xml:space="preserve"> (“ASC 842”), which sets out the principles for the recognition, measurement, presentation and disclosure of leases for both parties to a contract (i.e. lessees and lessors). The new standard requires lessees to apply a dual approach, classifying leases as either finance or operating leases based on the principle of whether or not the lease is effectively a financed purchase by the lessee. This classification will determine whether lease expense is recognized based on an effective interest method or on a straight-line basis over the term of the lease, respectively. A lessee is also required to record a right-of-use asset and a lease liability for all leases with a term of greater than 12 months regardless of their classification. The accounting for lessors remains largely unchanged from existing guidance. Leases with a term of 12 months or less will be accounted for similar to existing guidance for operating leases today. The provisions of this guidance are effective for annual periods beginning after December 31, 2018, and for interim periods therein, and it is required to applied using the modified retrospective approach for all leases existing as of the effective date. The Company is currently evaluating this guidance to determine the impact it will have on our financial statements by reviewing its existing</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72" w:name="page73"/>
    <w:bookmarkEnd w:id="7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line="263" w:lineRule="auto"/>
        <w:rPr>
          <w:sz w:val="20"/>
          <w:szCs w:val="20"/>
          <w:color w:val="auto"/>
        </w:rPr>
      </w:pPr>
      <w:r>
        <w:rPr>
          <w:rFonts w:ascii="Arial" w:cs="Arial" w:eastAsia="Arial" w:hAnsi="Arial"/>
          <w:sz w:val="12"/>
          <w:szCs w:val="12"/>
          <w:color w:val="auto"/>
        </w:rPr>
        <w:t>operating lease contracts, including ground, tower, equipment, office and fiber lease arrangements, in which we are the lessee and service contracts that may include embedded leases. The Company expects a gross-up of its Consolidated Balance Sheets as a result of recognizing lease liabilities and right-of-use assets; the extent of the impact of a gross-up is under evaluation. The Company does not anticipate material changes to the recognition of operating lease expense in its Consolidated Statements of Income.</w:t>
      </w:r>
    </w:p>
    <w:p>
      <w:pPr>
        <w:spacing w:after="0" w:line="123" w:lineRule="exact"/>
        <w:rPr>
          <w:sz w:val="20"/>
          <w:szCs w:val="20"/>
          <w:color w:val="auto"/>
        </w:rPr>
      </w:pPr>
    </w:p>
    <w:p>
      <w:pPr>
        <w:ind w:right="80"/>
        <w:spacing w:after="0" w:line="323" w:lineRule="auto"/>
        <w:rPr>
          <w:sz w:val="20"/>
          <w:szCs w:val="20"/>
          <w:color w:val="auto"/>
        </w:rPr>
      </w:pPr>
      <w:r>
        <w:rPr>
          <w:rFonts w:ascii="Arial" w:cs="Arial" w:eastAsia="Arial" w:hAnsi="Arial"/>
          <w:sz w:val="11"/>
          <w:szCs w:val="11"/>
          <w:color w:val="auto"/>
        </w:rPr>
        <w:t xml:space="preserve">In January 2018, the FASB issued ASU 2018-01, </w:t>
      </w:r>
      <w:r>
        <w:rPr>
          <w:rFonts w:ascii="Arial" w:cs="Arial" w:eastAsia="Arial" w:hAnsi="Arial"/>
          <w:sz w:val="11"/>
          <w:szCs w:val="11"/>
          <w:i w:val="1"/>
          <w:iCs w:val="1"/>
          <w:color w:val="auto"/>
        </w:rPr>
        <w:t>Leases</w:t>
      </w:r>
      <w:r>
        <w:rPr>
          <w:rFonts w:ascii="Arial" w:cs="Arial" w:eastAsia="Arial" w:hAnsi="Arial"/>
          <w:sz w:val="11"/>
          <w:szCs w:val="11"/>
          <w:color w:val="auto"/>
        </w:rPr>
        <w:t xml:space="preserve"> (Topic 842) – Land Easement Practical Expedient for Transition to Topic 842. This standard permits an entity to elect an optional transition practical expedient to not evaluate land easements that exist or expire before the Company's adoption of ASC 842 and that were not previously accounted for as leases under ASC 840. The Company intends to elect this transition provision.</w:t>
      </w:r>
    </w:p>
    <w:p>
      <w:pPr>
        <w:spacing w:after="0" w:line="8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4. Revenues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 xml:space="preserve">Adoption of ASC Topic 606, </w:t>
      </w:r>
      <w:r>
        <w:rPr>
          <w:rFonts w:ascii="Arial" w:cs="Arial" w:eastAsia="Arial" w:hAnsi="Arial"/>
          <w:sz w:val="12"/>
          <w:szCs w:val="12"/>
          <w:i w:val="1"/>
          <w:iCs w:val="1"/>
          <w:u w:val="single" w:color="auto"/>
          <w:color w:val="auto"/>
        </w:rPr>
        <w:t>Revenue from Contracts with Customers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Except for the changes below, we have consistently applied the accounting policies to all periods presented in these Consolidated Financial Statements.</w:t>
      </w:r>
    </w:p>
    <w:p>
      <w:pPr>
        <w:spacing w:after="0" w:line="150" w:lineRule="exact"/>
        <w:rPr>
          <w:sz w:val="20"/>
          <w:szCs w:val="20"/>
          <w:color w:val="auto"/>
        </w:rPr>
      </w:pPr>
    </w:p>
    <w:p>
      <w:pPr>
        <w:jc w:val="both"/>
        <w:ind w:right="360"/>
        <w:spacing w:after="0" w:line="298" w:lineRule="auto"/>
        <w:rPr>
          <w:sz w:val="20"/>
          <w:szCs w:val="20"/>
          <w:color w:val="auto"/>
        </w:rPr>
      </w:pPr>
      <w:r>
        <w:rPr>
          <w:rFonts w:ascii="Arial" w:cs="Arial" w:eastAsia="Arial" w:hAnsi="Arial"/>
          <w:sz w:val="11"/>
          <w:szCs w:val="11"/>
          <w:color w:val="auto"/>
        </w:rPr>
        <w:t xml:space="preserve">On January 1, 2018, we adopted Topic 606 using the modified retrospective method, whereby the cumulative effect of initially applying Topic 606 is recognized as an adjustment to the opening balance of equity at January 1, 2018. Therefore, comparative information has not been adjusted and continues to be reported under ASC 605, </w:t>
      </w:r>
      <w:r>
        <w:rPr>
          <w:rFonts w:ascii="Arial" w:cs="Arial" w:eastAsia="Arial" w:hAnsi="Arial"/>
          <w:sz w:val="11"/>
          <w:szCs w:val="11"/>
          <w:i w:val="1"/>
          <w:iCs w:val="1"/>
          <w:color w:val="auto"/>
        </w:rPr>
        <w:t>Revenue Recognition</w:t>
      </w:r>
      <w:r>
        <w:rPr>
          <w:rFonts w:ascii="Arial" w:cs="Arial" w:eastAsia="Arial" w:hAnsi="Arial"/>
          <w:sz w:val="11"/>
          <w:szCs w:val="11"/>
          <w:color w:val="auto"/>
        </w:rPr>
        <w:t>. We recorded a net increase to opening retained earnings of $1.9 million as of January 1, 2018 due to the cumulative impact of adopting Topic 606, with the impact primarily related to commission costs that are capitalized under Topic 606 which were previously expensed.</w:t>
      </w:r>
    </w:p>
    <w:p>
      <w:pPr>
        <w:spacing w:after="0" w:line="105" w:lineRule="exact"/>
        <w:rPr>
          <w:sz w:val="20"/>
          <w:szCs w:val="20"/>
          <w:color w:val="auto"/>
        </w:rPr>
      </w:pPr>
    </w:p>
    <w:p>
      <w:pPr>
        <w:spacing w:after="0"/>
        <w:rPr>
          <w:sz w:val="20"/>
          <w:szCs w:val="20"/>
          <w:color w:val="auto"/>
        </w:rPr>
      </w:pPr>
      <w:r>
        <w:rPr>
          <w:rFonts w:ascii="Arial" w:cs="Arial" w:eastAsia="Arial" w:hAnsi="Arial"/>
          <w:sz w:val="11"/>
          <w:szCs w:val="11"/>
          <w:color w:val="auto"/>
        </w:rPr>
        <w:t>The details of the significant changes and quantitative impact of the changes are set out below. We have applied this guidance only to contracts that were not completed as of January 1, 2018, the date of initial application.</w:t>
      </w:r>
    </w:p>
    <w:p>
      <w:pPr>
        <w:spacing w:after="0" w:line="162"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Commissions</w:t>
      </w:r>
    </w:p>
    <w:p>
      <w:pPr>
        <w:spacing w:after="0" w:line="150" w:lineRule="exact"/>
        <w:rPr>
          <w:sz w:val="20"/>
          <w:szCs w:val="20"/>
          <w:color w:val="auto"/>
        </w:rPr>
      </w:pPr>
    </w:p>
    <w:p>
      <w:pPr>
        <w:ind w:right="20"/>
        <w:spacing w:after="0" w:line="254" w:lineRule="auto"/>
        <w:rPr>
          <w:sz w:val="20"/>
          <w:szCs w:val="20"/>
          <w:color w:val="auto"/>
        </w:rPr>
      </w:pPr>
      <w:r>
        <w:rPr>
          <w:rFonts w:ascii="Arial" w:cs="Arial" w:eastAsia="Arial" w:hAnsi="Arial"/>
          <w:sz w:val="12"/>
          <w:szCs w:val="12"/>
          <w:color w:val="auto"/>
        </w:rPr>
        <w:t xml:space="preserve">We previously recognized commission fees related to obtaining a contract as selling expenses when incurred. Under Topic 606 and Topic 340, </w:t>
      </w:r>
      <w:r>
        <w:rPr>
          <w:rFonts w:ascii="Arial" w:cs="Arial" w:eastAsia="Arial" w:hAnsi="Arial"/>
          <w:sz w:val="12"/>
          <w:szCs w:val="12"/>
          <w:i w:val="1"/>
          <w:iCs w:val="1"/>
          <w:color w:val="auto"/>
        </w:rPr>
        <w:t>Other Assets and Deferred Costs</w:t>
      </w:r>
      <w:r>
        <w:rPr>
          <w:rFonts w:ascii="Arial" w:cs="Arial" w:eastAsia="Arial" w:hAnsi="Arial"/>
          <w:sz w:val="12"/>
          <w:szCs w:val="12"/>
          <w:color w:val="auto"/>
        </w:rPr>
        <w:t>, when they are incremental or expected to be recovered, we capitalize those commission fees as costs of obtaining a contract and amortize them consistently with the pattern of transfer of the product or service to which the asset relates. These amortized costs are included in general and administrative expense on the Consolidated Statements of Income. These deferred balances were $2.5 million and $4.9 million at January 1, 2018 and December 31, 2018, respectively, and included in Other Assets on the Consolidated Balance Sheets; Other Assets would have been lower by those amounts under revenue recognition and cost guidance applicable to us prior to the adoption of Topic 606 and Topic 340. For the year ended December 31, 2018, the impact to costs as a result of applying Topic 606 was a decrease of $2.4 million, as compared to what the general and administrative expense would have been under previous revenue and cost recognition guidance. There would have been no other differences in our Consolidated Balance Sheets as of December 31, 2018 or Consolidated Statements of Income for the year ended December 31, 2018 under previous revenue and cost recognition guidance as compared to Topic 606 and Topic 340.</w:t>
      </w:r>
    </w:p>
    <w:p>
      <w:pPr>
        <w:spacing w:after="0" w:line="131"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Nature of goods and services</w:t>
      </w:r>
    </w:p>
    <w:p>
      <w:pPr>
        <w:spacing w:after="0" w:line="150" w:lineRule="exact"/>
        <w:rPr>
          <w:sz w:val="20"/>
          <w:szCs w:val="20"/>
          <w:color w:val="auto"/>
        </w:rPr>
      </w:pPr>
    </w:p>
    <w:p>
      <w:pPr>
        <w:spacing w:after="0"/>
        <w:rPr>
          <w:rFonts w:ascii="Arial" w:cs="Arial" w:eastAsia="Arial" w:hAnsi="Arial"/>
          <w:sz w:val="12"/>
          <w:szCs w:val="12"/>
          <w:color w:val="auto"/>
        </w:rPr>
      </w:pPr>
      <w:r>
        <w:rPr>
          <w:rFonts w:ascii="Arial" w:cs="Arial" w:eastAsia="Arial" w:hAnsi="Arial"/>
          <w:sz w:val="12"/>
          <w:szCs w:val="12"/>
          <w:color w:val="auto"/>
        </w:rPr>
        <w:t>The following is a description of principal activities, separated by reportable segments (see Note 14</w:t>
      </w:r>
      <w:hyperlink w:anchor="page94">
        <w:r>
          <w:rPr>
            <w:rFonts w:ascii="Arial" w:cs="Arial" w:eastAsia="Arial" w:hAnsi="Arial"/>
            <w:sz w:val="12"/>
            <w:szCs w:val="12"/>
            <w:u w:val="single" w:color="auto"/>
            <w:color w:val="0000EE"/>
          </w:rPr>
          <w:t>), from which the Company generates it</w:t>
        </w:r>
      </w:hyperlink>
      <w:r>
        <w:rPr>
          <w:rFonts w:ascii="Arial" w:cs="Arial" w:eastAsia="Arial" w:hAnsi="Arial"/>
          <w:sz w:val="12"/>
          <w:szCs w:val="12"/>
          <w:color w:val="auto"/>
        </w:rPr>
        <w:t>s revenues.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Leasing</w:t>
      </w:r>
    </w:p>
    <w:p>
      <w:pPr>
        <w:spacing w:after="0" w:line="150" w:lineRule="exact"/>
        <w:rPr>
          <w:sz w:val="20"/>
          <w:szCs w:val="20"/>
          <w:color w:val="auto"/>
        </w:rPr>
      </w:pPr>
    </w:p>
    <w:p>
      <w:pPr>
        <w:ind w:right="140"/>
        <w:spacing w:after="0" w:line="323" w:lineRule="auto"/>
        <w:rPr>
          <w:sz w:val="20"/>
          <w:szCs w:val="20"/>
          <w:color w:val="auto"/>
        </w:rPr>
      </w:pPr>
      <w:r>
        <w:rPr>
          <w:rFonts w:ascii="Arial" w:cs="Arial" w:eastAsia="Arial" w:hAnsi="Arial"/>
          <w:sz w:val="11"/>
          <w:szCs w:val="11"/>
          <w:color w:val="auto"/>
        </w:rPr>
        <w:t xml:space="preserve">Leasing revenue represents the results from our leasing program, Uniti Leasing, which is engaged in the acquisition of mission-critical communications assets and leasing them back to anchor customers on either an exclusive or shared-tenant basis. Due to the nature of these activities, they are outside the scope of the guidance of Topic 606, and are recognized under other applicable guidance, including ASC 840, </w:t>
      </w:r>
      <w:r>
        <w:rPr>
          <w:rFonts w:ascii="Arial" w:cs="Arial" w:eastAsia="Arial" w:hAnsi="Arial"/>
          <w:sz w:val="11"/>
          <w:szCs w:val="11"/>
          <w:i w:val="1"/>
          <w:iCs w:val="1"/>
          <w:color w:val="auto"/>
        </w:rPr>
        <w:t>Leases</w:t>
      </w:r>
      <w:r>
        <w:rPr>
          <w:rFonts w:ascii="Arial" w:cs="Arial" w:eastAsia="Arial" w:hAnsi="Arial"/>
          <w:sz w:val="11"/>
          <w:szCs w:val="11"/>
          <w:color w:val="auto"/>
        </w:rPr>
        <w:t xml:space="preserve"> (“Topic 840”).</w:t>
      </w:r>
    </w:p>
    <w:p>
      <w:pPr>
        <w:spacing w:after="0" w:line="92"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20"/>
          </w:cols>
          <w:pgMar w:left="220" w:top="131" w:right="259" w:bottom="1440" w:gutter="0" w:footer="0" w:header="0"/>
        </w:sectPr>
      </w:pPr>
    </w:p>
    <w:bookmarkStart w:id="73" w:name="page74"/>
    <w:bookmarkEnd w:id="73"/>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left="8"/>
        <w:spacing w:after="0"/>
        <w:rPr>
          <w:sz w:val="20"/>
          <w:szCs w:val="20"/>
          <w:color w:val="auto"/>
        </w:rPr>
      </w:pPr>
      <w:r>
        <w:rPr>
          <w:rFonts w:ascii="Arial" w:cs="Arial" w:eastAsia="Arial" w:hAnsi="Arial"/>
          <w:sz w:val="12"/>
          <w:szCs w:val="12"/>
          <w:i w:val="1"/>
          <w:iCs w:val="1"/>
          <w:color w:val="auto"/>
        </w:rPr>
        <w:t>Fiber Infrastructure</w:t>
      </w:r>
    </w:p>
    <w:p>
      <w:pPr>
        <w:spacing w:after="0" w:line="150" w:lineRule="exact"/>
        <w:rPr>
          <w:sz w:val="20"/>
          <w:szCs w:val="20"/>
          <w:color w:val="auto"/>
        </w:rPr>
      </w:pPr>
    </w:p>
    <w:p>
      <w:pPr>
        <w:ind w:left="8"/>
        <w:spacing w:after="0"/>
        <w:rPr>
          <w:sz w:val="20"/>
          <w:szCs w:val="20"/>
          <w:color w:val="auto"/>
        </w:rPr>
      </w:pPr>
      <w:r>
        <w:rPr>
          <w:rFonts w:ascii="Arial" w:cs="Arial" w:eastAsia="Arial" w:hAnsi="Arial"/>
          <w:sz w:val="11"/>
          <w:szCs w:val="11"/>
          <w:color w:val="auto"/>
        </w:rPr>
        <w:t>The Fiber Infrastructure segment represents the operations of our fiber business, Uniti Fiber, which provides (i) consumer, enterprise, wholesale and backhaul lit fiber, (ii) E-rate, (iii) small cell, (iv) construction services, (v) dark fiber and</w:t>
      </w:r>
    </w:p>
    <w:p>
      <w:pPr>
        <w:spacing w:after="0" w:line="26" w:lineRule="exact"/>
        <w:rPr>
          <w:sz w:val="20"/>
          <w:szCs w:val="20"/>
          <w:color w:val="auto"/>
        </w:rPr>
      </w:pPr>
    </w:p>
    <w:p>
      <w:pPr>
        <w:ind w:left="208" w:hanging="208"/>
        <w:spacing w:after="0"/>
        <w:tabs>
          <w:tab w:leader="none" w:pos="208" w:val="left"/>
        </w:tabs>
        <w:numPr>
          <w:ilvl w:val="0"/>
          <w:numId w:val="10"/>
        </w:numPr>
        <w:rPr>
          <w:rFonts w:ascii="Arial" w:cs="Arial" w:eastAsia="Arial" w:hAnsi="Arial"/>
          <w:sz w:val="12"/>
          <w:szCs w:val="12"/>
          <w:color w:val="auto"/>
        </w:rPr>
      </w:pPr>
      <w:r>
        <w:rPr>
          <w:rFonts w:ascii="Arial" w:cs="Arial" w:eastAsia="Arial" w:hAnsi="Arial"/>
          <w:sz w:val="12"/>
          <w:szCs w:val="12"/>
          <w:color w:val="auto"/>
        </w:rPr>
        <w:t>other revenue generating activities.</w:t>
      </w:r>
    </w:p>
    <w:p>
      <w:pPr>
        <w:spacing w:after="0" w:line="141" w:lineRule="exact"/>
        <w:rPr>
          <w:rFonts w:ascii="Arial" w:cs="Arial" w:eastAsia="Arial" w:hAnsi="Arial"/>
          <w:sz w:val="12"/>
          <w:szCs w:val="12"/>
          <w:color w:val="auto"/>
        </w:rPr>
      </w:pPr>
    </w:p>
    <w:p>
      <w:pPr>
        <w:ind w:left="1328" w:right="40" w:hanging="887"/>
        <w:spacing w:after="0" w:line="263" w:lineRule="auto"/>
        <w:tabs>
          <w:tab w:leader="none" w:pos="1328" w:val="left"/>
        </w:tabs>
        <w:numPr>
          <w:ilvl w:val="1"/>
          <w:numId w:val="10"/>
        </w:numPr>
        <w:rPr>
          <w:rFonts w:ascii="Arial" w:cs="Arial" w:eastAsia="Arial" w:hAnsi="Arial"/>
          <w:sz w:val="12"/>
          <w:szCs w:val="12"/>
          <w:color w:val="auto"/>
        </w:rPr>
      </w:pPr>
      <w:r>
        <w:rPr>
          <w:rFonts w:ascii="Arial" w:cs="Arial" w:eastAsia="Arial" w:hAnsi="Arial"/>
          <w:sz w:val="12"/>
          <w:szCs w:val="12"/>
          <w:color w:val="auto"/>
        </w:rPr>
        <w:t>Consumer, enterprise, wholesale, and backhaul lit fiber fall under the guidance of Topic 606. Revenue is recognized over the life of the contracts in a pattern that reflects the satisfaction of Uniti’s stand-ready obligation to provide lit fiber services. The transaction price is equal to the monthly-recurring charge multiplied by the contract term, plus any non-recurring or variable charges. For each contract, the customer is invoiced monthly.</w:t>
      </w:r>
    </w:p>
    <w:p>
      <w:pPr>
        <w:spacing w:after="0" w:line="122" w:lineRule="exact"/>
        <w:rPr>
          <w:rFonts w:ascii="Arial" w:cs="Arial" w:eastAsia="Arial" w:hAnsi="Arial"/>
          <w:sz w:val="12"/>
          <w:szCs w:val="12"/>
          <w:color w:val="auto"/>
        </w:rPr>
      </w:pPr>
    </w:p>
    <w:p>
      <w:pPr>
        <w:ind w:left="1328" w:right="20" w:hanging="887"/>
        <w:spacing w:after="0" w:line="263" w:lineRule="auto"/>
        <w:tabs>
          <w:tab w:leader="none" w:pos="1328" w:val="left"/>
        </w:tabs>
        <w:numPr>
          <w:ilvl w:val="1"/>
          <w:numId w:val="10"/>
        </w:numPr>
        <w:rPr>
          <w:rFonts w:ascii="Arial" w:cs="Arial" w:eastAsia="Arial" w:hAnsi="Arial"/>
          <w:sz w:val="12"/>
          <w:szCs w:val="12"/>
          <w:color w:val="auto"/>
        </w:rPr>
      </w:pPr>
      <w:r>
        <w:rPr>
          <w:rFonts w:ascii="Arial" w:cs="Arial" w:eastAsia="Arial" w:hAnsi="Arial"/>
          <w:sz w:val="12"/>
          <w:szCs w:val="12"/>
          <w:color w:val="auto"/>
        </w:rPr>
        <w:t>E-rate contracts involve providing lit fiber services to schools and libraries, and is governed by Topic 606. Revenue is recognized over the life of the contract in a pattern that reflects the satisfaction of Uniti’s stand-ready obligation to provide lit fiber services. The transaction price is equal to the monthly-recurring charge multiplied by the contract term, plus any non-recurring or variable charges. For each contract, the customer is invoiced monthly.</w:t>
      </w:r>
    </w:p>
    <w:p>
      <w:pPr>
        <w:spacing w:after="0" w:line="122" w:lineRule="exact"/>
        <w:rPr>
          <w:rFonts w:ascii="Arial" w:cs="Arial" w:eastAsia="Arial" w:hAnsi="Arial"/>
          <w:sz w:val="12"/>
          <w:szCs w:val="12"/>
          <w:color w:val="auto"/>
        </w:rPr>
      </w:pPr>
    </w:p>
    <w:p>
      <w:pPr>
        <w:jc w:val="both"/>
        <w:ind w:left="1328" w:right="340" w:hanging="887"/>
        <w:spacing w:after="0" w:line="340" w:lineRule="auto"/>
        <w:tabs>
          <w:tab w:leader="none" w:pos="1328" w:val="left"/>
        </w:tabs>
        <w:numPr>
          <w:ilvl w:val="1"/>
          <w:numId w:val="10"/>
        </w:numPr>
        <w:rPr>
          <w:rFonts w:ascii="Arial" w:cs="Arial" w:eastAsia="Arial" w:hAnsi="Arial"/>
          <w:sz w:val="10"/>
          <w:szCs w:val="10"/>
          <w:color w:val="auto"/>
        </w:rPr>
      </w:pPr>
      <w:r>
        <w:rPr>
          <w:rFonts w:ascii="Arial" w:cs="Arial" w:eastAsia="Arial" w:hAnsi="Arial"/>
          <w:sz w:val="10"/>
          <w:szCs w:val="10"/>
          <w:color w:val="auto"/>
        </w:rPr>
        <w:t>Small cell contracts provide improved network connection to areas that may not require or accommodate a tower. Small cell arrangements typically contain five streams of revenue: site development, radio frequency (“RF”) design, dark fiber lease, construction services, and maintenance services. Site development, RF design and construction are each separate services and are considered distinct performance obligations under Topic 606. Dark fiber and associated maintenance services constitute a lease, and as such, they are outside the scope of Topic 606 and are governed by other applicable guidance.</w:t>
      </w:r>
    </w:p>
    <w:p>
      <w:pPr>
        <w:spacing w:after="0" w:line="87" w:lineRule="exact"/>
        <w:rPr>
          <w:rFonts w:ascii="Arial" w:cs="Arial" w:eastAsia="Arial" w:hAnsi="Arial"/>
          <w:sz w:val="10"/>
          <w:szCs w:val="10"/>
          <w:color w:val="auto"/>
        </w:rPr>
      </w:pPr>
    </w:p>
    <w:p>
      <w:pPr>
        <w:ind w:left="1328" w:right="80" w:hanging="887"/>
        <w:spacing w:after="0" w:line="263" w:lineRule="auto"/>
        <w:tabs>
          <w:tab w:leader="none" w:pos="1328" w:val="left"/>
        </w:tabs>
        <w:numPr>
          <w:ilvl w:val="1"/>
          <w:numId w:val="10"/>
        </w:numPr>
        <w:rPr>
          <w:rFonts w:ascii="Arial" w:cs="Arial" w:eastAsia="Arial" w:hAnsi="Arial"/>
          <w:sz w:val="12"/>
          <w:szCs w:val="12"/>
          <w:color w:val="auto"/>
        </w:rPr>
      </w:pPr>
      <w:r>
        <w:rPr>
          <w:rFonts w:ascii="Arial" w:cs="Arial" w:eastAsia="Arial" w:hAnsi="Arial"/>
          <w:sz w:val="12"/>
          <w:szCs w:val="12"/>
          <w:color w:val="auto"/>
        </w:rPr>
        <w:t>Construction revenue is generated from contracts to provide various construction services such as equipment installation or the laying of fiber. Construction revenue is recognized over time as construction activities occur as we are either enhancing a customer’s owned asset or constructing an asset with no alternative use to us and we would be entitled to our costs plus a reasonable profit margin if the contract was terminated early by the customer. We are utilizing our costs incurred as the measure of progress of satisfying our performance obligation.</w:t>
      </w:r>
    </w:p>
    <w:p>
      <w:pPr>
        <w:spacing w:after="0" w:line="122" w:lineRule="exact"/>
        <w:rPr>
          <w:rFonts w:ascii="Arial" w:cs="Arial" w:eastAsia="Arial" w:hAnsi="Arial"/>
          <w:sz w:val="12"/>
          <w:szCs w:val="12"/>
          <w:color w:val="auto"/>
        </w:rPr>
      </w:pPr>
    </w:p>
    <w:p>
      <w:pPr>
        <w:ind w:left="1328" w:right="40" w:hanging="887"/>
        <w:spacing w:after="0" w:line="263" w:lineRule="auto"/>
        <w:tabs>
          <w:tab w:leader="none" w:pos="1328" w:val="left"/>
        </w:tabs>
        <w:numPr>
          <w:ilvl w:val="1"/>
          <w:numId w:val="10"/>
        </w:numPr>
        <w:rPr>
          <w:rFonts w:ascii="Arial" w:cs="Arial" w:eastAsia="Arial" w:hAnsi="Arial"/>
          <w:sz w:val="12"/>
          <w:szCs w:val="12"/>
          <w:color w:val="auto"/>
        </w:rPr>
      </w:pPr>
      <w:r>
        <w:rPr>
          <w:rFonts w:ascii="Arial" w:cs="Arial" w:eastAsia="Arial" w:hAnsi="Arial"/>
          <w:sz w:val="12"/>
          <w:szCs w:val="12"/>
          <w:color w:val="auto"/>
        </w:rPr>
        <w:t>Dark fiber arrangements represent operating leases under Topic 840 and is outside the scope of Topic 606. When (i) a customer makes an advance payment or (ii) a customer is contractually obligated to pay any amounts in advance, which is not deemed a separate performance obligation, deferred leasing revenue is recorded. This leasing revenue is recognized ratably over the expected term of the contract, unless the pattern of service suggests otherwise.</w:t>
      </w:r>
    </w:p>
    <w:p>
      <w:pPr>
        <w:spacing w:after="0" w:line="122" w:lineRule="exact"/>
        <w:rPr>
          <w:rFonts w:ascii="Arial" w:cs="Arial" w:eastAsia="Arial" w:hAnsi="Arial"/>
          <w:sz w:val="12"/>
          <w:szCs w:val="12"/>
          <w:color w:val="auto"/>
        </w:rPr>
      </w:pPr>
    </w:p>
    <w:p>
      <w:pPr>
        <w:ind w:left="1328" w:right="40" w:hanging="887"/>
        <w:spacing w:after="0" w:line="245" w:lineRule="auto"/>
        <w:tabs>
          <w:tab w:leader="none" w:pos="1328" w:val="left"/>
        </w:tabs>
        <w:numPr>
          <w:ilvl w:val="1"/>
          <w:numId w:val="10"/>
        </w:numPr>
        <w:rPr>
          <w:rFonts w:ascii="Arial" w:cs="Arial" w:eastAsia="Arial" w:hAnsi="Arial"/>
          <w:sz w:val="14"/>
          <w:szCs w:val="14"/>
          <w:color w:val="auto"/>
        </w:rPr>
      </w:pPr>
      <w:r>
        <w:rPr>
          <w:rFonts w:ascii="Arial" w:cs="Arial" w:eastAsia="Arial" w:hAnsi="Arial"/>
          <w:sz w:val="12"/>
          <w:szCs w:val="12"/>
          <w:color w:val="auto"/>
        </w:rPr>
        <w:t>The Company generates revenues from other services, such as consultation services and equipment sales. Revenue from the sale of customer premise equipment and modems that are not provided as an essential part of the telecommunications services, including broadband, long distance, and enhanced services is recognized when products are delivered to and accepted by the customer. Revenue from customer premise equipment and modems provided as an essential part of the telecommunications services, including broadband, long distance, and enhanced services are recognized over time in a pattern that reflects the satisfaction of the service performance obligation.</w:t>
      </w:r>
    </w:p>
    <w:p>
      <w:pPr>
        <w:spacing w:after="0" w:line="134" w:lineRule="exact"/>
        <w:rPr>
          <w:sz w:val="20"/>
          <w:szCs w:val="20"/>
          <w:color w:val="auto"/>
        </w:rPr>
      </w:pPr>
    </w:p>
    <w:p>
      <w:pPr>
        <w:ind w:left="8"/>
        <w:spacing w:after="0"/>
        <w:rPr>
          <w:sz w:val="20"/>
          <w:szCs w:val="20"/>
          <w:color w:val="auto"/>
        </w:rPr>
      </w:pPr>
      <w:r>
        <w:rPr>
          <w:rFonts w:ascii="Arial" w:cs="Arial" w:eastAsia="Arial" w:hAnsi="Arial"/>
          <w:sz w:val="12"/>
          <w:szCs w:val="12"/>
          <w:i w:val="1"/>
          <w:iCs w:val="1"/>
          <w:color w:val="auto"/>
        </w:rPr>
        <w:t>Towers</w:t>
      </w:r>
    </w:p>
    <w:p>
      <w:pPr>
        <w:spacing w:after="0" w:line="150" w:lineRule="exact"/>
        <w:rPr>
          <w:sz w:val="20"/>
          <w:szCs w:val="20"/>
          <w:color w:val="auto"/>
        </w:rPr>
      </w:pPr>
    </w:p>
    <w:p>
      <w:pPr>
        <w:ind w:left="8"/>
        <w:spacing w:after="0"/>
        <w:rPr>
          <w:sz w:val="20"/>
          <w:szCs w:val="20"/>
          <w:color w:val="auto"/>
        </w:rPr>
      </w:pPr>
      <w:r>
        <w:rPr>
          <w:rFonts w:ascii="Arial" w:cs="Arial" w:eastAsia="Arial" w:hAnsi="Arial"/>
          <w:sz w:val="10"/>
          <w:szCs w:val="10"/>
          <w:color w:val="auto"/>
        </w:rPr>
        <w:t>The Towers segment represents the operations of our towers business, Uniti Towers, through which we acquire and construct tower and tower-related real estate, which we then lease to our customers in the United States and Latin America.</w:t>
      </w:r>
    </w:p>
    <w:p>
      <w:pPr>
        <w:spacing w:after="0" w:line="38" w:lineRule="exact"/>
        <w:rPr>
          <w:sz w:val="20"/>
          <w:szCs w:val="20"/>
          <w:color w:val="auto"/>
        </w:rPr>
      </w:pPr>
    </w:p>
    <w:p>
      <w:pPr>
        <w:ind w:left="8"/>
        <w:spacing w:after="0"/>
        <w:rPr>
          <w:sz w:val="20"/>
          <w:szCs w:val="20"/>
          <w:color w:val="auto"/>
        </w:rPr>
      </w:pPr>
      <w:r>
        <w:rPr>
          <w:rFonts w:ascii="Arial" w:cs="Arial" w:eastAsia="Arial" w:hAnsi="Arial"/>
          <w:sz w:val="12"/>
          <w:szCs w:val="12"/>
          <w:color w:val="auto"/>
        </w:rPr>
        <w:t>Revenue from our towers business qualifies as a lease under Topic 840 and is outside the scope of Topic 606.</w:t>
      </w:r>
    </w:p>
    <w:p>
      <w:pPr>
        <w:spacing w:after="0" w:line="141" w:lineRule="exact"/>
        <w:rPr>
          <w:sz w:val="20"/>
          <w:szCs w:val="20"/>
          <w:color w:val="auto"/>
        </w:rPr>
      </w:pPr>
    </w:p>
    <w:p>
      <w:pPr>
        <w:ind w:left="8"/>
        <w:spacing w:after="0"/>
        <w:rPr>
          <w:sz w:val="20"/>
          <w:szCs w:val="20"/>
          <w:color w:val="auto"/>
        </w:rPr>
      </w:pPr>
      <w:r>
        <w:rPr>
          <w:rFonts w:ascii="Arial" w:cs="Arial" w:eastAsia="Arial" w:hAnsi="Arial"/>
          <w:sz w:val="12"/>
          <w:szCs w:val="12"/>
          <w:i w:val="1"/>
          <w:iCs w:val="1"/>
          <w:color w:val="auto"/>
        </w:rPr>
        <w:t>Consumer CLEC</w:t>
      </w:r>
    </w:p>
    <w:p>
      <w:pPr>
        <w:spacing w:after="0" w:line="150"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1" w:right="199" w:bottom="1440" w:gutter="0" w:footer="0" w:header="0"/>
        </w:sectPr>
      </w:pPr>
    </w:p>
    <w:bookmarkStart w:id="74" w:name="page75"/>
    <w:bookmarkEnd w:id="74"/>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jc w:val="both"/>
        <w:ind w:left="8" w:right="60"/>
        <w:spacing w:after="0" w:line="263" w:lineRule="auto"/>
        <w:rPr>
          <w:sz w:val="20"/>
          <w:szCs w:val="20"/>
          <w:color w:val="auto"/>
        </w:rPr>
      </w:pPr>
      <w:r>
        <w:rPr>
          <w:rFonts w:ascii="Arial" w:cs="Arial" w:eastAsia="Arial" w:hAnsi="Arial"/>
          <w:sz w:val="12"/>
          <w:szCs w:val="12"/>
          <w:color w:val="auto"/>
        </w:rPr>
        <w:t>The Consumer CLEC segment represents the operations of Talk America Services (“Talk America”) through which we operate the Consumer CLEC Business, which provides local telephone, high-speed internet and long-distance services to customers in the eastern and central United States. Customers are billed monthly for services rendered based on actual usage or contracted amounts. The transaction price is equal to the monthly-recurring charge multiplied by the initial contract term (typically 12 months), plus any non-recurring or variable charges.</w:t>
      </w:r>
    </w:p>
    <w:p>
      <w:pPr>
        <w:spacing w:after="0" w:line="111" w:lineRule="exact"/>
        <w:rPr>
          <w:sz w:val="20"/>
          <w:szCs w:val="20"/>
          <w:color w:val="auto"/>
        </w:rPr>
      </w:pPr>
    </w:p>
    <w:tbl>
      <w:tblPr>
        <w:tblLayout w:type="fixed"/>
        <w:tblInd w:w="8" w:type="dxa"/>
        <w:tblCellMar>
          <w:top w:w="0" w:type="dxa"/>
          <w:left w:w="0" w:type="dxa"/>
          <w:bottom w:w="0" w:type="dxa"/>
          <w:right w:w="0" w:type="dxa"/>
        </w:tblCellMar>
      </w:tblPr>
      <w:tr>
        <w:trPr>
          <w:trHeight w:val="138"/>
        </w:trPr>
        <w:tc>
          <w:tcPr>
            <w:tcW w:w="6000" w:type="dxa"/>
            <w:vAlign w:val="bottom"/>
            <w:gridSpan w:val="3"/>
          </w:tcPr>
          <w:p>
            <w:pPr>
              <w:spacing w:after="0"/>
              <w:rPr>
                <w:sz w:val="20"/>
                <w:szCs w:val="20"/>
                <w:color w:val="auto"/>
              </w:rPr>
            </w:pPr>
            <w:r>
              <w:rPr>
                <w:rFonts w:ascii="Arial" w:cs="Arial" w:eastAsia="Arial" w:hAnsi="Arial"/>
                <w:sz w:val="12"/>
                <w:szCs w:val="12"/>
                <w:color w:val="auto"/>
              </w:rPr>
              <w:t>Disaggregation of Revenue</w:t>
            </w:r>
          </w:p>
        </w:tc>
        <w:tc>
          <w:tcPr>
            <w:tcW w:w="3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20"/>
        </w:trPr>
        <w:tc>
          <w:tcPr>
            <w:tcW w:w="1300" w:type="dxa"/>
            <w:vAlign w:val="bottom"/>
            <w:shd w:val="clear" w:color="auto" w:fill="000000"/>
          </w:tcPr>
          <w:p>
            <w:pPr>
              <w:spacing w:after="0" w:line="20" w:lineRule="exact"/>
              <w:rPr>
                <w:sz w:val="1"/>
                <w:szCs w:val="1"/>
                <w:color w:val="auto"/>
              </w:rPr>
            </w:pPr>
          </w:p>
        </w:tc>
        <w:tc>
          <w:tcPr>
            <w:tcW w:w="470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95"/>
        </w:trPr>
        <w:tc>
          <w:tcPr>
            <w:tcW w:w="6000" w:type="dxa"/>
            <w:vAlign w:val="bottom"/>
            <w:gridSpan w:val="3"/>
          </w:tcPr>
          <w:p>
            <w:pPr>
              <w:spacing w:after="0"/>
              <w:rPr>
                <w:sz w:val="20"/>
                <w:szCs w:val="20"/>
                <w:color w:val="auto"/>
              </w:rPr>
            </w:pPr>
            <w:r>
              <w:rPr>
                <w:rFonts w:ascii="Arial" w:cs="Arial" w:eastAsia="Arial" w:hAnsi="Arial"/>
                <w:sz w:val="12"/>
                <w:szCs w:val="12"/>
                <w:color w:val="auto"/>
              </w:rPr>
              <w:t>The following table presents our revenues disaggregated by revenue stream.</w:t>
            </w: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97"/>
        </w:trPr>
        <w:tc>
          <w:tcPr>
            <w:tcW w:w="130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20"/>
              <w:spacing w:after="0"/>
              <w:rPr>
                <w:sz w:val="20"/>
                <w:szCs w:val="20"/>
                <w:color w:val="auto"/>
              </w:rPr>
            </w:pPr>
            <w:r>
              <w:rPr>
                <w:rFonts w:ascii="Arial" w:cs="Arial" w:eastAsia="Arial" w:hAnsi="Arial"/>
                <w:sz w:val="12"/>
                <w:szCs w:val="12"/>
                <w:b w:val="1"/>
                <w:bCs w:val="1"/>
                <w:color w:val="auto"/>
              </w:rPr>
              <w:t>Year Ended December 31,</w:t>
            </w:r>
          </w:p>
        </w:tc>
        <w:tc>
          <w:tcPr>
            <w:tcW w:w="3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151"/>
        </w:trPr>
        <w:tc>
          <w:tcPr>
            <w:tcW w:w="5820" w:type="dxa"/>
            <w:vAlign w:val="bottom"/>
            <w:tcBorders>
              <w:bottom w:val="single" w:sz="8" w:color="auto"/>
            </w:tcBorders>
            <w:gridSpan w:val="2"/>
          </w:tcPr>
          <w:p>
            <w:pPr>
              <w:spacing w:after="0"/>
              <w:rPr>
                <w:sz w:val="20"/>
                <w:szCs w:val="20"/>
                <w:color w:val="auto"/>
              </w:rPr>
            </w:pPr>
            <w:r>
              <w:rPr>
                <w:rFonts w:ascii="Arial" w:cs="Arial" w:eastAsia="Arial" w:hAnsi="Arial"/>
                <w:sz w:val="12"/>
                <w:szCs w:val="12"/>
                <w:color w:val="auto"/>
              </w:rPr>
              <w:t>(Thousands)</w:t>
            </w:r>
          </w:p>
        </w:tc>
        <w:tc>
          <w:tcPr>
            <w:tcW w:w="18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20"/>
              <w:spacing w:after="0"/>
              <w:rPr>
                <w:sz w:val="20"/>
                <w:szCs w:val="20"/>
                <w:color w:val="auto"/>
              </w:rPr>
            </w:pPr>
            <w:r>
              <w:rPr>
                <w:rFonts w:ascii="Arial" w:cs="Arial" w:eastAsia="Arial" w:hAnsi="Arial"/>
                <w:sz w:val="12"/>
                <w:szCs w:val="12"/>
                <w:b w:val="1"/>
                <w:bCs w:val="1"/>
                <w:color w:val="auto"/>
              </w:rPr>
              <w:t>2018</w:t>
            </w:r>
          </w:p>
        </w:tc>
        <w:tc>
          <w:tcPr>
            <w:tcW w:w="300" w:type="dxa"/>
            <w:vAlign w:val="bottom"/>
            <w:tcBorders>
              <w:bottom w:val="single" w:sz="8" w:color="CFF0FC"/>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tcPr>
          <w:p>
            <w:pPr>
              <w:jc w:val="right"/>
              <w:ind w:right="560"/>
              <w:spacing w:after="0"/>
              <w:rPr>
                <w:sz w:val="20"/>
                <w:szCs w:val="20"/>
                <w:color w:val="auto"/>
              </w:rPr>
            </w:pPr>
            <w:r>
              <w:rPr>
                <w:rFonts w:ascii="Arial" w:cs="Arial" w:eastAsia="Arial" w:hAnsi="Arial"/>
                <w:sz w:val="12"/>
                <w:szCs w:val="12"/>
                <w:b w:val="1"/>
                <w:bCs w:val="1"/>
                <w:color w:val="auto"/>
              </w:rPr>
              <w:t>2017</w:t>
            </w:r>
            <w:r>
              <w:rPr>
                <w:rFonts w:ascii="Arial" w:cs="Arial" w:eastAsia="Arial" w:hAnsi="Arial"/>
                <w:sz w:val="10"/>
                <w:szCs w:val="10"/>
                <w:b w:val="1"/>
                <w:bCs w:val="1"/>
                <w:color w:val="auto"/>
              </w:rPr>
              <w:t>(1)</w:t>
            </w:r>
          </w:p>
        </w:tc>
        <w:tc>
          <w:tcPr>
            <w:tcW w:w="30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right"/>
              <w:ind w:right="560"/>
              <w:spacing w:after="0"/>
              <w:rPr>
                <w:sz w:val="20"/>
                <w:szCs w:val="20"/>
                <w:color w:val="auto"/>
              </w:rPr>
            </w:pPr>
            <w:r>
              <w:rPr>
                <w:rFonts w:ascii="Arial" w:cs="Arial" w:eastAsia="Arial" w:hAnsi="Arial"/>
                <w:sz w:val="12"/>
                <w:szCs w:val="12"/>
                <w:b w:val="1"/>
                <w:bCs w:val="1"/>
                <w:color w:val="auto"/>
              </w:rPr>
              <w:t>2016</w:t>
            </w:r>
            <w:r>
              <w:rPr>
                <w:rFonts w:ascii="Arial" w:cs="Arial" w:eastAsia="Arial" w:hAnsi="Arial"/>
                <w:sz w:val="10"/>
                <w:szCs w:val="10"/>
                <w:b w:val="1"/>
                <w:bCs w:val="1"/>
                <w:color w:val="auto"/>
              </w:rPr>
              <w:t>(1)</w:t>
            </w:r>
          </w:p>
        </w:tc>
        <w:tc>
          <w:tcPr>
            <w:tcW w:w="120" w:type="dxa"/>
            <w:vAlign w:val="bottom"/>
            <w:tcBorders>
              <w:bottom w:val="single" w:sz="8" w:color="CFF0FC"/>
            </w:tcBorders>
          </w:tcPr>
          <w:p>
            <w:pPr>
              <w:spacing w:after="0"/>
              <w:rPr>
                <w:sz w:val="13"/>
                <w:szCs w:val="13"/>
                <w:color w:val="auto"/>
              </w:rPr>
            </w:pPr>
          </w:p>
        </w:tc>
      </w:tr>
      <w:tr>
        <w:trPr>
          <w:trHeight w:val="142"/>
        </w:trPr>
        <w:tc>
          <w:tcPr>
            <w:tcW w:w="6000" w:type="dxa"/>
            <w:vAlign w:val="bottom"/>
            <w:gridSpan w:val="3"/>
            <w:shd w:val="clear" w:color="auto" w:fill="CFF0FC"/>
          </w:tcPr>
          <w:p>
            <w:pPr>
              <w:spacing w:after="0"/>
              <w:rPr>
                <w:sz w:val="20"/>
                <w:szCs w:val="20"/>
                <w:color w:val="auto"/>
              </w:rPr>
            </w:pPr>
            <w:r>
              <w:rPr>
                <w:rFonts w:ascii="Arial" w:cs="Arial" w:eastAsia="Arial" w:hAnsi="Arial"/>
                <w:sz w:val="12"/>
                <w:szCs w:val="12"/>
                <w:i w:val="1"/>
                <w:iCs w:val="1"/>
                <w:color w:val="auto"/>
              </w:rPr>
              <w:t>Revenue disaggregated by revenue stream</w:t>
            </w:r>
          </w:p>
        </w:tc>
        <w:tc>
          <w:tcPr>
            <w:tcW w:w="360" w:type="dxa"/>
            <w:vAlign w:val="bottom"/>
            <w:shd w:val="clear" w:color="auto" w:fill="CFF0FC"/>
          </w:tcPr>
          <w:p>
            <w:pPr>
              <w:spacing w:after="0"/>
              <w:rPr>
                <w:sz w:val="12"/>
                <w:szCs w:val="12"/>
                <w:color w:val="auto"/>
              </w:rPr>
            </w:pPr>
          </w:p>
        </w:tc>
        <w:tc>
          <w:tcPr>
            <w:tcW w:w="122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48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2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r>
      <w:tr>
        <w:trPr>
          <w:trHeight w:val="153"/>
        </w:trPr>
        <w:tc>
          <w:tcPr>
            <w:tcW w:w="6000" w:type="dxa"/>
            <w:vAlign w:val="bottom"/>
            <w:gridSpan w:val="3"/>
          </w:tcPr>
          <w:p>
            <w:pPr>
              <w:spacing w:after="0"/>
              <w:rPr>
                <w:sz w:val="20"/>
                <w:szCs w:val="20"/>
                <w:color w:val="auto"/>
              </w:rPr>
            </w:pPr>
            <w:r>
              <w:rPr>
                <w:rFonts w:ascii="Arial" w:cs="Arial" w:eastAsia="Arial" w:hAnsi="Arial"/>
                <w:sz w:val="12"/>
                <w:szCs w:val="12"/>
                <w:color w:val="auto"/>
              </w:rPr>
              <w:t>Revenue from contracts with customers</w:t>
            </w:r>
          </w:p>
        </w:tc>
        <w:tc>
          <w:tcPr>
            <w:tcW w:w="3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6000" w:type="dxa"/>
            <w:vAlign w:val="bottom"/>
            <w:gridSpan w:val="3"/>
            <w:shd w:val="clear" w:color="auto" w:fill="CFF0FC"/>
          </w:tcPr>
          <w:p>
            <w:pPr>
              <w:ind w:left="80"/>
              <w:spacing w:after="0"/>
              <w:rPr>
                <w:sz w:val="20"/>
                <w:szCs w:val="20"/>
                <w:color w:val="auto"/>
              </w:rPr>
            </w:pPr>
            <w:r>
              <w:rPr>
                <w:rFonts w:ascii="Arial" w:cs="Arial" w:eastAsia="Arial" w:hAnsi="Arial"/>
                <w:sz w:val="12"/>
                <w:szCs w:val="12"/>
                <w:color w:val="auto"/>
              </w:rPr>
              <w:t>Fiber Infrastructure</w:t>
            </w:r>
          </w:p>
        </w:tc>
        <w:tc>
          <w:tcPr>
            <w:tcW w:w="360" w:type="dxa"/>
            <w:vAlign w:val="bottom"/>
            <w:shd w:val="clear" w:color="auto" w:fill="CFF0FC"/>
          </w:tcPr>
          <w:p>
            <w:pPr>
              <w:spacing w:after="0"/>
              <w:rPr>
                <w:sz w:val="13"/>
                <w:szCs w:val="13"/>
                <w:color w:val="auto"/>
              </w:rPr>
            </w:pPr>
          </w:p>
        </w:tc>
        <w:tc>
          <w:tcPr>
            <w:tcW w:w="12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4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6000" w:type="dxa"/>
            <w:vAlign w:val="bottom"/>
            <w:gridSpan w:val="3"/>
          </w:tcPr>
          <w:p>
            <w:pPr>
              <w:ind w:left="240"/>
              <w:spacing w:after="0"/>
              <w:rPr>
                <w:sz w:val="20"/>
                <w:szCs w:val="20"/>
                <w:color w:val="auto"/>
              </w:rPr>
            </w:pPr>
            <w:r>
              <w:rPr>
                <w:rFonts w:ascii="Arial" w:cs="Arial" w:eastAsia="Arial" w:hAnsi="Arial"/>
                <w:sz w:val="12"/>
                <w:szCs w:val="12"/>
                <w:color w:val="auto"/>
              </w:rPr>
              <w:t>Lit backhaul</w:t>
            </w:r>
          </w:p>
        </w:tc>
        <w:tc>
          <w:tcPr>
            <w:tcW w:w="360" w:type="dxa"/>
            <w:vAlign w:val="bottom"/>
          </w:tcPr>
          <w:p>
            <w:pPr>
              <w:jc w:val="right"/>
              <w:ind w:right="250"/>
              <w:spacing w:after="0"/>
              <w:rPr>
                <w:sz w:val="20"/>
                <w:szCs w:val="20"/>
                <w:color w:val="auto"/>
              </w:rPr>
            </w:pPr>
            <w:r>
              <w:rPr>
                <w:rFonts w:ascii="Arial" w:cs="Arial" w:eastAsia="Arial" w:hAnsi="Arial"/>
                <w:sz w:val="10"/>
                <w:szCs w:val="10"/>
                <w:color w:val="auto"/>
                <w:w w:val="71"/>
              </w:rPr>
              <w:t>$</w:t>
            </w:r>
          </w:p>
        </w:tc>
        <w:tc>
          <w:tcPr>
            <w:tcW w:w="1220" w:type="dxa"/>
            <w:vAlign w:val="bottom"/>
          </w:tcPr>
          <w:p>
            <w:pPr>
              <w:jc w:val="right"/>
              <w:spacing w:after="0"/>
              <w:rPr>
                <w:sz w:val="20"/>
                <w:szCs w:val="20"/>
                <w:color w:val="auto"/>
              </w:rPr>
            </w:pPr>
            <w:r>
              <w:rPr>
                <w:rFonts w:ascii="Arial" w:cs="Arial" w:eastAsia="Arial" w:hAnsi="Arial"/>
                <w:sz w:val="12"/>
                <w:szCs w:val="12"/>
                <w:color w:val="auto"/>
              </w:rPr>
              <w:t>132,361</w:t>
            </w:r>
          </w:p>
        </w:tc>
        <w:tc>
          <w:tcPr>
            <w:tcW w:w="30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480" w:type="dxa"/>
            <w:vAlign w:val="bottom"/>
          </w:tcPr>
          <w:p>
            <w:pPr>
              <w:jc w:val="right"/>
              <w:spacing w:after="0"/>
              <w:rPr>
                <w:sz w:val="20"/>
                <w:szCs w:val="20"/>
                <w:color w:val="auto"/>
              </w:rPr>
            </w:pPr>
            <w:r>
              <w:rPr>
                <w:rFonts w:ascii="Arial" w:cs="Arial" w:eastAsia="Arial" w:hAnsi="Arial"/>
                <w:sz w:val="12"/>
                <w:szCs w:val="12"/>
                <w:color w:val="auto"/>
              </w:rPr>
              <w:t>117,574</w:t>
            </w:r>
          </w:p>
        </w:tc>
        <w:tc>
          <w:tcPr>
            <w:tcW w:w="300" w:type="dxa"/>
            <w:vAlign w:val="bottom"/>
          </w:tcPr>
          <w:p>
            <w:pPr>
              <w:spacing w:after="0"/>
              <w:rPr>
                <w:sz w:val="13"/>
                <w:szCs w:val="13"/>
                <w:color w:val="auto"/>
              </w:rPr>
            </w:pP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260" w:type="dxa"/>
            <w:vAlign w:val="bottom"/>
          </w:tcPr>
          <w:p>
            <w:pPr>
              <w:jc w:val="right"/>
              <w:spacing w:after="0"/>
              <w:rPr>
                <w:sz w:val="20"/>
                <w:szCs w:val="20"/>
                <w:color w:val="auto"/>
              </w:rPr>
            </w:pPr>
            <w:r>
              <w:rPr>
                <w:rFonts w:ascii="Arial" w:cs="Arial" w:eastAsia="Arial" w:hAnsi="Arial"/>
                <w:sz w:val="12"/>
                <w:szCs w:val="12"/>
                <w:color w:val="auto"/>
              </w:rPr>
              <w:t>54,739</w:t>
            </w:r>
          </w:p>
        </w:tc>
        <w:tc>
          <w:tcPr>
            <w:tcW w:w="120" w:type="dxa"/>
            <w:vAlign w:val="bottom"/>
          </w:tcPr>
          <w:p>
            <w:pPr>
              <w:spacing w:after="0"/>
              <w:rPr>
                <w:sz w:val="13"/>
                <w:szCs w:val="13"/>
                <w:color w:val="auto"/>
              </w:rPr>
            </w:pPr>
          </w:p>
        </w:tc>
      </w:tr>
      <w:tr>
        <w:trPr>
          <w:trHeight w:val="153"/>
        </w:trPr>
        <w:tc>
          <w:tcPr>
            <w:tcW w:w="6000" w:type="dxa"/>
            <w:vAlign w:val="bottom"/>
            <w:gridSpan w:val="3"/>
            <w:shd w:val="clear" w:color="auto" w:fill="CFF0FC"/>
          </w:tcPr>
          <w:p>
            <w:pPr>
              <w:ind w:left="240"/>
              <w:spacing w:after="0"/>
              <w:rPr>
                <w:sz w:val="20"/>
                <w:szCs w:val="20"/>
                <w:color w:val="auto"/>
              </w:rPr>
            </w:pPr>
            <w:r>
              <w:rPr>
                <w:rFonts w:ascii="Arial" w:cs="Arial" w:eastAsia="Arial" w:hAnsi="Arial"/>
                <w:sz w:val="12"/>
                <w:szCs w:val="12"/>
                <w:color w:val="auto"/>
              </w:rPr>
              <w:t>Enterprise and wholesale</w:t>
            </w:r>
          </w:p>
        </w:tc>
        <w:tc>
          <w:tcPr>
            <w:tcW w:w="360" w:type="dxa"/>
            <w:vAlign w:val="bottom"/>
            <w:shd w:val="clear" w:color="auto" w:fill="CFF0FC"/>
          </w:tcPr>
          <w:p>
            <w:pPr>
              <w:spacing w:after="0"/>
              <w:rPr>
                <w:sz w:val="13"/>
                <w:szCs w:val="13"/>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63,519</w:t>
            </w:r>
          </w:p>
        </w:tc>
        <w:tc>
          <w:tcPr>
            <w:tcW w:w="3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4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36,542</w:t>
            </w:r>
          </w:p>
        </w:tc>
        <w:tc>
          <w:tcPr>
            <w:tcW w:w="30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7,140</w:t>
            </w:r>
          </w:p>
        </w:tc>
        <w:tc>
          <w:tcPr>
            <w:tcW w:w="120" w:type="dxa"/>
            <w:vAlign w:val="bottom"/>
            <w:shd w:val="clear" w:color="auto" w:fill="CFF0FC"/>
          </w:tcPr>
          <w:p>
            <w:pPr>
              <w:spacing w:after="0"/>
              <w:rPr>
                <w:sz w:val="13"/>
                <w:szCs w:val="13"/>
                <w:color w:val="auto"/>
              </w:rPr>
            </w:pPr>
          </w:p>
        </w:tc>
      </w:tr>
      <w:tr>
        <w:trPr>
          <w:trHeight w:val="153"/>
        </w:trPr>
        <w:tc>
          <w:tcPr>
            <w:tcW w:w="6000" w:type="dxa"/>
            <w:vAlign w:val="bottom"/>
            <w:gridSpan w:val="3"/>
          </w:tcPr>
          <w:p>
            <w:pPr>
              <w:ind w:left="240"/>
              <w:spacing w:after="0"/>
              <w:rPr>
                <w:sz w:val="20"/>
                <w:szCs w:val="20"/>
                <w:color w:val="auto"/>
              </w:rPr>
            </w:pPr>
            <w:r>
              <w:rPr>
                <w:rFonts w:ascii="Arial" w:cs="Arial" w:eastAsia="Arial" w:hAnsi="Arial"/>
                <w:sz w:val="12"/>
                <w:szCs w:val="12"/>
                <w:color w:val="auto"/>
              </w:rPr>
              <w:t>E-Rate and government</w:t>
            </w:r>
          </w:p>
        </w:tc>
        <w:tc>
          <w:tcPr>
            <w:tcW w:w="360" w:type="dxa"/>
            <w:vAlign w:val="bottom"/>
          </w:tcPr>
          <w:p>
            <w:pPr>
              <w:spacing w:after="0"/>
              <w:rPr>
                <w:sz w:val="13"/>
                <w:szCs w:val="13"/>
                <w:color w:val="auto"/>
              </w:rPr>
            </w:pPr>
          </w:p>
        </w:tc>
        <w:tc>
          <w:tcPr>
            <w:tcW w:w="1220" w:type="dxa"/>
            <w:vAlign w:val="bottom"/>
          </w:tcPr>
          <w:p>
            <w:pPr>
              <w:jc w:val="right"/>
              <w:spacing w:after="0"/>
              <w:rPr>
                <w:sz w:val="20"/>
                <w:szCs w:val="20"/>
                <w:color w:val="auto"/>
              </w:rPr>
            </w:pPr>
            <w:r>
              <w:rPr>
                <w:rFonts w:ascii="Arial" w:cs="Arial" w:eastAsia="Arial" w:hAnsi="Arial"/>
                <w:sz w:val="12"/>
                <w:szCs w:val="12"/>
                <w:color w:val="auto"/>
              </w:rPr>
              <w:t>74,752</w:t>
            </w: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tcPr>
          <w:p>
            <w:pPr>
              <w:jc w:val="right"/>
              <w:spacing w:after="0"/>
              <w:rPr>
                <w:sz w:val="20"/>
                <w:szCs w:val="20"/>
                <w:color w:val="auto"/>
              </w:rPr>
            </w:pPr>
            <w:r>
              <w:rPr>
                <w:rFonts w:ascii="Arial" w:cs="Arial" w:eastAsia="Arial" w:hAnsi="Arial"/>
                <w:sz w:val="12"/>
                <w:szCs w:val="12"/>
                <w:color w:val="auto"/>
              </w:rPr>
              <w:t>43,021</w:t>
            </w: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60" w:type="dxa"/>
            <w:vAlign w:val="bottom"/>
          </w:tcPr>
          <w:p>
            <w:pPr>
              <w:jc w:val="right"/>
              <w:spacing w:after="0"/>
              <w:rPr>
                <w:sz w:val="20"/>
                <w:szCs w:val="20"/>
                <w:color w:val="auto"/>
              </w:rPr>
            </w:pPr>
            <w:r>
              <w:rPr>
                <w:rFonts w:ascii="Arial" w:cs="Arial" w:eastAsia="Arial" w:hAnsi="Arial"/>
                <w:sz w:val="12"/>
                <w:szCs w:val="12"/>
                <w:color w:val="auto"/>
              </w:rPr>
              <w:t>8,062</w:t>
            </w:r>
          </w:p>
        </w:tc>
        <w:tc>
          <w:tcPr>
            <w:tcW w:w="120" w:type="dxa"/>
            <w:vAlign w:val="bottom"/>
          </w:tcPr>
          <w:p>
            <w:pPr>
              <w:spacing w:after="0"/>
              <w:rPr>
                <w:sz w:val="13"/>
                <w:szCs w:val="13"/>
                <w:color w:val="auto"/>
              </w:rPr>
            </w:pPr>
          </w:p>
        </w:tc>
      </w:tr>
      <w:tr>
        <w:trPr>
          <w:trHeight w:val="153"/>
        </w:trPr>
        <w:tc>
          <w:tcPr>
            <w:tcW w:w="6000" w:type="dxa"/>
            <w:vAlign w:val="bottom"/>
            <w:gridSpan w:val="3"/>
            <w:shd w:val="clear" w:color="auto" w:fill="CFF0FC"/>
          </w:tcPr>
          <w:p>
            <w:pPr>
              <w:ind w:left="240"/>
              <w:spacing w:after="0"/>
              <w:rPr>
                <w:sz w:val="20"/>
                <w:szCs w:val="20"/>
                <w:color w:val="auto"/>
              </w:rPr>
            </w:pPr>
            <w:r>
              <w:rPr>
                <w:rFonts w:ascii="Arial" w:cs="Arial" w:eastAsia="Arial" w:hAnsi="Arial"/>
                <w:sz w:val="12"/>
                <w:szCs w:val="12"/>
                <w:color w:val="auto"/>
              </w:rPr>
              <w:t>Other</w:t>
            </w:r>
          </w:p>
        </w:tc>
        <w:tc>
          <w:tcPr>
            <w:tcW w:w="360" w:type="dxa"/>
            <w:vAlign w:val="bottom"/>
            <w:tcBorders>
              <w:bottom w:val="single" w:sz="8" w:color="auto"/>
            </w:tcBorders>
            <w:shd w:val="clear" w:color="auto" w:fill="CFF0FC"/>
          </w:tcPr>
          <w:p>
            <w:pPr>
              <w:spacing w:after="0"/>
              <w:rPr>
                <w:sz w:val="13"/>
                <w:szCs w:val="13"/>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4,492</w:t>
            </w:r>
          </w:p>
        </w:tc>
        <w:tc>
          <w:tcPr>
            <w:tcW w:w="300" w:type="dxa"/>
            <w:vAlign w:val="bottom"/>
            <w:shd w:val="clear" w:color="auto" w:fill="CFF0FC"/>
          </w:tcPr>
          <w:p>
            <w:pPr>
              <w:spacing w:after="0"/>
              <w:rPr>
                <w:sz w:val="13"/>
                <w:szCs w:val="13"/>
                <w:color w:val="auto"/>
              </w:rPr>
            </w:pPr>
          </w:p>
        </w:tc>
        <w:tc>
          <w:tcPr>
            <w:tcW w:w="100" w:type="dxa"/>
            <w:vAlign w:val="bottom"/>
            <w:tcBorders>
              <w:bottom w:val="single" w:sz="8" w:color="auto"/>
            </w:tcBorders>
            <w:shd w:val="clear" w:color="auto" w:fill="CFF0FC"/>
          </w:tcPr>
          <w:p>
            <w:pPr>
              <w:spacing w:after="0"/>
              <w:rPr>
                <w:sz w:val="13"/>
                <w:szCs w:val="13"/>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454</w:t>
            </w:r>
          </w:p>
        </w:tc>
        <w:tc>
          <w:tcPr>
            <w:tcW w:w="300" w:type="dxa"/>
            <w:vAlign w:val="bottom"/>
            <w:shd w:val="clear" w:color="auto" w:fill="CFF0FC"/>
          </w:tcPr>
          <w:p>
            <w:pPr>
              <w:spacing w:after="0"/>
              <w:rPr>
                <w:sz w:val="13"/>
                <w:szCs w:val="13"/>
                <w:color w:val="auto"/>
              </w:rPr>
            </w:pPr>
          </w:p>
        </w:tc>
        <w:tc>
          <w:tcPr>
            <w:tcW w:w="340" w:type="dxa"/>
            <w:vAlign w:val="bottom"/>
            <w:tcBorders>
              <w:bottom w:val="single" w:sz="8" w:color="auto"/>
            </w:tcBorders>
            <w:shd w:val="clear" w:color="auto" w:fill="CFF0FC"/>
          </w:tcPr>
          <w:p>
            <w:pPr>
              <w:spacing w:after="0"/>
              <w:rPr>
                <w:sz w:val="13"/>
                <w:szCs w:val="13"/>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252</w:t>
            </w:r>
          </w:p>
        </w:tc>
        <w:tc>
          <w:tcPr>
            <w:tcW w:w="120" w:type="dxa"/>
            <w:vAlign w:val="bottom"/>
            <w:shd w:val="clear" w:color="auto" w:fill="CFF0FC"/>
          </w:tcPr>
          <w:p>
            <w:pPr>
              <w:spacing w:after="0"/>
              <w:rPr>
                <w:sz w:val="13"/>
                <w:szCs w:val="13"/>
                <w:color w:val="auto"/>
              </w:rPr>
            </w:pPr>
          </w:p>
        </w:tc>
      </w:tr>
      <w:tr>
        <w:trPr>
          <w:trHeight w:val="142"/>
        </w:trPr>
        <w:tc>
          <w:tcPr>
            <w:tcW w:w="6000" w:type="dxa"/>
            <w:vAlign w:val="bottom"/>
            <w:gridSpan w:val="3"/>
          </w:tcPr>
          <w:p>
            <w:pPr>
              <w:ind w:left="80"/>
              <w:spacing w:after="0"/>
              <w:rPr>
                <w:sz w:val="20"/>
                <w:szCs w:val="20"/>
                <w:color w:val="auto"/>
              </w:rPr>
            </w:pPr>
            <w:r>
              <w:rPr>
                <w:rFonts w:ascii="Arial" w:cs="Arial" w:eastAsia="Arial" w:hAnsi="Arial"/>
                <w:sz w:val="12"/>
                <w:szCs w:val="12"/>
                <w:color w:val="auto"/>
              </w:rPr>
              <w:t>Fiber Infrastructure</w:t>
            </w:r>
          </w:p>
        </w:tc>
        <w:tc>
          <w:tcPr>
            <w:tcW w:w="360" w:type="dxa"/>
            <w:vAlign w:val="bottom"/>
          </w:tcPr>
          <w:p>
            <w:pPr>
              <w:jc w:val="right"/>
              <w:ind w:right="250"/>
              <w:spacing w:after="0"/>
              <w:rPr>
                <w:sz w:val="20"/>
                <w:szCs w:val="20"/>
                <w:color w:val="auto"/>
              </w:rPr>
            </w:pPr>
            <w:r>
              <w:rPr>
                <w:rFonts w:ascii="Arial" w:cs="Arial" w:eastAsia="Arial" w:hAnsi="Arial"/>
                <w:sz w:val="10"/>
                <w:szCs w:val="10"/>
                <w:color w:val="auto"/>
                <w:w w:val="71"/>
              </w:rPr>
              <w:t>$</w:t>
            </w:r>
          </w:p>
        </w:tc>
        <w:tc>
          <w:tcPr>
            <w:tcW w:w="1220" w:type="dxa"/>
            <w:vAlign w:val="bottom"/>
          </w:tcPr>
          <w:p>
            <w:pPr>
              <w:jc w:val="right"/>
              <w:spacing w:after="0"/>
              <w:rPr>
                <w:sz w:val="20"/>
                <w:szCs w:val="20"/>
                <w:color w:val="auto"/>
              </w:rPr>
            </w:pPr>
            <w:r>
              <w:rPr>
                <w:rFonts w:ascii="Arial" w:cs="Arial" w:eastAsia="Arial" w:hAnsi="Arial"/>
                <w:sz w:val="12"/>
                <w:szCs w:val="12"/>
                <w:color w:val="auto"/>
              </w:rPr>
              <w:t>275,124</w:t>
            </w:r>
          </w:p>
        </w:tc>
        <w:tc>
          <w:tcPr>
            <w:tcW w:w="30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480" w:type="dxa"/>
            <w:vAlign w:val="bottom"/>
          </w:tcPr>
          <w:p>
            <w:pPr>
              <w:jc w:val="right"/>
              <w:spacing w:after="0"/>
              <w:rPr>
                <w:sz w:val="20"/>
                <w:szCs w:val="20"/>
                <w:color w:val="auto"/>
              </w:rPr>
            </w:pPr>
            <w:r>
              <w:rPr>
                <w:rFonts w:ascii="Arial" w:cs="Arial" w:eastAsia="Arial" w:hAnsi="Arial"/>
                <w:sz w:val="12"/>
                <w:szCs w:val="12"/>
                <w:color w:val="auto"/>
              </w:rPr>
              <w:t>197,591</w:t>
            </w:r>
          </w:p>
        </w:tc>
        <w:tc>
          <w:tcPr>
            <w:tcW w:w="300" w:type="dxa"/>
            <w:vAlign w:val="bottom"/>
          </w:tcPr>
          <w:p>
            <w:pPr>
              <w:spacing w:after="0"/>
              <w:rPr>
                <w:sz w:val="12"/>
                <w:szCs w:val="12"/>
                <w:color w:val="auto"/>
              </w:rPr>
            </w:pP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260" w:type="dxa"/>
            <w:vAlign w:val="bottom"/>
          </w:tcPr>
          <w:p>
            <w:pPr>
              <w:jc w:val="right"/>
              <w:spacing w:after="0"/>
              <w:rPr>
                <w:sz w:val="20"/>
                <w:szCs w:val="20"/>
                <w:color w:val="auto"/>
              </w:rPr>
            </w:pPr>
            <w:r>
              <w:rPr>
                <w:rFonts w:ascii="Arial" w:cs="Arial" w:eastAsia="Arial" w:hAnsi="Arial"/>
                <w:sz w:val="12"/>
                <w:szCs w:val="12"/>
                <w:color w:val="auto"/>
              </w:rPr>
              <w:t>70,193</w:t>
            </w:r>
          </w:p>
        </w:tc>
        <w:tc>
          <w:tcPr>
            <w:tcW w:w="120" w:type="dxa"/>
            <w:vAlign w:val="bottom"/>
          </w:tcPr>
          <w:p>
            <w:pPr>
              <w:spacing w:after="0"/>
              <w:rPr>
                <w:sz w:val="12"/>
                <w:szCs w:val="12"/>
                <w:color w:val="auto"/>
              </w:rPr>
            </w:pPr>
          </w:p>
        </w:tc>
      </w:tr>
      <w:tr>
        <w:trPr>
          <w:trHeight w:val="153"/>
        </w:trPr>
        <w:tc>
          <w:tcPr>
            <w:tcW w:w="6000" w:type="dxa"/>
            <w:vAlign w:val="bottom"/>
            <w:gridSpan w:val="3"/>
            <w:shd w:val="clear" w:color="auto" w:fill="CFF0FC"/>
          </w:tcPr>
          <w:p>
            <w:pPr>
              <w:ind w:left="80"/>
              <w:spacing w:after="0"/>
              <w:rPr>
                <w:sz w:val="20"/>
                <w:szCs w:val="20"/>
                <w:color w:val="auto"/>
              </w:rPr>
            </w:pPr>
            <w:r>
              <w:rPr>
                <w:rFonts w:ascii="Arial" w:cs="Arial" w:eastAsia="Arial" w:hAnsi="Arial"/>
                <w:sz w:val="12"/>
                <w:szCs w:val="12"/>
                <w:color w:val="auto"/>
              </w:rPr>
              <w:t>Consumer CLEC</w:t>
            </w:r>
          </w:p>
        </w:tc>
        <w:tc>
          <w:tcPr>
            <w:tcW w:w="360" w:type="dxa"/>
            <w:vAlign w:val="bottom"/>
            <w:tcBorders>
              <w:bottom w:val="single" w:sz="8" w:color="auto"/>
            </w:tcBorders>
            <w:shd w:val="clear" w:color="auto" w:fill="CFF0FC"/>
          </w:tcPr>
          <w:p>
            <w:pPr>
              <w:spacing w:after="0"/>
              <w:rPr>
                <w:sz w:val="13"/>
                <w:szCs w:val="13"/>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13,931</w:t>
            </w:r>
          </w:p>
        </w:tc>
        <w:tc>
          <w:tcPr>
            <w:tcW w:w="300" w:type="dxa"/>
            <w:vAlign w:val="bottom"/>
            <w:shd w:val="clear" w:color="auto" w:fill="CFF0FC"/>
          </w:tcPr>
          <w:p>
            <w:pPr>
              <w:spacing w:after="0"/>
              <w:rPr>
                <w:sz w:val="13"/>
                <w:szCs w:val="13"/>
                <w:color w:val="auto"/>
              </w:rPr>
            </w:pPr>
          </w:p>
        </w:tc>
        <w:tc>
          <w:tcPr>
            <w:tcW w:w="100" w:type="dxa"/>
            <w:vAlign w:val="bottom"/>
            <w:tcBorders>
              <w:bottom w:val="single" w:sz="8" w:color="auto"/>
            </w:tcBorders>
            <w:shd w:val="clear" w:color="auto" w:fill="CFF0FC"/>
          </w:tcPr>
          <w:p>
            <w:pPr>
              <w:spacing w:after="0"/>
              <w:rPr>
                <w:sz w:val="13"/>
                <w:szCs w:val="13"/>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18,087</w:t>
            </w:r>
          </w:p>
        </w:tc>
        <w:tc>
          <w:tcPr>
            <w:tcW w:w="300" w:type="dxa"/>
            <w:vAlign w:val="bottom"/>
            <w:shd w:val="clear" w:color="auto" w:fill="CFF0FC"/>
          </w:tcPr>
          <w:p>
            <w:pPr>
              <w:spacing w:after="0"/>
              <w:rPr>
                <w:sz w:val="13"/>
                <w:szCs w:val="13"/>
                <w:color w:val="auto"/>
              </w:rPr>
            </w:pPr>
          </w:p>
        </w:tc>
        <w:tc>
          <w:tcPr>
            <w:tcW w:w="340" w:type="dxa"/>
            <w:vAlign w:val="bottom"/>
            <w:tcBorders>
              <w:bottom w:val="single" w:sz="8" w:color="auto"/>
            </w:tcBorders>
            <w:shd w:val="clear" w:color="auto" w:fill="CFF0FC"/>
          </w:tcPr>
          <w:p>
            <w:pPr>
              <w:spacing w:after="0"/>
              <w:rPr>
                <w:sz w:val="13"/>
                <w:szCs w:val="13"/>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22,472</w:t>
            </w:r>
          </w:p>
        </w:tc>
        <w:tc>
          <w:tcPr>
            <w:tcW w:w="120" w:type="dxa"/>
            <w:vAlign w:val="bottom"/>
            <w:shd w:val="clear" w:color="auto" w:fill="CFF0FC"/>
          </w:tcPr>
          <w:p>
            <w:pPr>
              <w:spacing w:after="0"/>
              <w:rPr>
                <w:sz w:val="13"/>
                <w:szCs w:val="13"/>
                <w:color w:val="auto"/>
              </w:rPr>
            </w:pPr>
          </w:p>
        </w:tc>
      </w:tr>
      <w:tr>
        <w:trPr>
          <w:trHeight w:val="142"/>
        </w:trPr>
        <w:tc>
          <w:tcPr>
            <w:tcW w:w="6000" w:type="dxa"/>
            <w:vAlign w:val="bottom"/>
            <w:gridSpan w:val="3"/>
          </w:tcPr>
          <w:p>
            <w:pPr>
              <w:spacing w:after="0"/>
              <w:rPr>
                <w:sz w:val="20"/>
                <w:szCs w:val="20"/>
                <w:color w:val="auto"/>
              </w:rPr>
            </w:pPr>
            <w:r>
              <w:rPr>
                <w:rFonts w:ascii="Arial" w:cs="Arial" w:eastAsia="Arial" w:hAnsi="Arial"/>
                <w:sz w:val="12"/>
                <w:szCs w:val="12"/>
                <w:color w:val="auto"/>
              </w:rPr>
              <w:t>Total revenue from contracts with customers</w:t>
            </w:r>
          </w:p>
        </w:tc>
        <w:tc>
          <w:tcPr>
            <w:tcW w:w="360" w:type="dxa"/>
            <w:vAlign w:val="bottom"/>
          </w:tcPr>
          <w:p>
            <w:pPr>
              <w:spacing w:after="0"/>
              <w:rPr>
                <w:sz w:val="12"/>
                <w:szCs w:val="12"/>
                <w:color w:val="auto"/>
              </w:rPr>
            </w:pPr>
          </w:p>
        </w:tc>
        <w:tc>
          <w:tcPr>
            <w:tcW w:w="1220" w:type="dxa"/>
            <w:vAlign w:val="bottom"/>
          </w:tcPr>
          <w:p>
            <w:pPr>
              <w:jc w:val="right"/>
              <w:spacing w:after="0"/>
              <w:rPr>
                <w:sz w:val="20"/>
                <w:szCs w:val="20"/>
                <w:color w:val="auto"/>
              </w:rPr>
            </w:pPr>
            <w:r>
              <w:rPr>
                <w:rFonts w:ascii="Arial" w:cs="Arial" w:eastAsia="Arial" w:hAnsi="Arial"/>
                <w:sz w:val="12"/>
                <w:szCs w:val="12"/>
                <w:color w:val="auto"/>
              </w:rPr>
              <w:t>289,055</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Pr>
          <w:p>
            <w:pPr>
              <w:jc w:val="right"/>
              <w:spacing w:after="0"/>
              <w:rPr>
                <w:sz w:val="20"/>
                <w:szCs w:val="20"/>
                <w:color w:val="auto"/>
              </w:rPr>
            </w:pPr>
            <w:r>
              <w:rPr>
                <w:rFonts w:ascii="Arial" w:cs="Arial" w:eastAsia="Arial" w:hAnsi="Arial"/>
                <w:sz w:val="12"/>
                <w:szCs w:val="12"/>
                <w:color w:val="auto"/>
              </w:rPr>
              <w:t>215,678</w:t>
            </w: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60" w:type="dxa"/>
            <w:vAlign w:val="bottom"/>
          </w:tcPr>
          <w:p>
            <w:pPr>
              <w:jc w:val="right"/>
              <w:spacing w:after="0"/>
              <w:rPr>
                <w:sz w:val="20"/>
                <w:szCs w:val="20"/>
                <w:color w:val="auto"/>
              </w:rPr>
            </w:pPr>
            <w:r>
              <w:rPr>
                <w:rFonts w:ascii="Arial" w:cs="Arial" w:eastAsia="Arial" w:hAnsi="Arial"/>
                <w:sz w:val="12"/>
                <w:szCs w:val="12"/>
                <w:color w:val="auto"/>
              </w:rPr>
              <w:t>92,665</w:t>
            </w:r>
          </w:p>
        </w:tc>
        <w:tc>
          <w:tcPr>
            <w:tcW w:w="120" w:type="dxa"/>
            <w:vAlign w:val="bottom"/>
          </w:tcPr>
          <w:p>
            <w:pPr>
              <w:spacing w:after="0"/>
              <w:rPr>
                <w:sz w:val="12"/>
                <w:szCs w:val="12"/>
                <w:color w:val="auto"/>
              </w:rPr>
            </w:pPr>
          </w:p>
        </w:tc>
      </w:tr>
      <w:tr>
        <w:trPr>
          <w:trHeight w:val="153"/>
        </w:trPr>
        <w:tc>
          <w:tcPr>
            <w:tcW w:w="6000" w:type="dxa"/>
            <w:vAlign w:val="bottom"/>
            <w:gridSpan w:val="3"/>
            <w:shd w:val="clear" w:color="auto" w:fill="CFF0FC"/>
          </w:tcPr>
          <w:p>
            <w:pPr>
              <w:spacing w:after="0"/>
              <w:rPr>
                <w:sz w:val="20"/>
                <w:szCs w:val="20"/>
                <w:color w:val="auto"/>
              </w:rPr>
            </w:pPr>
            <w:r>
              <w:rPr>
                <w:rFonts w:ascii="Arial" w:cs="Arial" w:eastAsia="Arial" w:hAnsi="Arial"/>
                <w:sz w:val="12"/>
                <w:szCs w:val="12"/>
                <w:color w:val="auto"/>
              </w:rPr>
              <w:t>Revenue accounted for under other applicable guidance</w:t>
            </w:r>
          </w:p>
        </w:tc>
        <w:tc>
          <w:tcPr>
            <w:tcW w:w="360" w:type="dxa"/>
            <w:vAlign w:val="bottom"/>
            <w:tcBorders>
              <w:bottom w:val="single" w:sz="8" w:color="auto"/>
            </w:tcBorders>
            <w:shd w:val="clear" w:color="auto" w:fill="CFF0FC"/>
          </w:tcPr>
          <w:p>
            <w:pPr>
              <w:spacing w:after="0"/>
              <w:rPr>
                <w:sz w:val="13"/>
                <w:szCs w:val="13"/>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728,579</w:t>
            </w:r>
          </w:p>
        </w:tc>
        <w:tc>
          <w:tcPr>
            <w:tcW w:w="300" w:type="dxa"/>
            <w:vAlign w:val="bottom"/>
            <w:shd w:val="clear" w:color="auto" w:fill="CFF0FC"/>
          </w:tcPr>
          <w:p>
            <w:pPr>
              <w:spacing w:after="0"/>
              <w:rPr>
                <w:sz w:val="13"/>
                <w:szCs w:val="13"/>
                <w:color w:val="auto"/>
              </w:rPr>
            </w:pPr>
          </w:p>
        </w:tc>
        <w:tc>
          <w:tcPr>
            <w:tcW w:w="100" w:type="dxa"/>
            <w:vAlign w:val="bottom"/>
            <w:tcBorders>
              <w:bottom w:val="single" w:sz="8" w:color="auto"/>
            </w:tcBorders>
            <w:shd w:val="clear" w:color="auto" w:fill="CFF0FC"/>
          </w:tcPr>
          <w:p>
            <w:pPr>
              <w:spacing w:after="0"/>
              <w:rPr>
                <w:sz w:val="13"/>
                <w:szCs w:val="13"/>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700,354</w:t>
            </w:r>
          </w:p>
        </w:tc>
        <w:tc>
          <w:tcPr>
            <w:tcW w:w="300" w:type="dxa"/>
            <w:vAlign w:val="bottom"/>
            <w:shd w:val="clear" w:color="auto" w:fill="CFF0FC"/>
          </w:tcPr>
          <w:p>
            <w:pPr>
              <w:spacing w:after="0"/>
              <w:rPr>
                <w:sz w:val="13"/>
                <w:szCs w:val="13"/>
                <w:color w:val="auto"/>
              </w:rPr>
            </w:pPr>
          </w:p>
        </w:tc>
        <w:tc>
          <w:tcPr>
            <w:tcW w:w="340" w:type="dxa"/>
            <w:vAlign w:val="bottom"/>
            <w:tcBorders>
              <w:bottom w:val="single" w:sz="8" w:color="auto"/>
            </w:tcBorders>
            <w:shd w:val="clear" w:color="auto" w:fill="CFF0FC"/>
          </w:tcPr>
          <w:p>
            <w:pPr>
              <w:spacing w:after="0"/>
              <w:rPr>
                <w:sz w:val="13"/>
                <w:szCs w:val="13"/>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677,743</w:t>
            </w:r>
          </w:p>
        </w:tc>
        <w:tc>
          <w:tcPr>
            <w:tcW w:w="120" w:type="dxa"/>
            <w:vAlign w:val="bottom"/>
            <w:shd w:val="clear" w:color="auto" w:fill="CFF0FC"/>
          </w:tcPr>
          <w:p>
            <w:pPr>
              <w:spacing w:after="0"/>
              <w:rPr>
                <w:sz w:val="13"/>
                <w:szCs w:val="13"/>
                <w:color w:val="auto"/>
              </w:rPr>
            </w:pPr>
          </w:p>
        </w:tc>
      </w:tr>
      <w:tr>
        <w:trPr>
          <w:trHeight w:val="149"/>
        </w:trPr>
        <w:tc>
          <w:tcPr>
            <w:tcW w:w="6000" w:type="dxa"/>
            <w:vAlign w:val="bottom"/>
            <w:gridSpan w:val="3"/>
          </w:tcPr>
          <w:p>
            <w:pPr>
              <w:spacing w:after="0"/>
              <w:rPr>
                <w:sz w:val="20"/>
                <w:szCs w:val="20"/>
                <w:color w:val="auto"/>
              </w:rPr>
            </w:pPr>
            <w:r>
              <w:rPr>
                <w:rFonts w:ascii="Arial" w:cs="Arial" w:eastAsia="Arial" w:hAnsi="Arial"/>
                <w:sz w:val="12"/>
                <w:szCs w:val="12"/>
                <w:color w:val="auto"/>
              </w:rPr>
              <w:t>Total revenue</w:t>
            </w:r>
          </w:p>
        </w:tc>
        <w:tc>
          <w:tcPr>
            <w:tcW w:w="360" w:type="dxa"/>
            <w:vAlign w:val="bottom"/>
            <w:tcBorders>
              <w:bottom w:val="single" w:sz="8" w:color="auto"/>
            </w:tcBorders>
          </w:tcPr>
          <w:p>
            <w:pPr>
              <w:jc w:val="right"/>
              <w:ind w:right="250"/>
              <w:spacing w:after="0"/>
              <w:rPr>
                <w:sz w:val="20"/>
                <w:szCs w:val="20"/>
                <w:color w:val="auto"/>
              </w:rPr>
            </w:pPr>
            <w:r>
              <w:rPr>
                <w:rFonts w:ascii="Arial" w:cs="Arial" w:eastAsia="Arial" w:hAnsi="Arial"/>
                <w:sz w:val="10"/>
                <w:szCs w:val="10"/>
                <w:color w:val="auto"/>
                <w:w w:val="71"/>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1,017,634</w:t>
            </w:r>
          </w:p>
        </w:tc>
        <w:tc>
          <w:tcPr>
            <w:tcW w:w="300" w:type="dxa"/>
            <w:vAlign w:val="bottom"/>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916,032</w:t>
            </w:r>
          </w:p>
        </w:tc>
        <w:tc>
          <w:tcPr>
            <w:tcW w:w="300" w:type="dxa"/>
            <w:vAlign w:val="bottom"/>
          </w:tcPr>
          <w:p>
            <w:pPr>
              <w:spacing w:after="0"/>
              <w:rPr>
                <w:sz w:val="12"/>
                <w:szCs w:val="12"/>
                <w:color w:val="auto"/>
              </w:rPr>
            </w:pPr>
          </w:p>
        </w:tc>
        <w:tc>
          <w:tcPr>
            <w:tcW w:w="340" w:type="dxa"/>
            <w:vAlign w:val="bottom"/>
            <w:tcBorders>
              <w:bottom w:val="single" w:sz="8" w:color="auto"/>
            </w:tcBorders>
          </w:tcPr>
          <w:p>
            <w:pPr>
              <w:jc w:val="right"/>
              <w:ind w:right="230"/>
              <w:spacing w:after="0"/>
              <w:rPr>
                <w:sz w:val="20"/>
                <w:szCs w:val="20"/>
                <w:color w:val="auto"/>
              </w:rPr>
            </w:pPr>
            <w:r>
              <w:rPr>
                <w:rFonts w:ascii="Arial" w:cs="Arial" w:eastAsia="Arial" w:hAnsi="Arial"/>
                <w:sz w:val="10"/>
                <w:szCs w:val="10"/>
                <w:color w:val="auto"/>
                <w:w w:val="71"/>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770,408</w:t>
            </w:r>
          </w:p>
        </w:tc>
        <w:tc>
          <w:tcPr>
            <w:tcW w:w="120" w:type="dxa"/>
            <w:vAlign w:val="bottom"/>
          </w:tcPr>
          <w:p>
            <w:pPr>
              <w:spacing w:after="0"/>
              <w:rPr>
                <w:sz w:val="12"/>
                <w:szCs w:val="12"/>
                <w:color w:val="auto"/>
              </w:rPr>
            </w:pPr>
          </w:p>
        </w:tc>
      </w:tr>
    </w:tbl>
    <w:p>
      <w:pPr>
        <w:spacing w:after="0" w:line="24" w:lineRule="exact"/>
        <w:rPr>
          <w:sz w:val="20"/>
          <w:szCs w:val="20"/>
          <w:color w:val="auto"/>
        </w:rPr>
      </w:pPr>
    </w:p>
    <w:p>
      <w:pPr>
        <w:ind w:left="448" w:hanging="448"/>
        <w:spacing w:after="0"/>
        <w:tabs>
          <w:tab w:leader="none" w:pos="448" w:val="left"/>
        </w:tabs>
        <w:numPr>
          <w:ilvl w:val="0"/>
          <w:numId w:val="11"/>
        </w:numPr>
        <w:rPr>
          <w:rFonts w:ascii="Arial" w:cs="Arial" w:eastAsia="Arial" w:hAnsi="Arial"/>
          <w:sz w:val="10"/>
          <w:szCs w:val="10"/>
          <w:color w:val="auto"/>
        </w:rPr>
      </w:pPr>
      <w:r>
        <w:rPr>
          <w:rFonts w:ascii="Arial" w:cs="Arial" w:eastAsia="Arial" w:hAnsi="Arial"/>
          <w:sz w:val="10"/>
          <w:szCs w:val="10"/>
          <w:color w:val="auto"/>
        </w:rPr>
        <w:t>As noted above, prior period amounts have not been adjusted under the modified retrospective method.</w:t>
      </w:r>
    </w:p>
    <w:p>
      <w:pPr>
        <w:spacing w:after="0" w:line="267" w:lineRule="exact"/>
        <w:rPr>
          <w:sz w:val="20"/>
          <w:szCs w:val="20"/>
          <w:color w:val="auto"/>
        </w:rPr>
      </w:pPr>
    </w:p>
    <w:p>
      <w:pPr>
        <w:ind w:left="8"/>
        <w:spacing w:after="0"/>
        <w:rPr>
          <w:sz w:val="20"/>
          <w:szCs w:val="20"/>
          <w:color w:val="auto"/>
        </w:rPr>
      </w:pPr>
      <w:r>
        <w:rPr>
          <w:rFonts w:ascii="Arial" w:cs="Arial" w:eastAsia="Arial" w:hAnsi="Arial"/>
          <w:sz w:val="12"/>
          <w:szCs w:val="12"/>
          <w:color w:val="auto"/>
        </w:rPr>
        <w:t>At January 1, 2018 and December 31, 2018 lease receivables were $10.9 million and $45.5 million, respectively, and receivables from contracts with customers were $31.2 million and $57.1 million, respectively.</w:t>
      </w:r>
    </w:p>
    <w:p>
      <w:pPr>
        <w:spacing w:after="0" w:line="150" w:lineRule="exact"/>
        <w:rPr>
          <w:sz w:val="20"/>
          <w:szCs w:val="20"/>
          <w:color w:val="auto"/>
        </w:rPr>
      </w:pPr>
    </w:p>
    <w:p>
      <w:pPr>
        <w:ind w:left="8"/>
        <w:spacing w:after="0"/>
        <w:rPr>
          <w:sz w:val="20"/>
          <w:szCs w:val="20"/>
          <w:color w:val="auto"/>
        </w:rPr>
      </w:pPr>
      <w:r>
        <w:rPr>
          <w:rFonts w:ascii="Arial" w:cs="Arial" w:eastAsia="Arial" w:hAnsi="Arial"/>
          <w:sz w:val="12"/>
          <w:szCs w:val="12"/>
          <w:u w:val="single" w:color="auto"/>
          <w:color w:val="auto"/>
        </w:rPr>
        <w:t>Contract Assets (Unbilled Revenue) and Liabilities (Deferred Revenue)</w:t>
      </w:r>
    </w:p>
    <w:p>
      <w:pPr>
        <w:spacing w:after="0" w:line="150" w:lineRule="exact"/>
        <w:rPr>
          <w:sz w:val="20"/>
          <w:szCs w:val="20"/>
          <w:color w:val="auto"/>
        </w:rPr>
      </w:pPr>
    </w:p>
    <w:p>
      <w:pPr>
        <w:ind w:left="8" w:right="60"/>
        <w:spacing w:after="0" w:line="255" w:lineRule="auto"/>
        <w:rPr>
          <w:sz w:val="20"/>
          <w:szCs w:val="20"/>
          <w:color w:val="auto"/>
        </w:rPr>
      </w:pPr>
      <w:r>
        <w:rPr>
          <w:rFonts w:ascii="Arial" w:cs="Arial" w:eastAsia="Arial" w:hAnsi="Arial"/>
          <w:sz w:val="12"/>
          <w:szCs w:val="12"/>
          <w:color w:val="auto"/>
        </w:rPr>
        <w:t>Contract assets primarily consist of unbilled construction revenue where we are utilizing our costs incurred as the measure of progress of satisfying our performance obligation. When the contract price is invoiced, the related unbilled receivable is reclassified to trade accounts receivable, where the balance will be settled upon the collection of the invoiced amount. Contract liabilities are generally comprised of upfront fees charged to the customer for the cost of establishing the necessary components of the Company’s network prior to the commencement of use by the customer. Fees charged to customers for the recurring use of the Company’s network are recognized during the related periods of service. Upfront fees that are billed in advance of providing services are deferred until such time the customer accepts the Company’s network and then are recognized as service revenues ratably over a period in which substantive services required under the revenue arrangement are expected to be performed, which is the initial term of the arrangement. During the year ended December 31, 2018, we recognized revenues of $14.7 million that was included in the January 1, 2018 contract liabilities balance.</w:t>
      </w:r>
    </w:p>
    <w:p>
      <w:pPr>
        <w:spacing w:after="0" w:line="129" w:lineRule="exact"/>
        <w:rPr>
          <w:sz w:val="20"/>
          <w:szCs w:val="20"/>
          <w:color w:val="auto"/>
        </w:rPr>
      </w:pPr>
    </w:p>
    <w:p>
      <w:pPr>
        <w:ind w:left="8"/>
        <w:spacing w:after="0"/>
        <w:rPr>
          <w:sz w:val="20"/>
          <w:szCs w:val="20"/>
          <w:color w:val="auto"/>
        </w:rPr>
      </w:pPr>
      <w:r>
        <w:rPr>
          <w:rFonts w:ascii="Arial" w:cs="Arial" w:eastAsia="Arial" w:hAnsi="Arial"/>
          <w:sz w:val="12"/>
          <w:szCs w:val="12"/>
          <w:color w:val="auto"/>
        </w:rPr>
        <w:t>The following table provides information about contract assets and contract liabilities accounted for under Topic 606.</w:t>
      </w:r>
    </w:p>
    <w:p>
      <w:pPr>
        <w:spacing w:after="0" w:line="155" w:lineRule="exact"/>
        <w:rPr>
          <w:sz w:val="20"/>
          <w:szCs w:val="20"/>
          <w:color w:val="auto"/>
        </w:rPr>
      </w:pPr>
    </w:p>
    <w:tbl>
      <w:tblPr>
        <w:tblLayout w:type="fixed"/>
        <w:tblInd w:w="8" w:type="dxa"/>
        <w:tblCellMar>
          <w:top w:w="0" w:type="dxa"/>
          <w:left w:w="0" w:type="dxa"/>
          <w:bottom w:w="0" w:type="dxa"/>
          <w:right w:w="0" w:type="dxa"/>
        </w:tblCellMar>
      </w:tblPr>
      <w:tr>
        <w:trPr>
          <w:trHeight w:val="157"/>
        </w:trPr>
        <w:tc>
          <w:tcPr>
            <w:tcW w:w="6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(Thousands)</w:t>
            </w:r>
          </w:p>
        </w:tc>
        <w:tc>
          <w:tcPr>
            <w:tcW w:w="220" w:type="dxa"/>
            <w:vAlign w:val="bottom"/>
            <w:tcBorders>
              <w:bottom w:val="single" w:sz="8" w:color="CFF0FC"/>
            </w:tcBorders>
          </w:tcPr>
          <w:p>
            <w:pPr>
              <w:spacing w:after="0"/>
              <w:rPr>
                <w:sz w:val="13"/>
                <w:szCs w:val="13"/>
                <w:color w:val="auto"/>
              </w:rPr>
            </w:pPr>
          </w:p>
        </w:tc>
        <w:tc>
          <w:tcPr>
            <w:tcW w:w="1500" w:type="dxa"/>
            <w:vAlign w:val="bottom"/>
            <w:tcBorders>
              <w:bottom w:val="single" w:sz="8" w:color="auto"/>
            </w:tcBorders>
          </w:tcPr>
          <w:p>
            <w:pPr>
              <w:jc w:val="right"/>
              <w:ind w:right="87"/>
              <w:spacing w:after="0"/>
              <w:rPr>
                <w:sz w:val="20"/>
                <w:szCs w:val="20"/>
                <w:color w:val="auto"/>
              </w:rPr>
            </w:pPr>
            <w:r>
              <w:rPr>
                <w:rFonts w:ascii="Arial" w:cs="Arial" w:eastAsia="Arial" w:hAnsi="Arial"/>
                <w:sz w:val="12"/>
                <w:szCs w:val="12"/>
                <w:b w:val="1"/>
                <w:bCs w:val="1"/>
                <w:color w:val="auto"/>
              </w:rPr>
              <w:t>Contract Assets</w:t>
            </w:r>
          </w:p>
        </w:tc>
        <w:tc>
          <w:tcPr>
            <w:tcW w:w="420" w:type="dxa"/>
            <w:vAlign w:val="bottom"/>
            <w:tcBorders>
              <w:bottom w:val="single" w:sz="8" w:color="auto"/>
            </w:tcBorders>
          </w:tcPr>
          <w:p>
            <w:pPr>
              <w:spacing w:after="0"/>
              <w:rPr>
                <w:sz w:val="13"/>
                <w:szCs w:val="13"/>
                <w:color w:val="auto"/>
              </w:rPr>
            </w:pPr>
          </w:p>
        </w:tc>
        <w:tc>
          <w:tcPr>
            <w:tcW w:w="34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660" w:type="dxa"/>
            <w:vAlign w:val="bottom"/>
            <w:tcBorders>
              <w:bottom w:val="single" w:sz="8" w:color="auto"/>
            </w:tcBorders>
          </w:tcPr>
          <w:p>
            <w:pPr>
              <w:jc w:val="right"/>
              <w:ind w:right="400"/>
              <w:spacing w:after="0"/>
              <w:rPr>
                <w:sz w:val="20"/>
                <w:szCs w:val="20"/>
                <w:color w:val="auto"/>
              </w:rPr>
            </w:pPr>
            <w:r>
              <w:rPr>
                <w:rFonts w:ascii="Arial" w:cs="Arial" w:eastAsia="Arial" w:hAnsi="Arial"/>
                <w:sz w:val="12"/>
                <w:szCs w:val="12"/>
                <w:b w:val="1"/>
                <w:bCs w:val="1"/>
                <w:color w:val="auto"/>
              </w:rPr>
              <w:t>Contract Liabilities</w:t>
            </w:r>
          </w:p>
        </w:tc>
        <w:tc>
          <w:tcPr>
            <w:tcW w:w="120" w:type="dxa"/>
            <w:vAlign w:val="bottom"/>
            <w:tcBorders>
              <w:bottom w:val="single" w:sz="8" w:color="CFF0FC"/>
            </w:tcBorders>
          </w:tcPr>
          <w:p>
            <w:pPr>
              <w:spacing w:after="0"/>
              <w:rPr>
                <w:sz w:val="13"/>
                <w:szCs w:val="13"/>
                <w:color w:val="auto"/>
              </w:rPr>
            </w:pPr>
          </w:p>
        </w:tc>
      </w:tr>
      <w:tr>
        <w:trPr>
          <w:trHeight w:val="142"/>
        </w:trPr>
        <w:tc>
          <w:tcPr>
            <w:tcW w:w="6960" w:type="dxa"/>
            <w:vAlign w:val="bottom"/>
            <w:shd w:val="clear" w:color="auto" w:fill="CFF0FC"/>
          </w:tcPr>
          <w:p>
            <w:pPr>
              <w:spacing w:after="0"/>
              <w:rPr>
                <w:sz w:val="20"/>
                <w:szCs w:val="20"/>
                <w:color w:val="auto"/>
              </w:rPr>
            </w:pPr>
            <w:r>
              <w:rPr>
                <w:rFonts w:ascii="Arial" w:cs="Arial" w:eastAsia="Arial" w:hAnsi="Arial"/>
                <w:sz w:val="12"/>
                <w:szCs w:val="12"/>
                <w:color w:val="auto"/>
              </w:rPr>
              <w:t>Balance at January 1, 2018</w:t>
            </w:r>
          </w:p>
        </w:tc>
        <w:tc>
          <w:tcPr>
            <w:tcW w:w="220" w:type="dxa"/>
            <w:vAlign w:val="bottom"/>
            <w:shd w:val="clear" w:color="auto" w:fill="CFF0FC"/>
          </w:tcPr>
          <w:p>
            <w:pPr>
              <w:spacing w:after="0"/>
              <w:rPr>
                <w:sz w:val="12"/>
                <w:szCs w:val="12"/>
                <w:color w:val="auto"/>
              </w:rPr>
            </w:pPr>
          </w:p>
        </w:tc>
        <w:tc>
          <w:tcPr>
            <w:tcW w:w="1500" w:type="dxa"/>
            <w:vAlign w:val="bottom"/>
            <w:tcBorders>
              <w:bottom w:val="single" w:sz="8" w:color="auto"/>
            </w:tcBorders>
            <w:shd w:val="clear" w:color="auto" w:fill="CFF0FC"/>
          </w:tcPr>
          <w:p>
            <w:pPr>
              <w:jc w:val="right"/>
              <w:ind w:right="1387"/>
              <w:spacing w:after="0"/>
              <w:rPr>
                <w:sz w:val="20"/>
                <w:szCs w:val="20"/>
                <w:color w:val="auto"/>
              </w:rPr>
            </w:pPr>
            <w:r>
              <w:rPr>
                <w:rFonts w:ascii="Arial" w:cs="Arial" w:eastAsia="Arial" w:hAnsi="Arial"/>
                <w:sz w:val="10"/>
                <w:szCs w:val="10"/>
                <w:color w:val="auto"/>
                <w:w w:val="71"/>
              </w:rPr>
              <w:t>$</w:t>
            </w:r>
          </w:p>
        </w:tc>
        <w:tc>
          <w:tcPr>
            <w:tcW w:w="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2,490</w:t>
            </w:r>
          </w:p>
        </w:tc>
        <w:tc>
          <w:tcPr>
            <w:tcW w:w="340" w:type="dxa"/>
            <w:vAlign w:val="bottom"/>
            <w:shd w:val="clear" w:color="auto" w:fill="CFF0FC"/>
          </w:tcPr>
          <w:p>
            <w:pPr>
              <w:spacing w:after="0"/>
              <w:rPr>
                <w:sz w:val="12"/>
                <w:szCs w:val="12"/>
                <w:color w:val="auto"/>
              </w:rPr>
            </w:pPr>
          </w:p>
        </w:tc>
        <w:tc>
          <w:tcPr>
            <w:tcW w:w="2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26,256</w:t>
            </w:r>
          </w:p>
        </w:tc>
        <w:tc>
          <w:tcPr>
            <w:tcW w:w="120" w:type="dxa"/>
            <w:vAlign w:val="bottom"/>
            <w:shd w:val="clear" w:color="auto" w:fill="CFF0FC"/>
          </w:tcPr>
          <w:p>
            <w:pPr>
              <w:spacing w:after="0"/>
              <w:rPr>
                <w:sz w:val="12"/>
                <w:szCs w:val="12"/>
                <w:color w:val="auto"/>
              </w:rPr>
            </w:pPr>
          </w:p>
        </w:tc>
      </w:tr>
      <w:tr>
        <w:trPr>
          <w:trHeight w:val="149"/>
        </w:trPr>
        <w:tc>
          <w:tcPr>
            <w:tcW w:w="6960" w:type="dxa"/>
            <w:vAlign w:val="bottom"/>
          </w:tcPr>
          <w:p>
            <w:pPr>
              <w:spacing w:after="0"/>
              <w:rPr>
                <w:sz w:val="20"/>
                <w:szCs w:val="20"/>
                <w:color w:val="auto"/>
              </w:rPr>
            </w:pPr>
            <w:r>
              <w:rPr>
                <w:rFonts w:ascii="Arial" w:cs="Arial" w:eastAsia="Arial" w:hAnsi="Arial"/>
                <w:sz w:val="12"/>
                <w:szCs w:val="12"/>
                <w:color w:val="auto"/>
              </w:rPr>
              <w:t>Balance at December 31, 2018</w:t>
            </w:r>
          </w:p>
        </w:tc>
        <w:tc>
          <w:tcPr>
            <w:tcW w:w="220" w:type="dxa"/>
            <w:vAlign w:val="bottom"/>
          </w:tcPr>
          <w:p>
            <w:pPr>
              <w:spacing w:after="0"/>
              <w:rPr>
                <w:sz w:val="12"/>
                <w:szCs w:val="12"/>
                <w:color w:val="auto"/>
              </w:rPr>
            </w:pPr>
          </w:p>
        </w:tc>
        <w:tc>
          <w:tcPr>
            <w:tcW w:w="1500" w:type="dxa"/>
            <w:vAlign w:val="bottom"/>
            <w:tcBorders>
              <w:bottom w:val="single" w:sz="8" w:color="auto"/>
            </w:tcBorders>
          </w:tcPr>
          <w:p>
            <w:pPr>
              <w:jc w:val="right"/>
              <w:ind w:right="1387"/>
              <w:spacing w:after="0"/>
              <w:rPr>
                <w:sz w:val="20"/>
                <w:szCs w:val="20"/>
                <w:color w:val="auto"/>
              </w:rPr>
            </w:pPr>
            <w:r>
              <w:rPr>
                <w:rFonts w:ascii="Arial" w:cs="Arial" w:eastAsia="Arial" w:hAnsi="Arial"/>
                <w:sz w:val="10"/>
                <w:szCs w:val="10"/>
                <w:color w:val="auto"/>
                <w:w w:val="71"/>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5,540</w:t>
            </w:r>
          </w:p>
        </w:tc>
        <w:tc>
          <w:tcPr>
            <w:tcW w:w="340" w:type="dxa"/>
            <w:vAlign w:val="bottom"/>
          </w:tcPr>
          <w:p>
            <w:pPr>
              <w:spacing w:after="0"/>
              <w:rPr>
                <w:sz w:val="12"/>
                <w:szCs w:val="12"/>
                <w:color w:val="auto"/>
              </w:rPr>
            </w:pPr>
          </w:p>
        </w:tc>
        <w:tc>
          <w:tcPr>
            <w:tcW w:w="260" w:type="dxa"/>
            <w:vAlign w:val="bottom"/>
            <w:tcBorders>
              <w:bottom w:val="single" w:sz="8" w:color="auto"/>
            </w:tcBorders>
          </w:tcPr>
          <w:p>
            <w:pPr>
              <w:jc w:val="right"/>
              <w:ind w:right="150"/>
              <w:spacing w:after="0"/>
              <w:rPr>
                <w:sz w:val="20"/>
                <w:szCs w:val="20"/>
                <w:color w:val="auto"/>
              </w:rPr>
            </w:pPr>
            <w:r>
              <w:rPr>
                <w:rFonts w:ascii="Arial" w:cs="Arial" w:eastAsia="Arial" w:hAnsi="Arial"/>
                <w:sz w:val="10"/>
                <w:szCs w:val="10"/>
                <w:color w:val="auto"/>
                <w:w w:val="71"/>
              </w:rPr>
              <w:t>$</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15,473</w:t>
            </w:r>
          </w:p>
        </w:tc>
        <w:tc>
          <w:tcPr>
            <w:tcW w:w="120" w:type="dxa"/>
            <w:vAlign w:val="bottom"/>
          </w:tcPr>
          <w:p>
            <w:pPr>
              <w:spacing w:after="0"/>
              <w:rPr>
                <w:sz w:val="12"/>
                <w:szCs w:val="12"/>
                <w:color w:val="auto"/>
              </w:rPr>
            </w:pPr>
          </w:p>
        </w:tc>
      </w:tr>
    </w:tbl>
    <w:p>
      <w:pPr>
        <w:spacing w:after="0" w:line="135" w:lineRule="exact"/>
        <w:rPr>
          <w:sz w:val="20"/>
          <w:szCs w:val="20"/>
          <w:color w:val="auto"/>
        </w:rPr>
      </w:pPr>
    </w:p>
    <w:p>
      <w:pPr>
        <w:ind w:left="8"/>
        <w:spacing w:after="0"/>
        <w:rPr>
          <w:sz w:val="20"/>
          <w:szCs w:val="20"/>
          <w:color w:val="auto"/>
        </w:rPr>
      </w:pPr>
      <w:r>
        <w:rPr>
          <w:rFonts w:ascii="Arial" w:cs="Arial" w:eastAsia="Arial" w:hAnsi="Arial"/>
          <w:sz w:val="12"/>
          <w:szCs w:val="12"/>
          <w:u w:val="single" w:color="auto"/>
          <w:color w:val="auto"/>
        </w:rPr>
        <w:t>Transaction Price Allocated to Remaining Performance Obligations</w:t>
      </w:r>
    </w:p>
    <w:p>
      <w:pPr>
        <w:spacing w:after="0" w:line="150"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1" w:right="199" w:bottom="1440" w:gutter="0" w:footer="0" w:header="0"/>
        </w:sectPr>
      </w:pPr>
    </w:p>
    <w:bookmarkStart w:id="75" w:name="page76"/>
    <w:bookmarkEnd w:id="7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0"/>
        <w:spacing w:after="0" w:line="290" w:lineRule="auto"/>
        <w:rPr>
          <w:sz w:val="20"/>
          <w:szCs w:val="20"/>
          <w:color w:val="auto"/>
        </w:rPr>
      </w:pPr>
      <w:r>
        <w:rPr>
          <w:rFonts w:ascii="Arial" w:cs="Arial" w:eastAsia="Arial" w:hAnsi="Arial"/>
          <w:sz w:val="11"/>
          <w:szCs w:val="11"/>
          <w:color w:val="auto"/>
        </w:rPr>
        <w:t>Performance obligations within contracts to stand ready to provide services are typically satisfied over time or as those services are provided. Contract assets primarily relate to costs incremental to obtaining contracts and contract liabilities primarily relate to deferred revenue from non-recurring charges. The deferred revenue is recognized, and the liability reduced, over the contract term as the Company completes the performance obligation. As of December 31, 2018, our future revenues (i.e. transaction price related to remaining performance obligations) under contract accounted for under Topic 606 totaled $646.7 million, of which $572.0 million is related to contracts that are currently being invoiced and have an average remaining contract term of 2.7 years, while $74.7 million represents our backlog for sales bookings which have yet to be installed and have an average remaining contract term of 4.5 years.</w:t>
      </w:r>
    </w:p>
    <w:p>
      <w:pPr>
        <w:spacing w:after="0" w:line="109"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Practical Expedients and Exemptions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We do not disclose the value of unsatisfied performance obligations for contracts that have an original expected duration of one year or less.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We exclude from the transaction price any amounts collected from customers for sales taxes and therefore, they are not included in revenue.</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5. Business Combinations and Asset Acquisitions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Asset Acquisitions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Network Management Holdings LTD</w:t>
      </w:r>
    </w:p>
    <w:p>
      <w:pPr>
        <w:spacing w:after="0" w:line="150" w:lineRule="exact"/>
        <w:rPr>
          <w:sz w:val="20"/>
          <w:szCs w:val="20"/>
          <w:color w:val="auto"/>
        </w:rPr>
      </w:pPr>
    </w:p>
    <w:p>
      <w:pPr>
        <w:ind w:right="60"/>
        <w:spacing w:after="0" w:line="280" w:lineRule="auto"/>
        <w:rPr>
          <w:rFonts w:ascii="Arial" w:cs="Arial" w:eastAsia="Arial" w:hAnsi="Arial"/>
          <w:sz w:val="11"/>
          <w:szCs w:val="11"/>
          <w:color w:val="auto"/>
        </w:rPr>
      </w:pPr>
      <w:r>
        <w:rPr>
          <w:rFonts w:ascii="Arial" w:cs="Arial" w:eastAsia="Arial" w:hAnsi="Arial"/>
          <w:sz w:val="11"/>
          <w:szCs w:val="11"/>
          <w:color w:val="auto"/>
        </w:rPr>
        <w:t xml:space="preserve">On January 31, 2017, we completed the acquisition of NMS. The Company accounted for the acquisition of NMS as an asset purchase. At close, NMS owned and operated 366 wireless communications towers in Latin America with an additional 105 build to suit tower sites under development. The NMS portfolio spans three Latin American countries with 212 towers in Mexico, 54 towers in Nicaragua, and 100 towers in Colombia. The consideration for the 366 wireless towers in operation as of the transaction close date was $62.6 million, which was funded through cash on hand, and is presented in NMS asset acquisition on the Consolidated Statements of Cash Flows. NMS conducts its operations through three non-U.S. subsidiaries and the Company has determined that the functional currencies for the Mexican, Nicaraguan and Colombian subsidiaries are the Mexican Peso, U.S. Dollar and Colombian Peso, respectively. The non-U.S. subsidiaries in which NMS conducts its operations are subject to income tax in the jurisdictions in which they operate. The acquisition did not result in a step up in tax basis under local law. The Company recorded a net deferred tax liability of $18.4 million and a liability for unrecognized tax benefits of $5.3 million in connection with the acquisition. The deferred tax liability is primarily related to the excess of the recorded amounts for Property, Plant and Equipment and Intangibles over their respective historical tax bases. Under the terms of the purchase agreement, we will acquire the towers under development when construction is completed. The NMS towers are reflected in our Towers segment. See </w:t>
      </w:r>
      <w:hyperlink w:anchor="page94">
        <w:r>
          <w:rPr>
            <w:rFonts w:ascii="Arial" w:cs="Arial" w:eastAsia="Arial" w:hAnsi="Arial"/>
            <w:sz w:val="11"/>
            <w:szCs w:val="11"/>
            <w:u w:val="single" w:color="auto"/>
            <w:color w:val="auto"/>
          </w:rPr>
          <w:t>Note 14</w:t>
        </w:r>
        <w:r>
          <w:rPr>
            <w:rFonts w:ascii="Arial" w:cs="Arial" w:eastAsia="Arial" w:hAnsi="Arial"/>
            <w:sz w:val="11"/>
            <w:szCs w:val="11"/>
            <w:u w:val="single" w:color="auto"/>
            <w:color w:val="0000EE"/>
          </w:rPr>
          <w:t>. The following is a summary of the estimated fair values of the assets acquired and liabilities assumed</w:t>
        </w:r>
        <w:r>
          <w:rPr>
            <w:rFonts w:ascii="Arial" w:cs="Arial" w:eastAsia="Arial" w:hAnsi="Arial"/>
            <w:sz w:val="11"/>
            <w:szCs w:val="11"/>
            <w:u w:val="single" w:color="auto"/>
            <w:color w:val="auto"/>
          </w:rPr>
          <w:t xml:space="preserve"> </w:t>
        </w:r>
      </w:hyperlink>
      <w:r>
        <w:rPr>
          <w:rFonts w:ascii="Arial" w:cs="Arial" w:eastAsia="Arial" w:hAnsi="Arial"/>
          <w:sz w:val="11"/>
          <w:szCs w:val="11"/>
          <w:color w:val="auto"/>
        </w:rPr>
        <w:t>as of the acquisition date:</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8700" w:type="dxa"/>
            <w:vAlign w:val="bottom"/>
            <w:tcBorders>
              <w:bottom w:val="single" w:sz="8" w:color="auto"/>
            </w:tcBorders>
          </w:tcPr>
          <w:p>
            <w:pPr>
              <w:spacing w:after="0"/>
              <w:rPr>
                <w:sz w:val="10"/>
                <w:szCs w:val="10"/>
                <w:color w:val="auto"/>
              </w:rPr>
            </w:pPr>
          </w:p>
        </w:tc>
        <w:tc>
          <w:tcPr>
            <w:tcW w:w="240" w:type="dxa"/>
            <w:vAlign w:val="bottom"/>
            <w:tcBorders>
              <w:bottom w:val="single" w:sz="8" w:color="CFF0FC"/>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920" w:type="dxa"/>
            <w:vAlign w:val="bottom"/>
            <w:tcBorders>
              <w:bottom w:val="single" w:sz="8" w:color="auto"/>
            </w:tcBorders>
          </w:tcPr>
          <w:p>
            <w:pPr>
              <w:jc w:val="right"/>
              <w:ind w:right="921"/>
              <w:spacing w:after="0"/>
              <w:rPr>
                <w:sz w:val="20"/>
                <w:szCs w:val="20"/>
                <w:color w:val="auto"/>
              </w:rPr>
            </w:pPr>
            <w:r>
              <w:rPr>
                <w:rFonts w:ascii="Arial" w:cs="Arial" w:eastAsia="Arial" w:hAnsi="Arial"/>
                <w:sz w:val="10"/>
                <w:szCs w:val="10"/>
                <w:b w:val="1"/>
                <w:bCs w:val="1"/>
                <w:color w:val="auto"/>
              </w:rPr>
              <w:t>(thousands)</w:t>
            </w:r>
          </w:p>
        </w:tc>
        <w:tc>
          <w:tcPr>
            <w:tcW w:w="100" w:type="dxa"/>
            <w:vAlign w:val="bottom"/>
            <w:tcBorders>
              <w:bottom w:val="single" w:sz="8" w:color="CFF0FC"/>
            </w:tcBorders>
          </w:tcPr>
          <w:p>
            <w:pPr>
              <w:spacing w:after="0"/>
              <w:rPr>
                <w:sz w:val="10"/>
                <w:szCs w:val="10"/>
                <w:color w:val="auto"/>
              </w:rPr>
            </w:pPr>
          </w:p>
        </w:tc>
      </w:tr>
      <w:tr>
        <w:trPr>
          <w:trHeight w:val="160"/>
        </w:trPr>
        <w:tc>
          <w:tcPr>
            <w:tcW w:w="89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Property, plant and equipment</w:t>
            </w:r>
          </w:p>
        </w:tc>
        <w:tc>
          <w:tcPr>
            <w:tcW w:w="520" w:type="dxa"/>
            <w:vAlign w:val="bottom"/>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9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36,417</w:t>
            </w:r>
          </w:p>
        </w:tc>
        <w:tc>
          <w:tcPr>
            <w:tcW w:w="100" w:type="dxa"/>
            <w:vAlign w:val="bottom"/>
            <w:shd w:val="clear" w:color="auto" w:fill="CFF0FC"/>
          </w:tcPr>
          <w:p>
            <w:pPr>
              <w:spacing w:after="0"/>
              <w:rPr>
                <w:sz w:val="13"/>
                <w:szCs w:val="13"/>
                <w:color w:val="auto"/>
              </w:rPr>
            </w:pPr>
          </w:p>
        </w:tc>
      </w:tr>
      <w:tr>
        <w:trPr>
          <w:trHeight w:val="153"/>
        </w:trPr>
        <w:tc>
          <w:tcPr>
            <w:tcW w:w="8940" w:type="dxa"/>
            <w:vAlign w:val="bottom"/>
            <w:gridSpan w:val="2"/>
          </w:tcPr>
          <w:p>
            <w:pPr>
              <w:spacing w:after="0"/>
              <w:rPr>
                <w:sz w:val="20"/>
                <w:szCs w:val="20"/>
                <w:color w:val="auto"/>
              </w:rPr>
            </w:pPr>
            <w:r>
              <w:rPr>
                <w:rFonts w:ascii="Arial" w:cs="Arial" w:eastAsia="Arial" w:hAnsi="Arial"/>
                <w:sz w:val="12"/>
                <w:szCs w:val="12"/>
                <w:color w:val="auto"/>
              </w:rPr>
              <w:t>Accounts receivable</w:t>
            </w:r>
          </w:p>
        </w:tc>
        <w:tc>
          <w:tcPr>
            <w:tcW w:w="520" w:type="dxa"/>
            <w:vAlign w:val="bottom"/>
          </w:tcPr>
          <w:p>
            <w:pPr>
              <w:spacing w:after="0"/>
              <w:rPr>
                <w:sz w:val="13"/>
                <w:szCs w:val="13"/>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2,826</w:t>
            </w:r>
          </w:p>
        </w:tc>
        <w:tc>
          <w:tcPr>
            <w:tcW w:w="100" w:type="dxa"/>
            <w:vAlign w:val="bottom"/>
          </w:tcPr>
          <w:p>
            <w:pPr>
              <w:spacing w:after="0"/>
              <w:rPr>
                <w:sz w:val="13"/>
                <w:szCs w:val="13"/>
                <w:color w:val="auto"/>
              </w:rPr>
            </w:pPr>
          </w:p>
        </w:tc>
      </w:tr>
      <w:tr>
        <w:trPr>
          <w:trHeight w:val="153"/>
        </w:trPr>
        <w:tc>
          <w:tcPr>
            <w:tcW w:w="89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Other assets</w:t>
            </w:r>
          </w:p>
        </w:tc>
        <w:tc>
          <w:tcPr>
            <w:tcW w:w="520" w:type="dxa"/>
            <w:vAlign w:val="bottom"/>
            <w:shd w:val="clear" w:color="auto" w:fill="CFF0FC"/>
          </w:tcPr>
          <w:p>
            <w:pPr>
              <w:spacing w:after="0"/>
              <w:rPr>
                <w:sz w:val="13"/>
                <w:szCs w:val="13"/>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1,623</w:t>
            </w:r>
          </w:p>
        </w:tc>
        <w:tc>
          <w:tcPr>
            <w:tcW w:w="100" w:type="dxa"/>
            <w:vAlign w:val="bottom"/>
            <w:shd w:val="clear" w:color="auto" w:fill="CFF0FC"/>
          </w:tcPr>
          <w:p>
            <w:pPr>
              <w:spacing w:after="0"/>
              <w:rPr>
                <w:sz w:val="13"/>
                <w:szCs w:val="13"/>
                <w:color w:val="auto"/>
              </w:rPr>
            </w:pPr>
          </w:p>
        </w:tc>
      </w:tr>
      <w:tr>
        <w:trPr>
          <w:trHeight w:val="153"/>
        </w:trPr>
        <w:tc>
          <w:tcPr>
            <w:tcW w:w="8940" w:type="dxa"/>
            <w:vAlign w:val="bottom"/>
            <w:gridSpan w:val="2"/>
          </w:tcPr>
          <w:p>
            <w:pPr>
              <w:spacing w:after="0"/>
              <w:rPr>
                <w:sz w:val="20"/>
                <w:szCs w:val="20"/>
                <w:color w:val="auto"/>
              </w:rPr>
            </w:pPr>
            <w:r>
              <w:rPr>
                <w:rFonts w:ascii="Arial" w:cs="Arial" w:eastAsia="Arial" w:hAnsi="Arial"/>
                <w:sz w:val="12"/>
                <w:szCs w:val="12"/>
                <w:color w:val="auto"/>
              </w:rPr>
              <w:t>Intangible assets</w:t>
            </w:r>
          </w:p>
        </w:tc>
        <w:tc>
          <w:tcPr>
            <w:tcW w:w="520" w:type="dxa"/>
            <w:vAlign w:val="bottom"/>
          </w:tcPr>
          <w:p>
            <w:pPr>
              <w:spacing w:after="0"/>
              <w:rPr>
                <w:sz w:val="13"/>
                <w:szCs w:val="13"/>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52,437</w:t>
            </w:r>
          </w:p>
        </w:tc>
        <w:tc>
          <w:tcPr>
            <w:tcW w:w="100" w:type="dxa"/>
            <w:vAlign w:val="bottom"/>
          </w:tcPr>
          <w:p>
            <w:pPr>
              <w:spacing w:after="0"/>
              <w:rPr>
                <w:sz w:val="13"/>
                <w:szCs w:val="13"/>
                <w:color w:val="auto"/>
              </w:rPr>
            </w:pPr>
          </w:p>
        </w:tc>
      </w:tr>
      <w:tr>
        <w:trPr>
          <w:trHeight w:val="153"/>
        </w:trPr>
        <w:tc>
          <w:tcPr>
            <w:tcW w:w="89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payable, accrued expenses and other liabilities</w:t>
            </w:r>
          </w:p>
        </w:tc>
        <w:tc>
          <w:tcPr>
            <w:tcW w:w="52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60"/>
              <w:spacing w:after="0"/>
              <w:rPr>
                <w:sz w:val="20"/>
                <w:szCs w:val="20"/>
                <w:color w:val="auto"/>
              </w:rPr>
            </w:pPr>
            <w:r>
              <w:rPr>
                <w:rFonts w:ascii="Arial" w:cs="Arial" w:eastAsia="Arial" w:hAnsi="Arial"/>
                <w:sz w:val="12"/>
                <w:szCs w:val="12"/>
                <w:color w:val="auto"/>
              </w:rPr>
              <w:t>(8,895)</w:t>
            </w:r>
          </w:p>
        </w:tc>
      </w:tr>
      <w:tr>
        <w:trPr>
          <w:trHeight w:val="153"/>
        </w:trPr>
        <w:tc>
          <w:tcPr>
            <w:tcW w:w="8940" w:type="dxa"/>
            <w:vAlign w:val="bottom"/>
            <w:gridSpan w:val="2"/>
          </w:tcPr>
          <w:p>
            <w:pPr>
              <w:spacing w:after="0"/>
              <w:rPr>
                <w:sz w:val="20"/>
                <w:szCs w:val="20"/>
                <w:color w:val="auto"/>
              </w:rPr>
            </w:pPr>
            <w:r>
              <w:rPr>
                <w:rFonts w:ascii="Arial" w:cs="Arial" w:eastAsia="Arial" w:hAnsi="Arial"/>
                <w:sz w:val="12"/>
                <w:szCs w:val="12"/>
                <w:color w:val="auto"/>
              </w:rPr>
              <w:t>Intangible liabilities</w:t>
            </w:r>
          </w:p>
        </w:tc>
        <w:tc>
          <w:tcPr>
            <w:tcW w:w="520" w:type="dxa"/>
            <w:vAlign w:val="bottom"/>
          </w:tcPr>
          <w:p>
            <w:pPr>
              <w:spacing w:after="0"/>
              <w:rPr>
                <w:sz w:val="13"/>
                <w:szCs w:val="13"/>
                <w:color w:val="auto"/>
              </w:rPr>
            </w:pPr>
          </w:p>
        </w:tc>
        <w:tc>
          <w:tcPr>
            <w:tcW w:w="2020" w:type="dxa"/>
            <w:vAlign w:val="bottom"/>
            <w:gridSpan w:val="2"/>
          </w:tcPr>
          <w:p>
            <w:pPr>
              <w:jc w:val="right"/>
              <w:ind w:right="60"/>
              <w:spacing w:after="0"/>
              <w:rPr>
                <w:sz w:val="20"/>
                <w:szCs w:val="20"/>
                <w:color w:val="auto"/>
              </w:rPr>
            </w:pPr>
            <w:r>
              <w:rPr>
                <w:rFonts w:ascii="Arial" w:cs="Arial" w:eastAsia="Arial" w:hAnsi="Arial"/>
                <w:sz w:val="12"/>
                <w:szCs w:val="12"/>
                <w:color w:val="auto"/>
              </w:rPr>
              <w:t>(3,440)</w:t>
            </w:r>
          </w:p>
        </w:tc>
      </w:tr>
      <w:tr>
        <w:trPr>
          <w:trHeight w:val="153"/>
        </w:trPr>
        <w:tc>
          <w:tcPr>
            <w:tcW w:w="89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Deferred income taxes</w:t>
            </w:r>
          </w:p>
        </w:tc>
        <w:tc>
          <w:tcPr>
            <w:tcW w:w="52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60"/>
              <w:spacing w:after="0"/>
              <w:rPr>
                <w:sz w:val="20"/>
                <w:szCs w:val="20"/>
                <w:color w:val="auto"/>
              </w:rPr>
            </w:pPr>
            <w:r>
              <w:rPr>
                <w:rFonts w:ascii="Arial" w:cs="Arial" w:eastAsia="Arial" w:hAnsi="Arial"/>
                <w:sz w:val="12"/>
                <w:szCs w:val="12"/>
                <w:color w:val="auto"/>
              </w:rPr>
              <w:t>(18,403)</w:t>
            </w:r>
          </w:p>
        </w:tc>
      </w:tr>
      <w:tr>
        <w:trPr>
          <w:trHeight w:val="149"/>
        </w:trPr>
        <w:tc>
          <w:tcPr>
            <w:tcW w:w="8940" w:type="dxa"/>
            <w:vAlign w:val="bottom"/>
            <w:gridSpan w:val="2"/>
          </w:tcPr>
          <w:p>
            <w:pPr>
              <w:spacing w:after="0"/>
              <w:rPr>
                <w:sz w:val="20"/>
                <w:szCs w:val="20"/>
                <w:color w:val="auto"/>
              </w:rPr>
            </w:pPr>
            <w:r>
              <w:rPr>
                <w:rFonts w:ascii="Arial" w:cs="Arial" w:eastAsia="Arial" w:hAnsi="Arial"/>
                <w:sz w:val="12"/>
                <w:szCs w:val="12"/>
                <w:color w:val="auto"/>
              </w:rPr>
              <w:t>Total purchase consideration</w:t>
            </w:r>
          </w:p>
        </w:tc>
        <w:tc>
          <w:tcPr>
            <w:tcW w:w="52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0"/>
                <w:szCs w:val="10"/>
                <w:color w:val="auto"/>
                <w:w w:val="71"/>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62,565</w:t>
            </w:r>
          </w:p>
        </w:tc>
        <w:tc>
          <w:tcPr>
            <w:tcW w:w="100" w:type="dxa"/>
            <w:vAlign w:val="bottom"/>
          </w:tcPr>
          <w:p>
            <w:pPr>
              <w:spacing w:after="0"/>
              <w:rPr>
                <w:sz w:val="12"/>
                <w:szCs w:val="12"/>
                <w:color w:val="auto"/>
              </w:rPr>
            </w:pPr>
          </w:p>
        </w:tc>
      </w:tr>
    </w:tbl>
    <w:p>
      <w:pPr>
        <w:spacing w:after="0" w:line="207" w:lineRule="exact"/>
        <w:rPr>
          <w:sz w:val="20"/>
          <w:szCs w:val="20"/>
          <w:color w:val="auto"/>
        </w:rPr>
      </w:pPr>
    </w:p>
    <w:p>
      <w:pPr>
        <w:ind w:right="120"/>
        <w:spacing w:after="0" w:line="276" w:lineRule="auto"/>
        <w:rPr>
          <w:rFonts w:ascii="Arial" w:cs="Arial" w:eastAsia="Arial" w:hAnsi="Arial"/>
          <w:sz w:val="12"/>
          <w:szCs w:val="12"/>
          <w:color w:val="auto"/>
        </w:rPr>
      </w:pPr>
      <w:r>
        <w:rPr>
          <w:rFonts w:ascii="Arial" w:cs="Arial" w:eastAsia="Arial" w:hAnsi="Arial"/>
          <w:sz w:val="12"/>
          <w:szCs w:val="12"/>
          <w:color w:val="auto"/>
        </w:rPr>
        <w:t xml:space="preserve">Of the $52.4 million of acquired intangible assets, $37.4 million was assigned to tenant contracts (22 year life), $13.5 million was assigned to network (22 year life) and $1.5 million was assigned to acquired above-market leases (10 year life). The acquired below-market lease intangible liability of $3.4 million has a 10 year life. See </w:t>
      </w:r>
      <w:hyperlink w:anchor="page86">
        <w:r>
          <w:rPr>
            <w:rFonts w:ascii="Arial" w:cs="Arial" w:eastAsia="Arial" w:hAnsi="Arial"/>
            <w:sz w:val="12"/>
            <w:szCs w:val="12"/>
            <w:u w:val="single" w:color="auto"/>
            <w:color w:val="auto"/>
          </w:rPr>
          <w:t>Note 9</w:t>
        </w:r>
        <w:r>
          <w:rPr>
            <w:rFonts w:ascii="Arial" w:cs="Arial" w:eastAsia="Arial" w:hAnsi="Arial"/>
            <w:sz w:val="12"/>
            <w:szCs w:val="12"/>
            <w:u w:val="single" w:color="auto"/>
            <w:color w:val="0000EE"/>
          </w:rPr>
          <w:t>.</w:t>
        </w:r>
      </w:hyperlink>
    </w:p>
    <w:p>
      <w:pPr>
        <w:spacing w:after="0" w:line="11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76" w:name="page77"/>
    <w:bookmarkEnd w:id="7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As of December 31, 2018, we have acquired 89 of the 105 towers that were under development at the time of the NMS acquisition, and 16 of the development towers were cancelled and will not be completed and purchased.</w:t>
      </w:r>
    </w:p>
    <w:p>
      <w:pPr>
        <w:spacing w:after="0" w:line="15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Business Combinations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2018 Transactions</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Information Transport Solutions, Inc.</w:t>
      </w:r>
    </w:p>
    <w:p>
      <w:pPr>
        <w:spacing w:after="0" w:line="150" w:lineRule="exact"/>
        <w:rPr>
          <w:sz w:val="20"/>
          <w:szCs w:val="20"/>
          <w:color w:val="auto"/>
        </w:rPr>
      </w:pPr>
    </w:p>
    <w:p>
      <w:pPr>
        <w:jc w:val="both"/>
        <w:ind w:right="20"/>
        <w:spacing w:after="0" w:line="259" w:lineRule="auto"/>
        <w:rPr>
          <w:rFonts w:ascii="Arial" w:cs="Arial" w:eastAsia="Arial" w:hAnsi="Arial"/>
          <w:sz w:val="12"/>
          <w:szCs w:val="12"/>
          <w:color w:val="0000EE"/>
        </w:rPr>
      </w:pPr>
      <w:r>
        <w:rPr>
          <w:rFonts w:ascii="Arial" w:cs="Arial" w:eastAsia="Arial" w:hAnsi="Arial"/>
          <w:sz w:val="12"/>
          <w:szCs w:val="12"/>
          <w:color w:val="auto"/>
        </w:rPr>
        <w:t xml:space="preserve">On October 19, 2018, we acquired 100% of the outstanding equity of Information Transport Solutions, Inc. (“ITS”) for cash consideration of $59.6 million. ITS is a full-service managed services provider of technology solutions, primarily to educational institutions in Alabama and Florida. This acquisition expands Uniti Fiber’s product offerings and strengthens relationships with new and existing E-Rate customers. The acquisition was recorded by allocating the costs of the </w:t>
      </w:r>
      <w:hyperlink w:anchor="page94">
        <w:r>
          <w:rPr>
            <w:rFonts w:ascii="Arial" w:cs="Arial" w:eastAsia="Arial" w:hAnsi="Arial"/>
            <w:sz w:val="12"/>
            <w:szCs w:val="12"/>
            <w:color w:val="auto"/>
          </w:rPr>
          <w:t xml:space="preserve">assets acquired based on their estimated fair values at the acquisition date. The excess of the cost of the acquisition over the fair value of the assets acquired is recorded as goodwill within our Fiber Infrastructure segment. See </w:t>
        </w:r>
        <w:r>
          <w:rPr>
            <w:rFonts w:ascii="Arial" w:cs="Arial" w:eastAsia="Arial" w:hAnsi="Arial"/>
            <w:sz w:val="12"/>
            <w:szCs w:val="12"/>
            <w:u w:val="single" w:color="auto"/>
            <w:color w:val="auto"/>
          </w:rPr>
          <w:t>Note 14</w:t>
        </w:r>
        <w:r>
          <w:rPr>
            <w:rFonts w:ascii="Arial" w:cs="Arial" w:eastAsia="Arial" w:hAnsi="Arial"/>
            <w:sz w:val="12"/>
            <w:szCs w:val="12"/>
            <w:u w:val="single" w:color="auto"/>
            <w:color w:val="0000EE"/>
          </w:rPr>
          <w:t>. The</w:t>
        </w:r>
      </w:hyperlink>
      <w:r>
        <w:rPr>
          <w:rFonts w:ascii="Arial" w:cs="Arial" w:eastAsia="Arial" w:hAnsi="Arial"/>
          <w:sz w:val="12"/>
          <w:szCs w:val="12"/>
          <w:color w:val="auto"/>
        </w:rPr>
        <w:t xml:space="preserve"> </w:t>
      </w:r>
      <w:hyperlink w:anchor="page94">
        <w:r>
          <w:rPr>
            <w:rFonts w:ascii="Arial" w:cs="Arial" w:eastAsia="Arial" w:hAnsi="Arial"/>
            <w:sz w:val="12"/>
            <w:szCs w:val="12"/>
            <w:u w:val="single" w:color="auto"/>
            <w:color w:val="0000EE"/>
          </w:rPr>
          <w:t>following is a summary of the estimated fair values of the assets acquired and liabilities assumed</w:t>
        </w:r>
        <w:r>
          <w:rPr>
            <w:rFonts w:ascii="Arial" w:cs="Arial" w:eastAsia="Arial" w:hAnsi="Arial"/>
            <w:sz w:val="12"/>
            <w:szCs w:val="12"/>
            <w:color w:val="0000EE"/>
          </w:rPr>
          <w:t xml:space="preserve"> </w:t>
        </w:r>
        <w:r>
          <w:rPr>
            <w:rFonts w:ascii="Arial" w:cs="Arial" w:eastAsia="Arial" w:hAnsi="Arial"/>
            <w:sz w:val="12"/>
            <w:szCs w:val="12"/>
            <w:color w:val="000000"/>
          </w:rPr>
          <w:t>as of the acquisition date: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39370</wp:posOffset>
            </wp:positionV>
            <wp:extent cx="11430" cy="571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1430" cy="5715"/>
                    </a:xfrm>
                    <a:prstGeom prst="rect">
                      <a:avLst/>
                    </a:prstGeom>
                    <a:noFill/>
                  </pic:spPr>
                </pic:pic>
              </a:graphicData>
            </a:graphic>
          </wp:anchor>
        </w:drawing>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8720" w:type="dxa"/>
            <w:vAlign w:val="bottom"/>
            <w:tcBorders>
              <w:bottom w:val="single" w:sz="8" w:color="auto"/>
            </w:tcBorders>
          </w:tcPr>
          <w:p>
            <w:pPr>
              <w:spacing w:after="0"/>
              <w:rPr>
                <w:sz w:val="10"/>
                <w:szCs w:val="10"/>
                <w:color w:val="auto"/>
              </w:rPr>
            </w:pPr>
          </w:p>
        </w:tc>
        <w:tc>
          <w:tcPr>
            <w:tcW w:w="240" w:type="dxa"/>
            <w:vAlign w:val="bottom"/>
            <w:tcBorders>
              <w:bottom w:val="single" w:sz="8" w:color="CFF0FC"/>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tcPr>
          <w:p>
            <w:pPr>
              <w:jc w:val="right"/>
              <w:ind w:right="901"/>
              <w:spacing w:after="0"/>
              <w:rPr>
                <w:sz w:val="20"/>
                <w:szCs w:val="20"/>
                <w:color w:val="auto"/>
              </w:rPr>
            </w:pPr>
            <w:r>
              <w:rPr>
                <w:rFonts w:ascii="Arial" w:cs="Arial" w:eastAsia="Arial" w:hAnsi="Arial"/>
                <w:sz w:val="10"/>
                <w:szCs w:val="10"/>
                <w:b w:val="1"/>
                <w:bCs w:val="1"/>
                <w:color w:val="auto"/>
              </w:rPr>
              <w:t>(thousands)</w:t>
            </w:r>
          </w:p>
        </w:tc>
        <w:tc>
          <w:tcPr>
            <w:tcW w:w="120" w:type="dxa"/>
            <w:vAlign w:val="bottom"/>
            <w:tcBorders>
              <w:bottom w:val="single" w:sz="8" w:color="CFF0FC"/>
            </w:tcBorders>
          </w:tcPr>
          <w:p>
            <w:pPr>
              <w:spacing w:after="0"/>
              <w:rPr>
                <w:sz w:val="10"/>
                <w:szCs w:val="10"/>
                <w:color w:val="auto"/>
              </w:rPr>
            </w:pPr>
          </w:p>
        </w:tc>
      </w:tr>
      <w:tr>
        <w:trPr>
          <w:trHeight w:val="160"/>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Property, plant and equipment</w:t>
            </w:r>
          </w:p>
        </w:tc>
        <w:tc>
          <w:tcPr>
            <w:tcW w:w="520" w:type="dxa"/>
            <w:vAlign w:val="bottom"/>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4,270</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Cash and cash equivalents</w:t>
            </w: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5,931</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receivable</w:t>
            </w:r>
          </w:p>
        </w:tc>
        <w:tc>
          <w:tcPr>
            <w:tcW w:w="520" w:type="dxa"/>
            <w:vAlign w:val="bottom"/>
            <w:shd w:val="clear" w:color="auto" w:fill="CFF0FC"/>
          </w:tcPr>
          <w:p>
            <w:pPr>
              <w:spacing w:after="0"/>
              <w:rPr>
                <w:sz w:val="13"/>
                <w:szCs w:val="13"/>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3,909</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Other assets</w:t>
            </w: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7,238</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w:t>
            </w:r>
          </w:p>
        </w:tc>
        <w:tc>
          <w:tcPr>
            <w:tcW w:w="520" w:type="dxa"/>
            <w:vAlign w:val="bottom"/>
            <w:shd w:val="clear" w:color="auto" w:fill="CFF0FC"/>
          </w:tcPr>
          <w:p>
            <w:pPr>
              <w:spacing w:after="0"/>
              <w:rPr>
                <w:sz w:val="13"/>
                <w:szCs w:val="13"/>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11,210</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Intangible assets</w:t>
            </w: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30,254</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payable, accrued expenses and other liabilities</w:t>
            </w:r>
          </w:p>
        </w:tc>
        <w:tc>
          <w:tcPr>
            <w:tcW w:w="520" w:type="dxa"/>
            <w:vAlign w:val="bottom"/>
            <w:shd w:val="clear" w:color="auto" w:fill="CFF0FC"/>
          </w:tcPr>
          <w:p>
            <w:pPr>
              <w:spacing w:after="0"/>
              <w:rPr>
                <w:sz w:val="13"/>
                <w:szCs w:val="13"/>
                <w:color w:val="auto"/>
              </w:rPr>
            </w:pPr>
          </w:p>
        </w:tc>
        <w:tc>
          <w:tcPr>
            <w:tcW w:w="20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(2,645)</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Deferred revenue</w:t>
            </w:r>
          </w:p>
        </w:tc>
        <w:tc>
          <w:tcPr>
            <w:tcW w:w="520" w:type="dxa"/>
            <w:vAlign w:val="bottom"/>
          </w:tcPr>
          <w:p>
            <w:pPr>
              <w:spacing w:after="0"/>
              <w:rPr>
                <w:sz w:val="13"/>
                <w:szCs w:val="13"/>
                <w:color w:val="auto"/>
              </w:rPr>
            </w:pPr>
          </w:p>
        </w:tc>
        <w:tc>
          <w:tcPr>
            <w:tcW w:w="2000" w:type="dxa"/>
            <w:vAlign w:val="bottom"/>
            <w:gridSpan w:val="2"/>
          </w:tcPr>
          <w:p>
            <w:pPr>
              <w:jc w:val="right"/>
              <w:ind w:right="80"/>
              <w:spacing w:after="0"/>
              <w:rPr>
                <w:sz w:val="20"/>
                <w:szCs w:val="20"/>
                <w:color w:val="auto"/>
              </w:rPr>
            </w:pPr>
            <w:r>
              <w:rPr>
                <w:rFonts w:ascii="Arial" w:cs="Arial" w:eastAsia="Arial" w:hAnsi="Arial"/>
                <w:sz w:val="12"/>
                <w:szCs w:val="12"/>
                <w:color w:val="auto"/>
              </w:rPr>
              <w:t>(567)</w:t>
            </w:r>
          </w:p>
        </w:tc>
      </w:tr>
      <w:tr>
        <w:trPr>
          <w:trHeight w:val="149"/>
        </w:trPr>
        <w:tc>
          <w:tcPr>
            <w:tcW w:w="896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purchase consideration</w:t>
            </w:r>
          </w:p>
        </w:tc>
        <w:tc>
          <w:tcPr>
            <w:tcW w:w="520" w:type="dxa"/>
            <w:vAlign w:val="bottom"/>
            <w:tcBorders>
              <w:top w:val="single" w:sz="8" w:color="auto"/>
              <w:bottom w:val="single" w:sz="8" w:color="auto"/>
            </w:tcBorders>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59,600</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r>
    </w:tbl>
    <w:p>
      <w:pPr>
        <w:spacing w:after="0" w:line="153"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The above purchase price allocation is considered preliminary and is subject to revision when the valuation of assets and liabilities is finalized upon receipt of the final valuation report from a third party valuation specialist, and resolution of contractual adjustments, such as working capital adjustments, set forth in the merger agreement, which is anticipated to be finalized during the first half of 2019.</w:t>
      </w:r>
    </w:p>
    <w:p>
      <w:pPr>
        <w:spacing w:after="0" w:line="115"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The goodwill arising from the transaction is primarily attributable to strategic opportunities that arose from the acquisition of ITS, including strengthening relationships with new and existing E-Rate customers and anticipated incremental sales and cost savings. For federal income tax purposes, the transaction was treated as a taxable acquisition. Thus, all of the goodwill is expected to be deductible for tax purposes.</w:t>
      </w:r>
    </w:p>
    <w:p>
      <w:pPr>
        <w:spacing w:after="0" w:line="115" w:lineRule="exact"/>
        <w:rPr>
          <w:sz w:val="20"/>
          <w:szCs w:val="20"/>
          <w:color w:val="auto"/>
        </w:rPr>
      </w:pPr>
    </w:p>
    <w:p>
      <w:pPr>
        <w:ind w:right="140"/>
        <w:spacing w:after="0" w:line="263" w:lineRule="auto"/>
        <w:rPr>
          <w:sz w:val="20"/>
          <w:szCs w:val="20"/>
          <w:color w:val="auto"/>
        </w:rPr>
      </w:pPr>
      <w:r>
        <w:rPr>
          <w:rFonts w:ascii="Arial" w:cs="Arial" w:eastAsia="Arial" w:hAnsi="Arial"/>
          <w:sz w:val="12"/>
          <w:szCs w:val="12"/>
          <w:color w:val="auto"/>
        </w:rPr>
        <w:t>We acquired an intangible asset that was assigned to customer relationships of $30.3 million (14 year life). The Company determined the useful life for the customer relationship by applying an income approach (using the multi-period excess earnings method with a discount rate commensurate to the risk of the asset) and resulted from two key considerations: attrition rate and cumulative present value of cash flows, including assessing the period over which the asset is expected to contribute to the Company’s future cash flows.</w:t>
      </w:r>
    </w:p>
    <w:p>
      <w:pPr>
        <w:spacing w:after="0" w:line="123" w:lineRule="exact"/>
        <w:rPr>
          <w:sz w:val="20"/>
          <w:szCs w:val="20"/>
          <w:color w:val="auto"/>
        </w:rPr>
      </w:pPr>
    </w:p>
    <w:p>
      <w:pPr>
        <w:ind w:right="20"/>
        <w:spacing w:after="0" w:line="276" w:lineRule="auto"/>
        <w:rPr>
          <w:sz w:val="20"/>
          <w:szCs w:val="20"/>
          <w:color w:val="auto"/>
        </w:rPr>
      </w:pPr>
      <w:r>
        <w:rPr>
          <w:rFonts w:ascii="Arial" w:cs="Arial" w:eastAsia="Arial" w:hAnsi="Arial"/>
          <w:sz w:val="12"/>
          <w:szCs w:val="12"/>
          <w:color w:val="auto"/>
        </w:rPr>
        <w:t>The acquired business contributed revenue of $9.0 million and an operating income of $0.5 million, which excludes transaction related costs, to our consolidated results from the date of acquisition through December 31, 2018. We recorded transaction related costs related to the acquisition of ITS for the year ended December 31, 2018 of $0.3 million within transaction related costs on the Consolidated Statement of Income.</w:t>
      </w:r>
    </w:p>
    <w:p>
      <w:pPr>
        <w:spacing w:after="0" w:line="115" w:lineRule="exact"/>
        <w:rPr>
          <w:sz w:val="20"/>
          <w:szCs w:val="20"/>
          <w:color w:val="auto"/>
        </w:rPr>
      </w:pPr>
    </w:p>
    <w:p>
      <w:pPr>
        <w:ind w:right="220"/>
        <w:spacing w:after="0" w:line="263" w:lineRule="auto"/>
        <w:rPr>
          <w:sz w:val="20"/>
          <w:szCs w:val="20"/>
          <w:color w:val="auto"/>
        </w:rPr>
      </w:pPr>
      <w:r>
        <w:rPr>
          <w:rFonts w:ascii="Arial" w:cs="Arial" w:eastAsia="Arial" w:hAnsi="Arial"/>
          <w:sz w:val="12"/>
          <w:szCs w:val="12"/>
          <w:color w:val="auto"/>
        </w:rPr>
        <w:t>The following table presents the unaudited pro forma summary of our financial results as if the ITS acquisition had occurred on January 1, 2017. The pro forma results include additional amortization resulting from purchase accounting adjustments related to the intangible asset. The pro forma results do not include any synergies or other benefits of the acquisition. The pro forma results are not indicative of future results of operations, or results that might have been achieved had the acquisition been consummated on January 1, 2017.</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77" w:name="page78"/>
    <w:bookmarkEnd w:id="7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24"/>
        </w:trPr>
        <w:tc>
          <w:tcPr>
            <w:tcW w:w="6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60" w:type="dxa"/>
            <w:vAlign w:val="bottom"/>
          </w:tcPr>
          <w:p>
            <w:pPr>
              <w:jc w:val="center"/>
              <w:ind w:left="571"/>
              <w:spacing w:after="0"/>
              <w:rPr>
                <w:sz w:val="20"/>
                <w:szCs w:val="20"/>
                <w:color w:val="auto"/>
              </w:rPr>
            </w:pPr>
            <w:r>
              <w:rPr>
                <w:rFonts w:ascii="Arial" w:cs="Arial" w:eastAsia="Arial" w:hAnsi="Arial"/>
                <w:sz w:val="10"/>
                <w:szCs w:val="10"/>
                <w:b w:val="1"/>
                <w:bCs w:val="1"/>
                <w:color w:val="auto"/>
                <w:w w:val="87"/>
              </w:rPr>
              <w:t>Year Ended</w:t>
            </w:r>
          </w:p>
        </w:tc>
        <w:tc>
          <w:tcPr>
            <w:tcW w:w="6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160" w:type="dxa"/>
            <w:vAlign w:val="bottom"/>
            <w:gridSpan w:val="2"/>
          </w:tcPr>
          <w:p>
            <w:pPr>
              <w:jc w:val="right"/>
              <w:ind w:right="1180"/>
              <w:spacing w:after="0"/>
              <w:rPr>
                <w:sz w:val="20"/>
                <w:szCs w:val="20"/>
                <w:color w:val="auto"/>
              </w:rPr>
            </w:pPr>
            <w:r>
              <w:rPr>
                <w:rFonts w:ascii="Arial" w:cs="Arial" w:eastAsia="Arial" w:hAnsi="Arial"/>
                <w:sz w:val="10"/>
                <w:szCs w:val="10"/>
                <w:b w:val="1"/>
                <w:bCs w:val="1"/>
                <w:color w:val="auto"/>
              </w:rPr>
              <w:t>Year Ended</w:t>
            </w:r>
          </w:p>
        </w:tc>
      </w:tr>
      <w:tr>
        <w:trPr>
          <w:trHeight w:val="152"/>
        </w:trPr>
        <w:tc>
          <w:tcPr>
            <w:tcW w:w="620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160" w:type="dxa"/>
            <w:vAlign w:val="bottom"/>
            <w:tcBorders>
              <w:bottom w:val="single" w:sz="8" w:color="CFF0FC"/>
            </w:tcBorders>
          </w:tcPr>
          <w:p>
            <w:pPr>
              <w:spacing w:after="0"/>
              <w:rPr>
                <w:sz w:val="13"/>
                <w:szCs w:val="13"/>
                <w:color w:val="auto"/>
              </w:rPr>
            </w:pPr>
          </w:p>
        </w:tc>
        <w:tc>
          <w:tcPr>
            <w:tcW w:w="1660" w:type="dxa"/>
            <w:vAlign w:val="bottom"/>
            <w:tcBorders>
              <w:bottom w:val="single" w:sz="8" w:color="auto"/>
            </w:tcBorders>
          </w:tcPr>
          <w:p>
            <w:pPr>
              <w:jc w:val="center"/>
              <w:ind w:left="571"/>
              <w:spacing w:after="0"/>
              <w:rPr>
                <w:sz w:val="20"/>
                <w:szCs w:val="20"/>
                <w:color w:val="auto"/>
              </w:rPr>
            </w:pPr>
            <w:r>
              <w:rPr>
                <w:rFonts w:ascii="Arial" w:cs="Arial" w:eastAsia="Arial" w:hAnsi="Arial"/>
                <w:sz w:val="10"/>
                <w:szCs w:val="10"/>
                <w:b w:val="1"/>
                <w:bCs w:val="1"/>
                <w:color w:val="auto"/>
                <w:w w:val="84"/>
              </w:rPr>
              <w:t>December 31, 2018</w:t>
            </w:r>
          </w:p>
        </w:tc>
        <w:tc>
          <w:tcPr>
            <w:tcW w:w="62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1880" w:type="dxa"/>
            <w:vAlign w:val="bottom"/>
            <w:tcBorders>
              <w:bottom w:val="single" w:sz="8" w:color="auto"/>
            </w:tcBorders>
          </w:tcPr>
          <w:p>
            <w:pPr>
              <w:jc w:val="right"/>
              <w:ind w:right="706"/>
              <w:spacing w:after="0"/>
              <w:rPr>
                <w:sz w:val="20"/>
                <w:szCs w:val="20"/>
                <w:color w:val="auto"/>
              </w:rPr>
            </w:pPr>
            <w:r>
              <w:rPr>
                <w:rFonts w:ascii="Arial" w:cs="Arial" w:eastAsia="Arial" w:hAnsi="Arial"/>
                <w:sz w:val="10"/>
                <w:szCs w:val="10"/>
                <w:b w:val="1"/>
                <w:bCs w:val="1"/>
                <w:color w:val="auto"/>
              </w:rPr>
              <w:t>December 31, 2017</w:t>
            </w:r>
          </w:p>
        </w:tc>
        <w:tc>
          <w:tcPr>
            <w:tcW w:w="280" w:type="dxa"/>
            <w:vAlign w:val="bottom"/>
            <w:tcBorders>
              <w:bottom w:val="single" w:sz="8" w:color="CFF0FC"/>
            </w:tcBorders>
          </w:tcPr>
          <w:p>
            <w:pPr>
              <w:spacing w:after="0"/>
              <w:rPr>
                <w:sz w:val="13"/>
                <w:szCs w:val="13"/>
                <w:color w:val="auto"/>
              </w:rPr>
            </w:pPr>
          </w:p>
        </w:tc>
      </w:tr>
      <w:tr>
        <w:trPr>
          <w:trHeight w:val="142"/>
        </w:trPr>
        <w:tc>
          <w:tcPr>
            <w:tcW w:w="63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 forma revenue</w:t>
            </w:r>
          </w:p>
        </w:tc>
        <w:tc>
          <w:tcPr>
            <w:tcW w:w="1660" w:type="dxa"/>
            <w:vAlign w:val="bottom"/>
            <w:shd w:val="clear" w:color="auto" w:fill="CFF0FC"/>
          </w:tcPr>
          <w:p>
            <w:pPr>
              <w:jc w:val="right"/>
              <w:ind w:right="1551"/>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1,054,192</w:t>
            </w:r>
          </w:p>
        </w:tc>
        <w:tc>
          <w:tcPr>
            <w:tcW w:w="260" w:type="dxa"/>
            <w:vAlign w:val="bottom"/>
            <w:shd w:val="clear" w:color="auto" w:fill="CFF0FC"/>
          </w:tcPr>
          <w:p>
            <w:pPr>
              <w:spacing w:after="0"/>
              <w:rPr>
                <w:sz w:val="12"/>
                <w:szCs w:val="12"/>
                <w:color w:val="auto"/>
              </w:rPr>
            </w:pPr>
          </w:p>
        </w:tc>
        <w:tc>
          <w:tcPr>
            <w:tcW w:w="420" w:type="dxa"/>
            <w:vAlign w:val="bottom"/>
            <w:shd w:val="clear" w:color="auto" w:fill="CFF0FC"/>
          </w:tcPr>
          <w:p>
            <w:pPr>
              <w:jc w:val="right"/>
              <w:ind w:right="310"/>
              <w:spacing w:after="0"/>
              <w:rPr>
                <w:sz w:val="20"/>
                <w:szCs w:val="20"/>
                <w:color w:val="auto"/>
              </w:rPr>
            </w:pPr>
            <w:r>
              <w:rPr>
                <w:rFonts w:ascii="Arial" w:cs="Arial" w:eastAsia="Arial" w:hAnsi="Arial"/>
                <w:sz w:val="10"/>
                <w:szCs w:val="10"/>
                <w:color w:val="auto"/>
                <w:w w:val="71"/>
              </w:rPr>
              <w:t>$</w:t>
            </w: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967,512</w:t>
            </w:r>
          </w:p>
        </w:tc>
        <w:tc>
          <w:tcPr>
            <w:tcW w:w="280" w:type="dxa"/>
            <w:vAlign w:val="bottom"/>
            <w:shd w:val="clear" w:color="auto" w:fill="CFF0FC"/>
          </w:tcPr>
          <w:p>
            <w:pPr>
              <w:spacing w:after="0"/>
              <w:rPr>
                <w:sz w:val="12"/>
                <w:szCs w:val="12"/>
                <w:color w:val="auto"/>
              </w:rPr>
            </w:pPr>
          </w:p>
        </w:tc>
      </w:tr>
      <w:tr>
        <w:trPr>
          <w:trHeight w:val="153"/>
        </w:trPr>
        <w:tc>
          <w:tcPr>
            <w:tcW w:w="6360" w:type="dxa"/>
            <w:vAlign w:val="bottom"/>
            <w:gridSpan w:val="2"/>
          </w:tcPr>
          <w:p>
            <w:pPr>
              <w:spacing w:after="0"/>
              <w:rPr>
                <w:sz w:val="20"/>
                <w:szCs w:val="20"/>
                <w:color w:val="auto"/>
              </w:rPr>
            </w:pPr>
            <w:r>
              <w:rPr>
                <w:rFonts w:ascii="Arial" w:cs="Arial" w:eastAsia="Arial" w:hAnsi="Arial"/>
                <w:sz w:val="12"/>
                <w:szCs w:val="12"/>
                <w:color w:val="auto"/>
              </w:rPr>
              <w:t>Pro forma net income (loss)</w:t>
            </w:r>
          </w:p>
        </w:tc>
        <w:tc>
          <w:tcPr>
            <w:tcW w:w="16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Arial" w:cs="Arial" w:eastAsia="Arial" w:hAnsi="Arial"/>
                <w:sz w:val="12"/>
                <w:szCs w:val="12"/>
                <w:color w:val="auto"/>
              </w:rPr>
              <w:t>17,727</w:t>
            </w: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160" w:type="dxa"/>
            <w:vAlign w:val="bottom"/>
            <w:gridSpan w:val="2"/>
          </w:tcPr>
          <w:p>
            <w:pPr>
              <w:jc w:val="right"/>
              <w:ind w:right="240"/>
              <w:spacing w:after="0"/>
              <w:rPr>
                <w:sz w:val="20"/>
                <w:szCs w:val="20"/>
                <w:color w:val="auto"/>
              </w:rPr>
            </w:pPr>
            <w:r>
              <w:rPr>
                <w:rFonts w:ascii="Arial" w:cs="Arial" w:eastAsia="Arial" w:hAnsi="Arial"/>
                <w:sz w:val="12"/>
                <w:szCs w:val="12"/>
                <w:color w:val="auto"/>
              </w:rPr>
              <w:t>(6,763)</w:t>
            </w:r>
          </w:p>
        </w:tc>
      </w:tr>
    </w:tbl>
    <w:p>
      <w:pPr>
        <w:spacing w:after="0" w:line="126"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2017 Transactions</w:t>
      </w:r>
    </w:p>
    <w:p>
      <w:pPr>
        <w:spacing w:after="0" w:line="114"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Southern Light, LLC</w:t>
      </w:r>
    </w:p>
    <w:p>
      <w:pPr>
        <w:spacing w:after="0" w:line="150" w:lineRule="exact"/>
        <w:rPr>
          <w:sz w:val="20"/>
          <w:szCs w:val="20"/>
          <w:color w:val="auto"/>
        </w:rPr>
      </w:pPr>
    </w:p>
    <w:p>
      <w:pPr>
        <w:ind w:right="40"/>
        <w:spacing w:after="0" w:line="259" w:lineRule="auto"/>
        <w:rPr>
          <w:rFonts w:ascii="Arial" w:cs="Arial" w:eastAsia="Arial" w:hAnsi="Arial"/>
          <w:sz w:val="12"/>
          <w:szCs w:val="12"/>
          <w:color w:val="0000EE"/>
        </w:rPr>
      </w:pPr>
      <w:r>
        <w:rPr>
          <w:rFonts w:ascii="Arial" w:cs="Arial" w:eastAsia="Arial" w:hAnsi="Arial"/>
          <w:sz w:val="12"/>
          <w:szCs w:val="12"/>
          <w:color w:val="auto"/>
        </w:rPr>
        <w:t xml:space="preserve">On July 3, 2017, we acquired 100% of the outstanding equity of Southern Light for $638.1 million in cash and 2.5 million common units in the Operating Partnership with an acquisition date fair value of $64.3 million. Southern Light is a leading provider of data transport services along the Gulf Coast region serving twelve attractive Tier II and Tier III markets across Florida, Alabama, Louisiana, and Mississippi. The acquisition was recorded by allocating the costs of the </w:t>
      </w:r>
      <w:hyperlink w:anchor="page94">
        <w:r>
          <w:rPr>
            <w:rFonts w:ascii="Arial" w:cs="Arial" w:eastAsia="Arial" w:hAnsi="Arial"/>
            <w:sz w:val="12"/>
            <w:szCs w:val="12"/>
            <w:color w:val="auto"/>
          </w:rPr>
          <w:t xml:space="preserve">assets acquired based on their estimated fair values at the acquisition date. The excess of the cost of the acquisition over the fair value of the assets acquired is recorded as goodwill within our Fiber Infrastructure segment. See </w:t>
        </w:r>
        <w:r>
          <w:rPr>
            <w:rFonts w:ascii="Arial" w:cs="Arial" w:eastAsia="Arial" w:hAnsi="Arial"/>
            <w:sz w:val="12"/>
            <w:szCs w:val="12"/>
            <w:u w:val="single" w:color="auto"/>
            <w:color w:val="auto"/>
          </w:rPr>
          <w:t>Note 14</w:t>
        </w:r>
        <w:r>
          <w:rPr>
            <w:rFonts w:ascii="Arial" w:cs="Arial" w:eastAsia="Arial" w:hAnsi="Arial"/>
            <w:sz w:val="12"/>
            <w:szCs w:val="12"/>
            <w:u w:val="single" w:color="auto"/>
            <w:color w:val="0000EE"/>
          </w:rPr>
          <w:t>. The</w:t>
        </w:r>
      </w:hyperlink>
      <w:r>
        <w:rPr>
          <w:rFonts w:ascii="Arial" w:cs="Arial" w:eastAsia="Arial" w:hAnsi="Arial"/>
          <w:sz w:val="12"/>
          <w:szCs w:val="12"/>
          <w:color w:val="auto"/>
        </w:rPr>
        <w:t xml:space="preserve"> </w:t>
      </w:r>
      <w:hyperlink w:anchor="page94">
        <w:r>
          <w:rPr>
            <w:rFonts w:ascii="Arial" w:cs="Arial" w:eastAsia="Arial" w:hAnsi="Arial"/>
            <w:sz w:val="12"/>
            <w:szCs w:val="12"/>
            <w:u w:val="single" w:color="auto"/>
            <w:color w:val="0000EE"/>
          </w:rPr>
          <w:t>following is a summary of the estimated fair values of the assets acquired and liabilities assumed</w:t>
        </w:r>
        <w:r>
          <w:rPr>
            <w:rFonts w:ascii="Arial" w:cs="Arial" w:eastAsia="Arial" w:hAnsi="Arial"/>
            <w:sz w:val="12"/>
            <w:szCs w:val="12"/>
            <w:color w:val="0000EE"/>
          </w:rPr>
          <w:t xml:space="preserve"> </w:t>
        </w:r>
        <w:r>
          <w:rPr>
            <w:rFonts w:ascii="Arial" w:cs="Arial" w:eastAsia="Arial" w:hAnsi="Arial"/>
            <w:sz w:val="12"/>
            <w:szCs w:val="12"/>
            <w:color w:val="000000"/>
          </w:rPr>
          <w:t>as of the acquisition date:</w:t>
        </w:r>
      </w:hyperlink>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8740" w:type="dxa"/>
            <w:vAlign w:val="bottom"/>
            <w:tcBorders>
              <w:bottom w:val="single" w:sz="8" w:color="auto"/>
            </w:tcBorders>
          </w:tcPr>
          <w:p>
            <w:pPr>
              <w:spacing w:after="0"/>
              <w:rPr>
                <w:sz w:val="10"/>
                <w:szCs w:val="10"/>
                <w:color w:val="auto"/>
              </w:rPr>
            </w:pPr>
          </w:p>
        </w:tc>
        <w:tc>
          <w:tcPr>
            <w:tcW w:w="220" w:type="dxa"/>
            <w:vAlign w:val="bottom"/>
            <w:tcBorders>
              <w:bottom w:val="single" w:sz="8" w:color="CFF0FC"/>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900" w:type="dxa"/>
            <w:vAlign w:val="bottom"/>
            <w:tcBorders>
              <w:bottom w:val="single" w:sz="8" w:color="auto"/>
            </w:tcBorders>
          </w:tcPr>
          <w:p>
            <w:pPr>
              <w:jc w:val="right"/>
              <w:ind w:right="901"/>
              <w:spacing w:after="0"/>
              <w:rPr>
                <w:sz w:val="20"/>
                <w:szCs w:val="20"/>
                <w:color w:val="auto"/>
              </w:rPr>
            </w:pPr>
            <w:r>
              <w:rPr>
                <w:rFonts w:ascii="Arial" w:cs="Arial" w:eastAsia="Arial" w:hAnsi="Arial"/>
                <w:sz w:val="10"/>
                <w:szCs w:val="10"/>
                <w:b w:val="1"/>
                <w:bCs w:val="1"/>
                <w:color w:val="auto"/>
              </w:rPr>
              <w:t>(thousands)</w:t>
            </w:r>
          </w:p>
        </w:tc>
        <w:tc>
          <w:tcPr>
            <w:tcW w:w="120" w:type="dxa"/>
            <w:vAlign w:val="bottom"/>
            <w:tcBorders>
              <w:bottom w:val="single" w:sz="8" w:color="CFF0FC"/>
            </w:tcBorders>
          </w:tcPr>
          <w:p>
            <w:pPr>
              <w:spacing w:after="0"/>
              <w:rPr>
                <w:sz w:val="10"/>
                <w:szCs w:val="10"/>
                <w:color w:val="auto"/>
              </w:rPr>
            </w:pPr>
          </w:p>
        </w:tc>
      </w:tr>
      <w:tr>
        <w:trPr>
          <w:trHeight w:val="160"/>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Property, plant and equipment</w:t>
            </w:r>
          </w:p>
        </w:tc>
        <w:tc>
          <w:tcPr>
            <w:tcW w:w="500" w:type="dxa"/>
            <w:vAlign w:val="bottom"/>
            <w:shd w:val="clear" w:color="auto" w:fill="CFF0FC"/>
          </w:tcPr>
          <w:p>
            <w:pPr>
              <w:jc w:val="right"/>
              <w:ind w:right="390"/>
              <w:spacing w:after="0"/>
              <w:rPr>
                <w:sz w:val="20"/>
                <w:szCs w:val="20"/>
                <w:color w:val="auto"/>
              </w:rPr>
            </w:pPr>
            <w:r>
              <w:rPr>
                <w:rFonts w:ascii="Arial" w:cs="Arial" w:eastAsia="Arial" w:hAnsi="Arial"/>
                <w:sz w:val="10"/>
                <w:szCs w:val="10"/>
                <w:color w:val="auto"/>
                <w:w w:val="71"/>
              </w:rPr>
              <w:t>$</w:t>
            </w: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279,467</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Cash and cash equivalents</w:t>
            </w:r>
          </w:p>
        </w:tc>
        <w:tc>
          <w:tcPr>
            <w:tcW w:w="5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1,992</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receivable</w:t>
            </w:r>
          </w:p>
        </w:tc>
        <w:tc>
          <w:tcPr>
            <w:tcW w:w="5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11,139</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Other assets</w:t>
            </w:r>
          </w:p>
        </w:tc>
        <w:tc>
          <w:tcPr>
            <w:tcW w:w="5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1,287</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w:t>
            </w:r>
          </w:p>
        </w:tc>
        <w:tc>
          <w:tcPr>
            <w:tcW w:w="5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319,508</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Intangible assets</w:t>
            </w:r>
          </w:p>
        </w:tc>
        <w:tc>
          <w:tcPr>
            <w:tcW w:w="5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160,100</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payable, accrued expenses and other liabilities</w:t>
            </w:r>
          </w:p>
        </w:tc>
        <w:tc>
          <w:tcPr>
            <w:tcW w:w="50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(19,846)</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Deferred revenue</w:t>
            </w:r>
          </w:p>
        </w:tc>
        <w:tc>
          <w:tcPr>
            <w:tcW w:w="500" w:type="dxa"/>
            <w:vAlign w:val="bottom"/>
          </w:tcPr>
          <w:p>
            <w:pPr>
              <w:spacing w:after="0"/>
              <w:rPr>
                <w:sz w:val="13"/>
                <w:szCs w:val="13"/>
                <w:color w:val="auto"/>
              </w:rPr>
            </w:pP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(38,134)</w:t>
            </w: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Deferred income taxes</w:t>
            </w:r>
          </w:p>
        </w:tc>
        <w:tc>
          <w:tcPr>
            <w:tcW w:w="50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(9,892)</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Capital lease obligations</w:t>
            </w:r>
          </w:p>
        </w:tc>
        <w:tc>
          <w:tcPr>
            <w:tcW w:w="500" w:type="dxa"/>
            <w:vAlign w:val="bottom"/>
          </w:tcPr>
          <w:p>
            <w:pPr>
              <w:spacing w:after="0"/>
              <w:rPr>
                <w:sz w:val="13"/>
                <w:szCs w:val="13"/>
                <w:color w:val="auto"/>
              </w:rPr>
            </w:pP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(3,189)</w:t>
            </w:r>
          </w:p>
        </w:tc>
      </w:tr>
      <w:tr>
        <w:trPr>
          <w:trHeight w:val="149"/>
        </w:trPr>
        <w:tc>
          <w:tcPr>
            <w:tcW w:w="896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purchase consideration</w:t>
            </w:r>
          </w:p>
        </w:tc>
        <w:tc>
          <w:tcPr>
            <w:tcW w:w="500" w:type="dxa"/>
            <w:vAlign w:val="bottom"/>
            <w:tcBorders>
              <w:top w:val="single" w:sz="8" w:color="auto"/>
              <w:bottom w:val="single" w:sz="8" w:color="auto"/>
            </w:tcBorders>
            <w:shd w:val="clear" w:color="auto" w:fill="CFF0FC"/>
          </w:tcPr>
          <w:p>
            <w:pPr>
              <w:jc w:val="right"/>
              <w:ind w:right="390"/>
              <w:spacing w:after="0"/>
              <w:rPr>
                <w:sz w:val="20"/>
                <w:szCs w:val="20"/>
                <w:color w:val="auto"/>
              </w:rPr>
            </w:pPr>
            <w:r>
              <w:rPr>
                <w:rFonts w:ascii="Arial" w:cs="Arial" w:eastAsia="Arial" w:hAnsi="Arial"/>
                <w:sz w:val="10"/>
                <w:szCs w:val="10"/>
                <w:color w:val="auto"/>
                <w:w w:val="71"/>
              </w:rPr>
              <w:t>$</w:t>
            </w:r>
          </w:p>
        </w:tc>
        <w:tc>
          <w:tcPr>
            <w:tcW w:w="1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702,432</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r>
    </w:tbl>
    <w:p>
      <w:pPr>
        <w:spacing w:after="0" w:line="135" w:lineRule="exact"/>
        <w:rPr>
          <w:sz w:val="20"/>
          <w:szCs w:val="20"/>
          <w:color w:val="auto"/>
        </w:rPr>
      </w:pPr>
    </w:p>
    <w:p>
      <w:pPr>
        <w:spacing w:after="0"/>
        <w:rPr>
          <w:sz w:val="20"/>
          <w:szCs w:val="20"/>
          <w:color w:val="auto"/>
        </w:rPr>
      </w:pPr>
      <w:r>
        <w:rPr>
          <w:rFonts w:ascii="Arial" w:cs="Arial" w:eastAsia="Arial" w:hAnsi="Arial"/>
          <w:sz w:val="12"/>
          <w:szCs w:val="12"/>
          <w:color w:val="auto"/>
        </w:rPr>
        <w:t>During the second quarter of 2018, the purchase price allocation was adjusted to record $0.9 million of deferred tax liabilities that existed at the date of acquisition.</w:t>
      </w:r>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The goodwill arising from the transaction is primarily attributable to the expansion of our fiber network through the complementary nature of Southern Light’s fiber network to our existing fiber network, including anticipated</w:t>
      </w:r>
    </w:p>
    <w:p>
      <w:pPr>
        <w:spacing w:after="0" w:line="26" w:lineRule="exact"/>
        <w:rPr>
          <w:sz w:val="20"/>
          <w:szCs w:val="20"/>
          <w:color w:val="auto"/>
        </w:rPr>
      </w:pPr>
    </w:p>
    <w:p>
      <w:pPr>
        <w:ind w:right="40"/>
        <w:spacing w:after="0" w:line="306" w:lineRule="auto"/>
        <w:rPr>
          <w:sz w:val="20"/>
          <w:szCs w:val="20"/>
          <w:color w:val="auto"/>
        </w:rPr>
      </w:pPr>
      <w:r>
        <w:rPr>
          <w:rFonts w:ascii="Arial" w:cs="Arial" w:eastAsia="Arial" w:hAnsi="Arial"/>
          <w:sz w:val="11"/>
          <w:szCs w:val="11"/>
          <w:color w:val="auto"/>
        </w:rPr>
        <w:t>incremental sales and cost savings. For federal income tax purposes, the transaction was treated as partially taxable (for portion paid in cash) and partially non-taxable (for portion paid with common units in the Operating Partnership). The portion of the acquisition that was treated as a taxable acquisition resulted in tax deductible goodwill. No tax deductible goodwill resulted from the portion of the acquisition that was treated as non-taxable.</w:t>
      </w:r>
    </w:p>
    <w:p>
      <w:pPr>
        <w:spacing w:after="0" w:line="101" w:lineRule="exact"/>
        <w:rPr>
          <w:sz w:val="20"/>
          <w:szCs w:val="20"/>
          <w:color w:val="auto"/>
        </w:rPr>
      </w:pPr>
    </w:p>
    <w:p>
      <w:pPr>
        <w:jc w:val="both"/>
        <w:ind w:right="140"/>
        <w:spacing w:after="0" w:line="263" w:lineRule="auto"/>
        <w:rPr>
          <w:sz w:val="20"/>
          <w:szCs w:val="20"/>
          <w:color w:val="auto"/>
        </w:rPr>
      </w:pPr>
      <w:r>
        <w:rPr>
          <w:rFonts w:ascii="Arial" w:cs="Arial" w:eastAsia="Arial" w:hAnsi="Arial"/>
          <w:sz w:val="12"/>
          <w:szCs w:val="12"/>
          <w:color w:val="auto"/>
        </w:rPr>
        <w:t>We acquired an intangible asset that was assigned to customer relationships of $160.1 million (15 year life). The Company determined the useful life for the customer relationship by applying an income approach (using the multi-period excess earnings method with a discount rate commensurate to the risk of the asset) and resulted from two key considerations: attrition rate and cumulative present value of cash flows, including assessing the period over which the asset is expected to contribute to the Company’s future cash flows.</w:t>
      </w:r>
    </w:p>
    <w:p>
      <w:pPr>
        <w:spacing w:after="0" w:line="123" w:lineRule="exact"/>
        <w:rPr>
          <w:sz w:val="20"/>
          <w:szCs w:val="20"/>
          <w:color w:val="auto"/>
        </w:rPr>
      </w:pPr>
    </w:p>
    <w:p>
      <w:pPr>
        <w:ind w:right="400"/>
        <w:spacing w:after="0" w:line="323" w:lineRule="auto"/>
        <w:rPr>
          <w:sz w:val="20"/>
          <w:szCs w:val="20"/>
          <w:color w:val="auto"/>
        </w:rPr>
      </w:pPr>
      <w:r>
        <w:rPr>
          <w:rFonts w:ascii="Arial" w:cs="Arial" w:eastAsia="Arial" w:hAnsi="Arial"/>
          <w:sz w:val="11"/>
          <w:szCs w:val="11"/>
          <w:color w:val="auto"/>
        </w:rPr>
        <w:t>The acquired business contributed revenue of $45.5 million and an operating income of $4.6 million, which excludes transaction related costs, to our consolidated results from the date of acquisition through December 31, 2017. We recorded transaction related costs related to the acquisition of Southern Light for the year ended December 31, 2017 of $14.8 million within transaction related costs on the Consolidated Statement of Income.</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78" w:name="page79"/>
    <w:bookmarkEnd w:id="7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40"/>
        <w:spacing w:after="0" w:line="263" w:lineRule="auto"/>
        <w:rPr>
          <w:sz w:val="20"/>
          <w:szCs w:val="20"/>
          <w:color w:val="auto"/>
        </w:rPr>
      </w:pPr>
      <w:r>
        <w:rPr>
          <w:rFonts w:ascii="Arial" w:cs="Arial" w:eastAsia="Arial" w:hAnsi="Arial"/>
          <w:sz w:val="12"/>
          <w:szCs w:val="12"/>
          <w:color w:val="auto"/>
        </w:rPr>
        <w:t>The acquisition of Southern Light was structured in a manner such that Southern Light ended up being owned by a subsidiary of ours with a pre-existing valuation allowance primarily related to deferred tax assets associated with net operating loss carryforwards. The acquisition of Southern Light also resulted in a change to our assessment of the need for a valuation allowance against these deferred tax assets, which resulted in a decrease to the valuation allowance of $8.0 million. The decrease in valuation allowance was recorded as an income tax benefit during the year ended December 31, 2017.</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Hunt Telecommunications, LLC</w:t>
      </w:r>
    </w:p>
    <w:p>
      <w:pPr>
        <w:spacing w:after="0" w:line="150" w:lineRule="exact"/>
        <w:rPr>
          <w:sz w:val="20"/>
          <w:szCs w:val="20"/>
          <w:color w:val="auto"/>
        </w:rPr>
      </w:pPr>
    </w:p>
    <w:p>
      <w:pPr>
        <w:ind w:right="80"/>
        <w:spacing w:after="0" w:line="254" w:lineRule="auto"/>
        <w:rPr>
          <w:rFonts w:ascii="Arial" w:cs="Arial" w:eastAsia="Arial" w:hAnsi="Arial"/>
          <w:sz w:val="12"/>
          <w:szCs w:val="12"/>
          <w:color w:val="auto"/>
        </w:rPr>
      </w:pPr>
      <w:r>
        <w:rPr>
          <w:rFonts w:ascii="Arial" w:cs="Arial" w:eastAsia="Arial" w:hAnsi="Arial"/>
          <w:sz w:val="12"/>
          <w:szCs w:val="12"/>
          <w:color w:val="auto"/>
        </w:rPr>
        <w:t xml:space="preserve">On July 3, 2017, we acquired 100% of the outstanding equity of Hunt for $129.3 million in cash and 1.6 million common units in the Operating Partnership with an acquisition date fair value of $41.6 million. Additional contingent consideration of up to $17 million, with an acquisition date fair value of $16.4 million, may be paid upon the achievement of certain financial revenue milestones by delivering shares of our common stock. See </w:t>
      </w:r>
      <w:hyperlink w:anchor="page82">
        <w:r>
          <w:rPr>
            <w:rFonts w:ascii="Arial" w:cs="Arial" w:eastAsia="Arial" w:hAnsi="Arial"/>
            <w:sz w:val="12"/>
            <w:szCs w:val="12"/>
            <w:u w:val="single" w:color="auto"/>
            <w:color w:val="auto"/>
          </w:rPr>
          <w:t>Note 6</w:t>
        </w:r>
        <w:r>
          <w:rPr>
            <w:rFonts w:ascii="Arial" w:cs="Arial" w:eastAsia="Arial" w:hAnsi="Arial"/>
            <w:sz w:val="14"/>
            <w:szCs w:val="14"/>
            <w:u w:val="single" w:color="auto"/>
            <w:color w:val="0000EE"/>
          </w:rPr>
          <w:t>.</w:t>
        </w:r>
        <w:r>
          <w:rPr>
            <w:rFonts w:ascii="Arial" w:cs="Arial" w:eastAsia="Arial" w:hAnsi="Arial"/>
            <w:sz w:val="12"/>
            <w:szCs w:val="12"/>
            <w:u w:val="single" w:color="auto"/>
            <w:color w:val="auto"/>
          </w:rPr>
          <w:t xml:space="preserve"> </w:t>
        </w:r>
      </w:hyperlink>
      <w:r>
        <w:rPr>
          <w:rFonts w:ascii="Arial" w:cs="Arial" w:eastAsia="Arial" w:hAnsi="Arial"/>
          <w:sz w:val="12"/>
          <w:szCs w:val="12"/>
          <w:color w:val="auto"/>
        </w:rPr>
        <w:t xml:space="preserve">Hunt is a leading provider of data transport to K-12 schools and government agencies with a dense fiber network in Louisiana. The acquisition was recorded by allocating the costs of the assets acquired based on their estimated fair values at the acquisition date. The excess of the cost of the acquisition over the fair value of the assets acquired is recorded as goodwill within our Fiber Infrastructure segment. See </w:t>
      </w:r>
      <w:hyperlink w:anchor="page94">
        <w:r>
          <w:rPr>
            <w:rFonts w:ascii="Arial" w:cs="Arial" w:eastAsia="Arial" w:hAnsi="Arial"/>
            <w:sz w:val="12"/>
            <w:szCs w:val="12"/>
            <w:u w:val="single" w:color="auto"/>
            <w:color w:val="auto"/>
          </w:rPr>
          <w:t>Note 14</w:t>
        </w:r>
      </w:hyperlink>
      <w:r>
        <w:rPr>
          <w:rFonts w:ascii="Arial" w:cs="Arial" w:eastAsia="Arial" w:hAnsi="Arial"/>
          <w:sz w:val="12"/>
          <w:szCs w:val="12"/>
          <w:color w:val="auto"/>
        </w:rPr>
        <w:t>. The following is a summary of the estimated fair values of the assets acquired and liabilities assumed as of the acquisition date:</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8740" w:type="dxa"/>
            <w:vAlign w:val="bottom"/>
            <w:tcBorders>
              <w:bottom w:val="single" w:sz="8" w:color="auto"/>
            </w:tcBorders>
          </w:tcPr>
          <w:p>
            <w:pPr>
              <w:spacing w:after="0"/>
              <w:rPr>
                <w:sz w:val="10"/>
                <w:szCs w:val="10"/>
                <w:color w:val="auto"/>
              </w:rPr>
            </w:pPr>
          </w:p>
        </w:tc>
        <w:tc>
          <w:tcPr>
            <w:tcW w:w="220" w:type="dxa"/>
            <w:vAlign w:val="bottom"/>
            <w:tcBorders>
              <w:bottom w:val="single" w:sz="8" w:color="CFF0FC"/>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900" w:type="dxa"/>
            <w:vAlign w:val="bottom"/>
            <w:tcBorders>
              <w:bottom w:val="single" w:sz="8" w:color="auto"/>
            </w:tcBorders>
          </w:tcPr>
          <w:p>
            <w:pPr>
              <w:jc w:val="right"/>
              <w:ind w:right="901"/>
              <w:spacing w:after="0"/>
              <w:rPr>
                <w:sz w:val="20"/>
                <w:szCs w:val="20"/>
                <w:color w:val="auto"/>
              </w:rPr>
            </w:pPr>
            <w:r>
              <w:rPr>
                <w:rFonts w:ascii="Arial" w:cs="Arial" w:eastAsia="Arial" w:hAnsi="Arial"/>
                <w:sz w:val="10"/>
                <w:szCs w:val="10"/>
                <w:b w:val="1"/>
                <w:bCs w:val="1"/>
                <w:color w:val="auto"/>
              </w:rPr>
              <w:t>(thousands)</w:t>
            </w:r>
          </w:p>
        </w:tc>
        <w:tc>
          <w:tcPr>
            <w:tcW w:w="120" w:type="dxa"/>
            <w:vAlign w:val="bottom"/>
            <w:tcBorders>
              <w:bottom w:val="single" w:sz="8" w:color="CFF0FC"/>
            </w:tcBorders>
          </w:tcPr>
          <w:p>
            <w:pPr>
              <w:spacing w:after="0"/>
              <w:rPr>
                <w:sz w:val="10"/>
                <w:szCs w:val="10"/>
                <w:color w:val="auto"/>
              </w:rPr>
            </w:pPr>
          </w:p>
        </w:tc>
      </w:tr>
      <w:tr>
        <w:trPr>
          <w:trHeight w:val="160"/>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Property, plant and equipment</w:t>
            </w:r>
          </w:p>
        </w:tc>
        <w:tc>
          <w:tcPr>
            <w:tcW w:w="500" w:type="dxa"/>
            <w:vAlign w:val="bottom"/>
            <w:shd w:val="clear" w:color="auto" w:fill="CFF0FC"/>
          </w:tcPr>
          <w:p>
            <w:pPr>
              <w:jc w:val="right"/>
              <w:ind w:right="390"/>
              <w:spacing w:after="0"/>
              <w:rPr>
                <w:sz w:val="20"/>
                <w:szCs w:val="20"/>
                <w:color w:val="auto"/>
              </w:rPr>
            </w:pPr>
            <w:r>
              <w:rPr>
                <w:rFonts w:ascii="Arial" w:cs="Arial" w:eastAsia="Arial" w:hAnsi="Arial"/>
                <w:sz w:val="10"/>
                <w:szCs w:val="10"/>
                <w:color w:val="auto"/>
                <w:w w:val="71"/>
              </w:rPr>
              <w:t>$</w:t>
            </w: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59,682</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Cash and cash equivalents</w:t>
            </w:r>
          </w:p>
        </w:tc>
        <w:tc>
          <w:tcPr>
            <w:tcW w:w="5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3,181</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receivable</w:t>
            </w:r>
          </w:p>
        </w:tc>
        <w:tc>
          <w:tcPr>
            <w:tcW w:w="5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4,906</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Other assets</w:t>
            </w:r>
          </w:p>
        </w:tc>
        <w:tc>
          <w:tcPr>
            <w:tcW w:w="5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413</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w:t>
            </w:r>
          </w:p>
        </w:tc>
        <w:tc>
          <w:tcPr>
            <w:tcW w:w="5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99,580</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Intangible assets</w:t>
            </w:r>
          </w:p>
        </w:tc>
        <w:tc>
          <w:tcPr>
            <w:tcW w:w="5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73,000</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payable, accrued expenses and other liabilities</w:t>
            </w:r>
          </w:p>
        </w:tc>
        <w:tc>
          <w:tcPr>
            <w:tcW w:w="50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(3,741)</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Deferred revenue</w:t>
            </w:r>
          </w:p>
        </w:tc>
        <w:tc>
          <w:tcPr>
            <w:tcW w:w="500" w:type="dxa"/>
            <w:vAlign w:val="bottom"/>
          </w:tcPr>
          <w:p>
            <w:pPr>
              <w:spacing w:after="0"/>
              <w:rPr>
                <w:sz w:val="13"/>
                <w:szCs w:val="13"/>
                <w:color w:val="auto"/>
              </w:rPr>
            </w:pP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(6,036)</w:t>
            </w: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Deferred income taxes</w:t>
            </w:r>
          </w:p>
        </w:tc>
        <w:tc>
          <w:tcPr>
            <w:tcW w:w="50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(43,550)</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Capital lease obligations</w:t>
            </w:r>
          </w:p>
        </w:tc>
        <w:tc>
          <w:tcPr>
            <w:tcW w:w="500" w:type="dxa"/>
            <w:vAlign w:val="bottom"/>
          </w:tcPr>
          <w:p>
            <w:pPr>
              <w:spacing w:after="0"/>
              <w:rPr>
                <w:sz w:val="13"/>
                <w:szCs w:val="13"/>
                <w:color w:val="auto"/>
              </w:rPr>
            </w:pP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(164)</w:t>
            </w:r>
          </w:p>
        </w:tc>
      </w:tr>
      <w:tr>
        <w:trPr>
          <w:trHeight w:val="149"/>
        </w:trPr>
        <w:tc>
          <w:tcPr>
            <w:tcW w:w="896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purchase consideration</w:t>
            </w:r>
          </w:p>
        </w:tc>
        <w:tc>
          <w:tcPr>
            <w:tcW w:w="500" w:type="dxa"/>
            <w:vAlign w:val="bottom"/>
            <w:tcBorders>
              <w:top w:val="single" w:sz="8" w:color="auto"/>
              <w:bottom w:val="single" w:sz="8" w:color="auto"/>
            </w:tcBorders>
            <w:shd w:val="clear" w:color="auto" w:fill="CFF0FC"/>
          </w:tcPr>
          <w:p>
            <w:pPr>
              <w:jc w:val="right"/>
              <w:ind w:right="390"/>
              <w:spacing w:after="0"/>
              <w:rPr>
                <w:sz w:val="20"/>
                <w:szCs w:val="20"/>
                <w:color w:val="auto"/>
              </w:rPr>
            </w:pPr>
            <w:r>
              <w:rPr>
                <w:rFonts w:ascii="Arial" w:cs="Arial" w:eastAsia="Arial" w:hAnsi="Arial"/>
                <w:sz w:val="10"/>
                <w:szCs w:val="10"/>
                <w:color w:val="auto"/>
                <w:w w:val="71"/>
              </w:rPr>
              <w:t>$</w:t>
            </w:r>
          </w:p>
        </w:tc>
        <w:tc>
          <w:tcPr>
            <w:tcW w:w="1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187,271</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r>
    </w:tbl>
    <w:p>
      <w:pPr>
        <w:spacing w:after="0" w:line="279" w:lineRule="exact"/>
        <w:rPr>
          <w:sz w:val="20"/>
          <w:szCs w:val="20"/>
          <w:color w:val="auto"/>
        </w:rPr>
      </w:pPr>
    </w:p>
    <w:p>
      <w:pPr>
        <w:ind w:right="40"/>
        <w:spacing w:after="0" w:line="276" w:lineRule="auto"/>
        <w:rPr>
          <w:sz w:val="20"/>
          <w:szCs w:val="20"/>
          <w:color w:val="auto"/>
        </w:rPr>
      </w:pPr>
      <w:r>
        <w:rPr>
          <w:rFonts w:ascii="Arial" w:cs="Arial" w:eastAsia="Arial" w:hAnsi="Arial"/>
          <w:sz w:val="12"/>
          <w:szCs w:val="12"/>
          <w:color w:val="auto"/>
        </w:rPr>
        <w:t>During the first quarter of 2018, the purchase price allocation was adjusted to record certain deferred revenues and accrued liabilities that existed at the date of acquisition. Deferred revenue and accrued liabilities increased $2.2 million and $1.2 million, respectively.</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color w:val="auto"/>
        </w:rPr>
        <w:t>During the second quarter of 2018, the purchase price allocation was adjusted to record $3.2 million of deferred tax liabilities that existed at the date of acquisition.</w:t>
      </w:r>
    </w:p>
    <w:p>
      <w:pPr>
        <w:spacing w:after="0" w:line="150" w:lineRule="exact"/>
        <w:rPr>
          <w:sz w:val="20"/>
          <w:szCs w:val="20"/>
          <w:color w:val="auto"/>
        </w:rPr>
      </w:pPr>
    </w:p>
    <w:p>
      <w:pPr>
        <w:ind w:right="120"/>
        <w:spacing w:after="0" w:line="276" w:lineRule="auto"/>
        <w:rPr>
          <w:sz w:val="20"/>
          <w:szCs w:val="20"/>
          <w:color w:val="auto"/>
        </w:rPr>
      </w:pPr>
      <w:r>
        <w:rPr>
          <w:rFonts w:ascii="Arial" w:cs="Arial" w:eastAsia="Arial" w:hAnsi="Arial"/>
          <w:sz w:val="12"/>
          <w:szCs w:val="12"/>
          <w:color w:val="auto"/>
        </w:rPr>
        <w:t>The goodwill arising from the transaction is primarily attributable to the expansion of our fiber network through the complementary nature of Hunt’s fiber network to our existing fiber network, including anticipated incremental sales and cost savings. The goodwill is not expected to be deductible for tax purposes.</w:t>
      </w:r>
    </w:p>
    <w:p>
      <w:pPr>
        <w:spacing w:after="0" w:line="115" w:lineRule="exact"/>
        <w:rPr>
          <w:sz w:val="20"/>
          <w:szCs w:val="20"/>
          <w:color w:val="auto"/>
        </w:rPr>
      </w:pPr>
    </w:p>
    <w:p>
      <w:pPr>
        <w:ind w:right="140"/>
        <w:spacing w:after="0" w:line="263" w:lineRule="auto"/>
        <w:rPr>
          <w:sz w:val="20"/>
          <w:szCs w:val="20"/>
          <w:color w:val="auto"/>
        </w:rPr>
      </w:pPr>
      <w:r>
        <w:rPr>
          <w:rFonts w:ascii="Arial" w:cs="Arial" w:eastAsia="Arial" w:hAnsi="Arial"/>
          <w:sz w:val="12"/>
          <w:szCs w:val="12"/>
          <w:color w:val="auto"/>
        </w:rPr>
        <w:t>We acquired an intangible asset that was assigned to customer relationships of $73 million (18 year life). The Company determined the useful life for the customer relationship by applying an income approach (using the multi-period excess earnings method with a discount rate commensurate to the risk of the asset) and resulted from two key considerations: attrition rate and cumulative present value of cash flows, including assessing the period over which the asset is expected to contribute to the Company’s future cash flows.</w:t>
      </w:r>
    </w:p>
    <w:p>
      <w:pPr>
        <w:spacing w:after="0" w:line="123" w:lineRule="exact"/>
        <w:rPr>
          <w:sz w:val="20"/>
          <w:szCs w:val="20"/>
          <w:color w:val="auto"/>
        </w:rPr>
      </w:pPr>
    </w:p>
    <w:p>
      <w:pPr>
        <w:ind w:right="80"/>
        <w:spacing w:after="0" w:line="323" w:lineRule="auto"/>
        <w:rPr>
          <w:sz w:val="20"/>
          <w:szCs w:val="20"/>
          <w:color w:val="auto"/>
        </w:rPr>
      </w:pPr>
      <w:r>
        <w:rPr>
          <w:rFonts w:ascii="Arial" w:cs="Arial" w:eastAsia="Arial" w:hAnsi="Arial"/>
          <w:sz w:val="11"/>
          <w:szCs w:val="11"/>
          <w:color w:val="auto"/>
        </w:rPr>
        <w:t>The acquired business contributed revenue of $16.5 million and an operating income of $2.7 million, which excludes transaction and transition costs, to our consolidated results from the date of acquisition through December 31, 2017. We recorded transaction related costs related to the acquisition of Hunt for the year ended December 31, 2017 of $5.9 million within transaction related costs on the Consolidated Statement of Income.</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79" w:name="page80"/>
    <w:bookmarkEnd w:id="7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jc w:val="both"/>
        <w:ind w:right="180"/>
        <w:spacing w:after="0" w:line="263" w:lineRule="auto"/>
        <w:rPr>
          <w:sz w:val="20"/>
          <w:szCs w:val="20"/>
          <w:color w:val="auto"/>
        </w:rPr>
      </w:pPr>
      <w:r>
        <w:rPr>
          <w:rFonts w:ascii="Arial" w:cs="Arial" w:eastAsia="Arial" w:hAnsi="Arial"/>
          <w:sz w:val="12"/>
          <w:szCs w:val="12"/>
          <w:color w:val="auto"/>
        </w:rPr>
        <w:t>The following table presents the unaudited pro forma summary of our financial results as if the Southern Light and Hunt business combinations had occurred on January 1, 2016. The pro forma results include additional depreciation and amortization resulting from purchase accounting adjustments, and interest expense associated with debt used to fund the acquisition. The pro forma results do not include any synergies or other benefits of the acquisition. The pro forma results are not indicative of future results of operations, or results that might have been achieved had the acquisition been consummated on January 1, 2016.</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24"/>
        </w:trPr>
        <w:tc>
          <w:tcPr>
            <w:tcW w:w="63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720" w:type="dxa"/>
            <w:vAlign w:val="bottom"/>
          </w:tcPr>
          <w:p>
            <w:pPr>
              <w:jc w:val="center"/>
              <w:ind w:left="512"/>
              <w:spacing w:after="0"/>
              <w:rPr>
                <w:sz w:val="20"/>
                <w:szCs w:val="20"/>
                <w:color w:val="auto"/>
              </w:rPr>
            </w:pPr>
            <w:r>
              <w:rPr>
                <w:rFonts w:ascii="Arial" w:cs="Arial" w:eastAsia="Arial" w:hAnsi="Arial"/>
                <w:sz w:val="10"/>
                <w:szCs w:val="10"/>
                <w:b w:val="1"/>
                <w:bCs w:val="1"/>
                <w:color w:val="auto"/>
                <w:w w:val="87"/>
              </w:rPr>
              <w:t>Year Ended</w:t>
            </w:r>
          </w:p>
        </w:tc>
        <w:tc>
          <w:tcPr>
            <w:tcW w:w="6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020" w:type="dxa"/>
            <w:vAlign w:val="bottom"/>
            <w:gridSpan w:val="2"/>
          </w:tcPr>
          <w:p>
            <w:pPr>
              <w:jc w:val="right"/>
              <w:ind w:right="1040"/>
              <w:spacing w:after="0"/>
              <w:rPr>
                <w:sz w:val="20"/>
                <w:szCs w:val="20"/>
                <w:color w:val="auto"/>
              </w:rPr>
            </w:pPr>
            <w:r>
              <w:rPr>
                <w:rFonts w:ascii="Arial" w:cs="Arial" w:eastAsia="Arial" w:hAnsi="Arial"/>
                <w:sz w:val="10"/>
                <w:szCs w:val="10"/>
                <w:b w:val="1"/>
                <w:bCs w:val="1"/>
                <w:color w:val="auto"/>
              </w:rPr>
              <w:t>Year Ended</w:t>
            </w:r>
          </w:p>
        </w:tc>
      </w:tr>
      <w:tr>
        <w:trPr>
          <w:trHeight w:val="152"/>
        </w:trPr>
        <w:tc>
          <w:tcPr>
            <w:tcW w:w="630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160" w:type="dxa"/>
            <w:vAlign w:val="bottom"/>
            <w:tcBorders>
              <w:bottom w:val="single" w:sz="8" w:color="CFF0FC"/>
            </w:tcBorders>
          </w:tcPr>
          <w:p>
            <w:pPr>
              <w:spacing w:after="0"/>
              <w:rPr>
                <w:sz w:val="13"/>
                <w:szCs w:val="13"/>
                <w:color w:val="auto"/>
              </w:rPr>
            </w:pPr>
          </w:p>
        </w:tc>
        <w:tc>
          <w:tcPr>
            <w:tcW w:w="1720" w:type="dxa"/>
            <w:vAlign w:val="bottom"/>
            <w:tcBorders>
              <w:bottom w:val="single" w:sz="8" w:color="auto"/>
            </w:tcBorders>
          </w:tcPr>
          <w:p>
            <w:pPr>
              <w:jc w:val="center"/>
              <w:ind w:left="532"/>
              <w:spacing w:after="0"/>
              <w:rPr>
                <w:sz w:val="20"/>
                <w:szCs w:val="20"/>
                <w:color w:val="auto"/>
              </w:rPr>
            </w:pPr>
            <w:r>
              <w:rPr>
                <w:rFonts w:ascii="Arial" w:cs="Arial" w:eastAsia="Arial" w:hAnsi="Arial"/>
                <w:sz w:val="10"/>
                <w:szCs w:val="10"/>
                <w:b w:val="1"/>
                <w:bCs w:val="1"/>
                <w:color w:val="auto"/>
                <w:w w:val="86"/>
              </w:rPr>
              <w:t>December 31, 2017</w:t>
            </w:r>
          </w:p>
        </w:tc>
        <w:tc>
          <w:tcPr>
            <w:tcW w:w="60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1900" w:type="dxa"/>
            <w:vAlign w:val="bottom"/>
            <w:tcBorders>
              <w:bottom w:val="single" w:sz="8" w:color="auto"/>
            </w:tcBorders>
          </w:tcPr>
          <w:p>
            <w:pPr>
              <w:jc w:val="right"/>
              <w:ind w:right="726"/>
              <w:spacing w:after="0"/>
              <w:rPr>
                <w:sz w:val="20"/>
                <w:szCs w:val="20"/>
                <w:color w:val="auto"/>
              </w:rPr>
            </w:pPr>
            <w:r>
              <w:rPr>
                <w:rFonts w:ascii="Arial" w:cs="Arial" w:eastAsia="Arial" w:hAnsi="Arial"/>
                <w:sz w:val="10"/>
                <w:szCs w:val="10"/>
                <w:b w:val="1"/>
                <w:bCs w:val="1"/>
                <w:color w:val="auto"/>
              </w:rPr>
              <w:t>December 31, 2016</w:t>
            </w:r>
          </w:p>
        </w:tc>
        <w:tc>
          <w:tcPr>
            <w:tcW w:w="120" w:type="dxa"/>
            <w:vAlign w:val="bottom"/>
            <w:tcBorders>
              <w:bottom w:val="single" w:sz="8" w:color="CFF0FC"/>
            </w:tcBorders>
          </w:tcPr>
          <w:p>
            <w:pPr>
              <w:spacing w:after="0"/>
              <w:rPr>
                <w:sz w:val="13"/>
                <w:szCs w:val="13"/>
                <w:color w:val="auto"/>
              </w:rPr>
            </w:pPr>
          </w:p>
        </w:tc>
      </w:tr>
      <w:tr>
        <w:trPr>
          <w:trHeight w:val="142"/>
        </w:trPr>
        <w:tc>
          <w:tcPr>
            <w:tcW w:w="6300" w:type="dxa"/>
            <w:vAlign w:val="bottom"/>
            <w:shd w:val="clear" w:color="auto" w:fill="CFF0FC"/>
          </w:tcPr>
          <w:p>
            <w:pPr>
              <w:spacing w:after="0"/>
              <w:rPr>
                <w:sz w:val="20"/>
                <w:szCs w:val="20"/>
                <w:color w:val="auto"/>
              </w:rPr>
            </w:pPr>
            <w:r>
              <w:rPr>
                <w:rFonts w:ascii="Arial" w:cs="Arial" w:eastAsia="Arial" w:hAnsi="Arial"/>
                <w:sz w:val="12"/>
                <w:szCs w:val="12"/>
                <w:color w:val="auto"/>
              </w:rPr>
              <w:t>Pro forma revenue</w:t>
            </w:r>
          </w:p>
        </w:tc>
        <w:tc>
          <w:tcPr>
            <w:tcW w:w="1880" w:type="dxa"/>
            <w:vAlign w:val="bottom"/>
            <w:gridSpan w:val="2"/>
            <w:shd w:val="clear" w:color="auto" w:fill="CFF0FC"/>
          </w:tcPr>
          <w:p>
            <w:pPr>
              <w:jc w:val="right"/>
              <w:ind w:right="1612"/>
              <w:spacing w:after="0"/>
              <w:rPr>
                <w:sz w:val="20"/>
                <w:szCs w:val="20"/>
                <w:color w:val="auto"/>
              </w:rPr>
            </w:pPr>
            <w:r>
              <w:rPr>
                <w:rFonts w:ascii="Arial" w:cs="Arial" w:eastAsia="Arial" w:hAnsi="Arial"/>
                <w:sz w:val="12"/>
                <w:szCs w:val="12"/>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980,303</w:t>
            </w:r>
          </w:p>
        </w:tc>
        <w:tc>
          <w:tcPr>
            <w:tcW w:w="680" w:type="dxa"/>
            <w:vAlign w:val="bottom"/>
            <w:gridSpan w:val="2"/>
            <w:shd w:val="clear" w:color="auto" w:fill="CFF0FC"/>
          </w:tcPr>
          <w:p>
            <w:pPr>
              <w:jc w:val="right"/>
              <w:ind w:right="360"/>
              <w:spacing w:after="0"/>
              <w:rPr>
                <w:sz w:val="20"/>
                <w:szCs w:val="20"/>
                <w:color w:val="auto"/>
              </w:rPr>
            </w:pPr>
            <w:r>
              <w:rPr>
                <w:rFonts w:ascii="Arial" w:cs="Arial" w:eastAsia="Arial" w:hAnsi="Arial"/>
                <w:sz w:val="12"/>
                <w:szCs w:val="12"/>
                <w:color w:val="auto"/>
              </w:rPr>
              <w:t>$</w:t>
            </w: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891,373</w:t>
            </w:r>
          </w:p>
        </w:tc>
        <w:tc>
          <w:tcPr>
            <w:tcW w:w="120" w:type="dxa"/>
            <w:vAlign w:val="bottom"/>
            <w:shd w:val="clear" w:color="auto" w:fill="CFF0FC"/>
          </w:tcPr>
          <w:p>
            <w:pPr>
              <w:spacing w:after="0"/>
              <w:rPr>
                <w:sz w:val="12"/>
                <w:szCs w:val="12"/>
                <w:color w:val="auto"/>
              </w:rPr>
            </w:pPr>
          </w:p>
        </w:tc>
      </w:tr>
      <w:tr>
        <w:trPr>
          <w:trHeight w:val="153"/>
        </w:trPr>
        <w:tc>
          <w:tcPr>
            <w:tcW w:w="6300" w:type="dxa"/>
            <w:vAlign w:val="bottom"/>
          </w:tcPr>
          <w:p>
            <w:pPr>
              <w:spacing w:after="0"/>
              <w:rPr>
                <w:sz w:val="20"/>
                <w:szCs w:val="20"/>
                <w:color w:val="auto"/>
              </w:rPr>
            </w:pPr>
            <w:r>
              <w:rPr>
                <w:rFonts w:ascii="Arial" w:cs="Arial" w:eastAsia="Arial" w:hAnsi="Arial"/>
                <w:sz w:val="12"/>
                <w:szCs w:val="12"/>
                <w:color w:val="auto"/>
              </w:rPr>
              <w:t>Pro forma net income (loss)</w:t>
            </w:r>
          </w:p>
        </w:tc>
        <w:tc>
          <w:tcPr>
            <w:tcW w:w="16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600" w:type="dxa"/>
            <w:vAlign w:val="bottom"/>
          </w:tcPr>
          <w:p>
            <w:pPr>
              <w:jc w:val="right"/>
              <w:spacing w:after="0"/>
              <w:rPr>
                <w:sz w:val="20"/>
                <w:szCs w:val="20"/>
                <w:color w:val="auto"/>
              </w:rPr>
            </w:pPr>
            <w:r>
              <w:rPr>
                <w:rFonts w:ascii="Arial" w:cs="Arial" w:eastAsia="Arial" w:hAnsi="Arial"/>
                <w:sz w:val="12"/>
                <w:szCs w:val="12"/>
                <w:color w:val="auto"/>
              </w:rPr>
              <w:t>4,267</w:t>
            </w: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(2,482)</w:t>
            </w:r>
          </w:p>
        </w:tc>
      </w:tr>
    </w:tbl>
    <w:p>
      <w:pPr>
        <w:spacing w:after="0" w:line="99"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2016 Transactions</w:t>
      </w:r>
    </w:p>
    <w:p>
      <w:pPr>
        <w:spacing w:after="0" w:line="114"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Tower Cloud, Inc.</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On August 31, 2016, we acquired 100% of the outstanding equity of Tower Cloud, Inc. (“Tower Cloud”) for $187.5 million in cash and 1.9 million shares of our common stock with an acquisition date fair value of $58.5</w:t>
      </w:r>
    </w:p>
    <w:p>
      <w:pPr>
        <w:spacing w:after="0" w:line="15" w:lineRule="exact"/>
        <w:rPr>
          <w:sz w:val="20"/>
          <w:szCs w:val="20"/>
          <w:color w:val="auto"/>
        </w:rPr>
      </w:pPr>
    </w:p>
    <w:p>
      <w:pPr>
        <w:spacing w:after="0" w:line="279" w:lineRule="auto"/>
        <w:rPr>
          <w:rFonts w:ascii="Arial" w:cs="Arial" w:eastAsia="Arial" w:hAnsi="Arial"/>
          <w:sz w:val="11"/>
          <w:szCs w:val="11"/>
          <w:color w:val="auto"/>
        </w:rPr>
      </w:pPr>
      <w:r>
        <w:rPr>
          <w:rFonts w:ascii="Arial" w:cs="Arial" w:eastAsia="Arial" w:hAnsi="Arial"/>
          <w:sz w:val="11"/>
          <w:szCs w:val="11"/>
          <w:color w:val="auto"/>
        </w:rPr>
        <w:t xml:space="preserve">million. Additional contingent consideration of up to $130 million, with an acquisition date fair value of $98.6 million, may be paid upon the achievement of certain defined operational and financial milestones. At the Company’s discretion, a combination of cash and Uniti common shares may be used to satisfy the contingent consideration payments, provided that at least 50% of the aggregate amount of payments is satisfied in cash. Tower Cloud provides data transport services, with particular focus on providing infrastructure solutions to the wireless and enterprise sectors, including fiber-to-the-tower backhaul, small cell networks, and dark fiber deployments. Following the close of the transaction, the Tower Cloud business and the previously acquired PEG Bandwidth business were combined into a unified fiber infrastructure organization, Uniti Fiber. The operating results from this acquisition are included in the consolidated financial statements from the acquisition date. The acquisition was recorded by allocating the costs of the assets acquired based on their estimated fair values at the acquisition date. The excess of the cost of the acquisition over </w:t>
      </w:r>
      <w:hyperlink w:anchor="page94">
        <w:r>
          <w:rPr>
            <w:rFonts w:ascii="Arial" w:cs="Arial" w:eastAsia="Arial" w:hAnsi="Arial"/>
            <w:sz w:val="11"/>
            <w:szCs w:val="11"/>
            <w:color w:val="auto"/>
          </w:rPr>
          <w:t xml:space="preserve">the fair value of the assets acquired is recorded as goodwill within our Fiber Infrastructure segment. See </w:t>
        </w:r>
        <w:r>
          <w:rPr>
            <w:rFonts w:ascii="Arial" w:cs="Arial" w:eastAsia="Arial" w:hAnsi="Arial"/>
            <w:sz w:val="11"/>
            <w:szCs w:val="11"/>
            <w:u w:val="single" w:color="auto"/>
            <w:color w:val="0000EE"/>
          </w:rPr>
          <w:t>Note 14</w:t>
        </w:r>
        <w:r>
          <w:rPr>
            <w:rFonts w:ascii="Arial" w:cs="Arial" w:eastAsia="Arial" w:hAnsi="Arial"/>
            <w:sz w:val="11"/>
            <w:szCs w:val="11"/>
            <w:u w:val="single" w:color="auto"/>
            <w:color w:val="auto"/>
          </w:rPr>
          <w:t>. During the first quarter of 2017, certain contractual working capital adjustments resulted in a $0.2 million reduction of the</w:t>
        </w:r>
      </w:hyperlink>
      <w:r>
        <w:rPr>
          <w:rFonts w:ascii="Arial" w:cs="Arial" w:eastAsia="Arial" w:hAnsi="Arial"/>
          <w:sz w:val="11"/>
          <w:szCs w:val="11"/>
          <w:color w:val="auto"/>
        </w:rPr>
        <w:t xml:space="preserve"> </w:t>
      </w:r>
      <w:hyperlink w:anchor="page94">
        <w:r>
          <w:rPr>
            <w:rFonts w:ascii="Arial" w:cs="Arial" w:eastAsia="Arial" w:hAnsi="Arial"/>
            <w:sz w:val="11"/>
            <w:szCs w:val="11"/>
            <w:u w:val="single" w:color="auto"/>
            <w:color w:val="auto"/>
          </w:rPr>
          <w:t>purchase</w:t>
        </w:r>
        <w:r>
          <w:rPr>
            <w:rFonts w:ascii="Arial" w:cs="Arial" w:eastAsia="Arial" w:hAnsi="Arial"/>
            <w:sz w:val="11"/>
            <w:szCs w:val="11"/>
            <w:color w:val="auto"/>
          </w:rPr>
          <w:t xml:space="preserve"> price and goodwill. The following is a summary of the estimated fair values of the assets acquired and liabilities assumed as of the acquisition date:</w:t>
        </w:r>
      </w:hyperlink>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8720" w:type="dxa"/>
            <w:vAlign w:val="bottom"/>
            <w:tcBorders>
              <w:bottom w:val="single" w:sz="8" w:color="auto"/>
            </w:tcBorders>
          </w:tcPr>
          <w:p>
            <w:pPr>
              <w:spacing w:after="0"/>
              <w:rPr>
                <w:sz w:val="10"/>
                <w:szCs w:val="10"/>
                <w:color w:val="auto"/>
              </w:rPr>
            </w:pPr>
          </w:p>
        </w:tc>
        <w:tc>
          <w:tcPr>
            <w:tcW w:w="240" w:type="dxa"/>
            <w:vAlign w:val="bottom"/>
            <w:tcBorders>
              <w:bottom w:val="single" w:sz="8" w:color="CFF0FC"/>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tcPr>
          <w:p>
            <w:pPr>
              <w:jc w:val="right"/>
              <w:ind w:right="901"/>
              <w:spacing w:after="0"/>
              <w:rPr>
                <w:sz w:val="20"/>
                <w:szCs w:val="20"/>
                <w:color w:val="auto"/>
              </w:rPr>
            </w:pPr>
            <w:r>
              <w:rPr>
                <w:rFonts w:ascii="Arial" w:cs="Arial" w:eastAsia="Arial" w:hAnsi="Arial"/>
                <w:sz w:val="10"/>
                <w:szCs w:val="10"/>
                <w:b w:val="1"/>
                <w:bCs w:val="1"/>
                <w:color w:val="auto"/>
              </w:rPr>
              <w:t>(thousands)</w:t>
            </w:r>
          </w:p>
        </w:tc>
        <w:tc>
          <w:tcPr>
            <w:tcW w:w="120" w:type="dxa"/>
            <w:vAlign w:val="bottom"/>
            <w:tcBorders>
              <w:bottom w:val="single" w:sz="8" w:color="CFF0FC"/>
            </w:tcBorders>
          </w:tcPr>
          <w:p>
            <w:pPr>
              <w:spacing w:after="0"/>
              <w:rPr>
                <w:sz w:val="10"/>
                <w:szCs w:val="10"/>
                <w:color w:val="auto"/>
              </w:rPr>
            </w:pPr>
          </w:p>
        </w:tc>
      </w:tr>
      <w:tr>
        <w:trPr>
          <w:trHeight w:val="160"/>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Property, plant and equipment</w:t>
            </w:r>
          </w:p>
        </w:tc>
        <w:tc>
          <w:tcPr>
            <w:tcW w:w="520" w:type="dxa"/>
            <w:vAlign w:val="bottom"/>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163,680</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Cash and cash equivalents</w:t>
            </w: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14,346</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receivable</w:t>
            </w:r>
          </w:p>
        </w:tc>
        <w:tc>
          <w:tcPr>
            <w:tcW w:w="520" w:type="dxa"/>
            <w:vAlign w:val="bottom"/>
            <w:shd w:val="clear" w:color="auto" w:fill="CFF0FC"/>
          </w:tcPr>
          <w:p>
            <w:pPr>
              <w:spacing w:after="0"/>
              <w:rPr>
                <w:sz w:val="13"/>
                <w:szCs w:val="13"/>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3,043</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Other assets</w:t>
            </w: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2,595</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w:t>
            </w:r>
          </w:p>
        </w:tc>
        <w:tc>
          <w:tcPr>
            <w:tcW w:w="520" w:type="dxa"/>
            <w:vAlign w:val="bottom"/>
            <w:shd w:val="clear" w:color="auto" w:fill="CFF0FC"/>
          </w:tcPr>
          <w:p>
            <w:pPr>
              <w:spacing w:after="0"/>
              <w:rPr>
                <w:sz w:val="13"/>
                <w:szCs w:val="13"/>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117,032</w:t>
            </w:r>
          </w:p>
        </w:tc>
        <w:tc>
          <w:tcPr>
            <w:tcW w:w="120" w:type="dxa"/>
            <w:vAlign w:val="bottom"/>
            <w:shd w:val="clear" w:color="auto" w:fill="CFF0FC"/>
          </w:tcPr>
          <w:p>
            <w:pPr>
              <w:spacing w:after="0"/>
              <w:rPr>
                <w:sz w:val="13"/>
                <w:szCs w:val="13"/>
                <w:color w:val="auto"/>
              </w:rPr>
            </w:pP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Intangible assets</w:t>
            </w: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116,218</w:t>
            </w:r>
          </w:p>
        </w:tc>
        <w:tc>
          <w:tcPr>
            <w:tcW w:w="120" w:type="dxa"/>
            <w:vAlign w:val="bottom"/>
          </w:tcPr>
          <w:p>
            <w:pPr>
              <w:spacing w:after="0"/>
              <w:rPr>
                <w:sz w:val="13"/>
                <w:szCs w:val="13"/>
                <w:color w:val="auto"/>
              </w:rPr>
            </w:pP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Accounts payable, accrued expenses and other liabilities</w:t>
            </w:r>
          </w:p>
        </w:tc>
        <w:tc>
          <w:tcPr>
            <w:tcW w:w="520" w:type="dxa"/>
            <w:vAlign w:val="bottom"/>
            <w:shd w:val="clear" w:color="auto" w:fill="CFF0FC"/>
          </w:tcPr>
          <w:p>
            <w:pPr>
              <w:spacing w:after="0"/>
              <w:rPr>
                <w:sz w:val="13"/>
                <w:szCs w:val="13"/>
                <w:color w:val="auto"/>
              </w:rPr>
            </w:pPr>
          </w:p>
        </w:tc>
        <w:tc>
          <w:tcPr>
            <w:tcW w:w="20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(16,782)</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Deferred revenue</w:t>
            </w:r>
          </w:p>
        </w:tc>
        <w:tc>
          <w:tcPr>
            <w:tcW w:w="520" w:type="dxa"/>
            <w:vAlign w:val="bottom"/>
          </w:tcPr>
          <w:p>
            <w:pPr>
              <w:spacing w:after="0"/>
              <w:rPr>
                <w:sz w:val="13"/>
                <w:szCs w:val="13"/>
                <w:color w:val="auto"/>
              </w:rPr>
            </w:pPr>
          </w:p>
        </w:tc>
        <w:tc>
          <w:tcPr>
            <w:tcW w:w="2000" w:type="dxa"/>
            <w:vAlign w:val="bottom"/>
            <w:gridSpan w:val="2"/>
          </w:tcPr>
          <w:p>
            <w:pPr>
              <w:jc w:val="right"/>
              <w:ind w:right="80"/>
              <w:spacing w:after="0"/>
              <w:rPr>
                <w:sz w:val="20"/>
                <w:szCs w:val="20"/>
                <w:color w:val="auto"/>
              </w:rPr>
            </w:pPr>
            <w:r>
              <w:rPr>
                <w:rFonts w:ascii="Arial" w:cs="Arial" w:eastAsia="Arial" w:hAnsi="Arial"/>
                <w:sz w:val="12"/>
                <w:szCs w:val="12"/>
                <w:color w:val="auto"/>
              </w:rPr>
              <w:t>(23,900)</w:t>
            </w:r>
          </w:p>
        </w:tc>
      </w:tr>
      <w:tr>
        <w:trPr>
          <w:trHeight w:val="153"/>
        </w:trPr>
        <w:tc>
          <w:tcPr>
            <w:tcW w:w="896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Deferred income taxes</w:t>
            </w:r>
          </w:p>
        </w:tc>
        <w:tc>
          <w:tcPr>
            <w:tcW w:w="520" w:type="dxa"/>
            <w:vAlign w:val="bottom"/>
            <w:shd w:val="clear" w:color="auto" w:fill="CFF0FC"/>
          </w:tcPr>
          <w:p>
            <w:pPr>
              <w:spacing w:after="0"/>
              <w:rPr>
                <w:sz w:val="13"/>
                <w:szCs w:val="13"/>
                <w:color w:val="auto"/>
              </w:rPr>
            </w:pPr>
          </w:p>
        </w:tc>
        <w:tc>
          <w:tcPr>
            <w:tcW w:w="20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(24,866)</w:t>
            </w:r>
          </w:p>
        </w:tc>
      </w:tr>
      <w:tr>
        <w:trPr>
          <w:trHeight w:val="153"/>
        </w:trPr>
        <w:tc>
          <w:tcPr>
            <w:tcW w:w="8960" w:type="dxa"/>
            <w:vAlign w:val="bottom"/>
            <w:gridSpan w:val="2"/>
          </w:tcPr>
          <w:p>
            <w:pPr>
              <w:spacing w:after="0"/>
              <w:rPr>
                <w:sz w:val="20"/>
                <w:szCs w:val="20"/>
                <w:color w:val="auto"/>
              </w:rPr>
            </w:pPr>
            <w:r>
              <w:rPr>
                <w:rFonts w:ascii="Arial" w:cs="Arial" w:eastAsia="Arial" w:hAnsi="Arial"/>
                <w:sz w:val="12"/>
                <w:szCs w:val="12"/>
                <w:color w:val="auto"/>
              </w:rPr>
              <w:t>Capital lease obligations</w:t>
            </w:r>
          </w:p>
        </w:tc>
        <w:tc>
          <w:tcPr>
            <w:tcW w:w="520" w:type="dxa"/>
            <w:vAlign w:val="bottom"/>
          </w:tcPr>
          <w:p>
            <w:pPr>
              <w:spacing w:after="0"/>
              <w:rPr>
                <w:sz w:val="13"/>
                <w:szCs w:val="13"/>
                <w:color w:val="auto"/>
              </w:rPr>
            </w:pPr>
          </w:p>
        </w:tc>
        <w:tc>
          <w:tcPr>
            <w:tcW w:w="2000" w:type="dxa"/>
            <w:vAlign w:val="bottom"/>
            <w:gridSpan w:val="2"/>
          </w:tcPr>
          <w:p>
            <w:pPr>
              <w:jc w:val="right"/>
              <w:ind w:right="80"/>
              <w:spacing w:after="0"/>
              <w:rPr>
                <w:sz w:val="20"/>
                <w:szCs w:val="20"/>
                <w:color w:val="auto"/>
              </w:rPr>
            </w:pPr>
            <w:r>
              <w:rPr>
                <w:rFonts w:ascii="Arial" w:cs="Arial" w:eastAsia="Arial" w:hAnsi="Arial"/>
                <w:sz w:val="12"/>
                <w:szCs w:val="12"/>
                <w:color w:val="auto"/>
              </w:rPr>
              <w:t>(6,750)</w:t>
            </w:r>
          </w:p>
        </w:tc>
      </w:tr>
      <w:tr>
        <w:trPr>
          <w:trHeight w:val="149"/>
        </w:trPr>
        <w:tc>
          <w:tcPr>
            <w:tcW w:w="896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purchase consideration</w:t>
            </w:r>
          </w:p>
        </w:tc>
        <w:tc>
          <w:tcPr>
            <w:tcW w:w="520" w:type="dxa"/>
            <w:vAlign w:val="bottom"/>
            <w:tcBorders>
              <w:top w:val="single" w:sz="8" w:color="auto"/>
              <w:bottom w:val="single" w:sz="8" w:color="auto"/>
            </w:tcBorders>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344,616</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r>
    </w:tbl>
    <w:p>
      <w:pPr>
        <w:spacing w:after="0" w:line="207" w:lineRule="exact"/>
        <w:rPr>
          <w:sz w:val="20"/>
          <w:szCs w:val="20"/>
          <w:color w:val="auto"/>
        </w:rPr>
      </w:pPr>
    </w:p>
    <w:p>
      <w:pPr>
        <w:jc w:val="both"/>
        <w:spacing w:after="0" w:line="276" w:lineRule="auto"/>
        <w:rPr>
          <w:sz w:val="20"/>
          <w:szCs w:val="20"/>
          <w:color w:val="auto"/>
        </w:rPr>
      </w:pPr>
      <w:r>
        <w:rPr>
          <w:rFonts w:ascii="Arial" w:cs="Arial" w:eastAsia="Arial" w:hAnsi="Arial"/>
          <w:sz w:val="12"/>
          <w:szCs w:val="12"/>
          <w:color w:val="auto"/>
        </w:rPr>
        <w:t>The goodwill is primarily attributable to strategic opportunities that arose from the acquisition of Tower Cloud. The acquisition was treated as a taxable acquisition of the outstanding stock of Tower Cloud, Inc. Thus, none of the goodwill is expected to be deductible for tax purposes.</w:t>
      </w:r>
    </w:p>
    <w:p>
      <w:pPr>
        <w:spacing w:after="0" w:line="115" w:lineRule="exact"/>
        <w:rPr>
          <w:sz w:val="20"/>
          <w:szCs w:val="20"/>
          <w:color w:val="auto"/>
        </w:rPr>
      </w:pPr>
    </w:p>
    <w:p>
      <w:pPr>
        <w:ind w:right="200"/>
        <w:spacing w:after="0" w:line="276" w:lineRule="auto"/>
        <w:rPr>
          <w:sz w:val="20"/>
          <w:szCs w:val="20"/>
          <w:color w:val="auto"/>
        </w:rPr>
      </w:pPr>
      <w:r>
        <w:rPr>
          <w:rFonts w:ascii="Arial" w:cs="Arial" w:eastAsia="Arial" w:hAnsi="Arial"/>
          <w:sz w:val="12"/>
          <w:szCs w:val="12"/>
          <w:color w:val="auto"/>
        </w:rPr>
        <w:t>We acquired an intangible asset that was assigned to customer relationships of $116.2 million (30 year life). The Company determined the useful life for the customer relationship by applying an income approach (using the multi-period excess earnings method with a discount rate commensurate to the risk of the asset) and resulted from two key</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80" w:name="page81"/>
    <w:bookmarkEnd w:id="8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considerations: attrition rate and cumulative present value of cash flows, including assessing the period over which the asset is expected to contribute to the Company’s future cash flows.</w:t>
      </w:r>
    </w:p>
    <w:p>
      <w:pPr>
        <w:spacing w:after="0" w:line="150" w:lineRule="exact"/>
        <w:rPr>
          <w:sz w:val="20"/>
          <w:szCs w:val="20"/>
          <w:color w:val="auto"/>
        </w:rPr>
      </w:pPr>
    </w:p>
    <w:p>
      <w:pPr>
        <w:ind w:right="20"/>
        <w:spacing w:after="0" w:line="259" w:lineRule="auto"/>
        <w:rPr>
          <w:sz w:val="20"/>
          <w:szCs w:val="20"/>
          <w:color w:val="auto"/>
        </w:rPr>
      </w:pPr>
      <w:r>
        <w:rPr>
          <w:rFonts w:ascii="Arial" w:cs="Arial" w:eastAsia="Arial" w:hAnsi="Arial"/>
          <w:sz w:val="12"/>
          <w:szCs w:val="12"/>
          <w:color w:val="auto"/>
        </w:rPr>
        <w:t>Tower Cloud had federal net operating loss (“NOL”) carryforwards of approximately $81.2 million at the date of the acquisition, which will expire between 2026 and 2036. As a result of the change in ownership, the utilization of NOL carryforwards is subject to limitations imposed by the Internal Revenue Code. The gross deferred tax assets associated with the NOL and other temporary differences as of August 31, 2016 were approximately $37.0 million. A net deferred tax liability of $24.8 million was recorded in connection with the acquisition, which is primarily related to the excess of the recorded amounts for Property, Plant and Equipment and Intangible Assets over their respective historical tax bases.</w:t>
      </w:r>
    </w:p>
    <w:p>
      <w:pPr>
        <w:spacing w:after="0" w:line="125" w:lineRule="exact"/>
        <w:rPr>
          <w:sz w:val="20"/>
          <w:szCs w:val="20"/>
          <w:color w:val="auto"/>
        </w:rPr>
      </w:pPr>
    </w:p>
    <w:p>
      <w:pPr>
        <w:ind w:right="260"/>
        <w:spacing w:after="0" w:line="323" w:lineRule="auto"/>
        <w:rPr>
          <w:sz w:val="20"/>
          <w:szCs w:val="20"/>
          <w:color w:val="auto"/>
        </w:rPr>
      </w:pPr>
      <w:r>
        <w:rPr>
          <w:rFonts w:ascii="Arial" w:cs="Arial" w:eastAsia="Arial" w:hAnsi="Arial"/>
          <w:sz w:val="11"/>
          <w:szCs w:val="11"/>
          <w:color w:val="auto"/>
        </w:rPr>
        <w:t>The acquired business contributed revenue of $13.5 million and an operating loss of $2.1 million, which excludes transaction and transition costs, to our consolidated results from the date of acquisition through December 31, 2016. We recorded transaction related costs related to the acquisition of Tower Cloud for the year ended December 31, 2016 of $9.1 million within transaction related costs on the Consolidated Statement of Income.</w:t>
      </w:r>
    </w:p>
    <w:p>
      <w:pPr>
        <w:spacing w:after="0" w:line="92" w:lineRule="exact"/>
        <w:rPr>
          <w:sz w:val="20"/>
          <w:szCs w:val="20"/>
          <w:color w:val="auto"/>
        </w:rPr>
      </w:pPr>
    </w:p>
    <w:p>
      <w:pPr>
        <w:jc w:val="both"/>
        <w:ind w:right="180"/>
        <w:spacing w:after="0" w:line="298" w:lineRule="auto"/>
        <w:rPr>
          <w:sz w:val="20"/>
          <w:szCs w:val="20"/>
          <w:color w:val="auto"/>
        </w:rPr>
      </w:pPr>
      <w:r>
        <w:rPr>
          <w:rFonts w:ascii="Arial" w:cs="Arial" w:eastAsia="Arial" w:hAnsi="Arial"/>
          <w:sz w:val="11"/>
          <w:szCs w:val="11"/>
          <w:color w:val="auto"/>
        </w:rPr>
        <w:t>The following table presents the unaudited pro forma summary of our financial results as if the business combination had occurred as of the Spin-Off. The pro forma results include additional depreciation and amortization resulting from purchase accounting adjustments, adjustments to amortized deferred revenue, and interest expense associated with debt used to fund the acquisition. The pro forma results do not include any synergies or other benefits of the acquisition. The pro forma results are not indicative of future results of operations, or results that might have been achieved had the acquisition been consummated as of the Spin-Off.</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24"/>
        </w:trPr>
        <w:tc>
          <w:tcPr>
            <w:tcW w:w="7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3360" w:type="dxa"/>
            <w:vAlign w:val="bottom"/>
            <w:gridSpan w:val="2"/>
          </w:tcPr>
          <w:p>
            <w:pPr>
              <w:jc w:val="right"/>
              <w:ind w:right="2000"/>
              <w:spacing w:after="0"/>
              <w:rPr>
                <w:sz w:val="20"/>
                <w:szCs w:val="20"/>
                <w:color w:val="auto"/>
              </w:rPr>
            </w:pPr>
            <w:r>
              <w:rPr>
                <w:rFonts w:ascii="Arial" w:cs="Arial" w:eastAsia="Arial" w:hAnsi="Arial"/>
                <w:sz w:val="10"/>
                <w:szCs w:val="10"/>
                <w:b w:val="1"/>
                <w:bCs w:val="1"/>
                <w:color w:val="auto"/>
              </w:rPr>
              <w:t>Year Ended</w:t>
            </w:r>
          </w:p>
        </w:tc>
      </w:tr>
      <w:tr>
        <w:trPr>
          <w:trHeight w:val="152"/>
        </w:trPr>
        <w:tc>
          <w:tcPr>
            <w:tcW w:w="712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22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3020" w:type="dxa"/>
            <w:vAlign w:val="bottom"/>
            <w:tcBorders>
              <w:bottom w:val="single" w:sz="8" w:color="auto"/>
            </w:tcBorders>
          </w:tcPr>
          <w:p>
            <w:pPr>
              <w:jc w:val="right"/>
              <w:ind w:right="1466"/>
              <w:spacing w:after="0"/>
              <w:rPr>
                <w:sz w:val="20"/>
                <w:szCs w:val="20"/>
                <w:color w:val="auto"/>
              </w:rPr>
            </w:pPr>
            <w:r>
              <w:rPr>
                <w:rFonts w:ascii="Arial" w:cs="Arial" w:eastAsia="Arial" w:hAnsi="Arial"/>
                <w:sz w:val="10"/>
                <w:szCs w:val="10"/>
                <w:b w:val="1"/>
                <w:bCs w:val="1"/>
                <w:color w:val="auto"/>
              </w:rPr>
              <w:t>December 31, 2016</w:t>
            </w:r>
          </w:p>
        </w:tc>
        <w:tc>
          <w:tcPr>
            <w:tcW w:w="340" w:type="dxa"/>
            <w:vAlign w:val="bottom"/>
            <w:tcBorders>
              <w:bottom w:val="single" w:sz="8" w:color="CFF0FC"/>
            </w:tcBorders>
          </w:tcPr>
          <w:p>
            <w:pPr>
              <w:spacing w:after="0"/>
              <w:rPr>
                <w:sz w:val="13"/>
                <w:szCs w:val="13"/>
                <w:color w:val="auto"/>
              </w:rPr>
            </w:pPr>
          </w:p>
        </w:tc>
      </w:tr>
      <w:tr>
        <w:trPr>
          <w:trHeight w:val="142"/>
        </w:trPr>
        <w:tc>
          <w:tcPr>
            <w:tcW w:w="73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 forma revenue</w:t>
            </w:r>
          </w:p>
        </w:tc>
        <w:tc>
          <w:tcPr>
            <w:tcW w:w="780" w:type="dxa"/>
            <w:vAlign w:val="bottom"/>
            <w:shd w:val="clear" w:color="auto" w:fill="CFF0FC"/>
          </w:tcPr>
          <w:p>
            <w:pPr>
              <w:jc w:val="right"/>
              <w:ind w:right="670"/>
              <w:spacing w:after="0"/>
              <w:rPr>
                <w:sz w:val="20"/>
                <w:szCs w:val="20"/>
                <w:color w:val="auto"/>
              </w:rPr>
            </w:pPr>
            <w:r>
              <w:rPr>
                <w:rFonts w:ascii="Arial" w:cs="Arial" w:eastAsia="Arial" w:hAnsi="Arial"/>
                <w:sz w:val="10"/>
                <w:szCs w:val="10"/>
                <w:color w:val="auto"/>
                <w:w w:val="71"/>
              </w:rPr>
              <w:t>$</w:t>
            </w:r>
          </w:p>
        </w:tc>
        <w:tc>
          <w:tcPr>
            <w:tcW w:w="30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798,054</w:t>
            </w:r>
          </w:p>
        </w:tc>
        <w:tc>
          <w:tcPr>
            <w:tcW w:w="340" w:type="dxa"/>
            <w:vAlign w:val="bottom"/>
            <w:shd w:val="clear" w:color="auto" w:fill="CFF0FC"/>
          </w:tcPr>
          <w:p>
            <w:pPr>
              <w:spacing w:after="0"/>
              <w:rPr>
                <w:sz w:val="12"/>
                <w:szCs w:val="12"/>
                <w:color w:val="auto"/>
              </w:rPr>
            </w:pPr>
          </w:p>
        </w:tc>
      </w:tr>
      <w:tr>
        <w:trPr>
          <w:trHeight w:val="153"/>
        </w:trPr>
        <w:tc>
          <w:tcPr>
            <w:tcW w:w="7340" w:type="dxa"/>
            <w:vAlign w:val="bottom"/>
            <w:gridSpan w:val="2"/>
          </w:tcPr>
          <w:p>
            <w:pPr>
              <w:spacing w:after="0"/>
              <w:rPr>
                <w:sz w:val="20"/>
                <w:szCs w:val="20"/>
                <w:color w:val="auto"/>
              </w:rPr>
            </w:pPr>
            <w:r>
              <w:rPr>
                <w:rFonts w:ascii="Arial" w:cs="Arial" w:eastAsia="Arial" w:hAnsi="Arial"/>
                <w:sz w:val="12"/>
                <w:szCs w:val="12"/>
                <w:color w:val="auto"/>
              </w:rPr>
              <w:t>Pro forma net (loss) income</w:t>
            </w:r>
          </w:p>
        </w:tc>
        <w:tc>
          <w:tcPr>
            <w:tcW w:w="780" w:type="dxa"/>
            <w:vAlign w:val="bottom"/>
          </w:tcPr>
          <w:p>
            <w:pPr>
              <w:spacing w:after="0"/>
              <w:rPr>
                <w:sz w:val="13"/>
                <w:szCs w:val="13"/>
                <w:color w:val="auto"/>
              </w:rPr>
            </w:pPr>
          </w:p>
        </w:tc>
        <w:tc>
          <w:tcPr>
            <w:tcW w:w="3360" w:type="dxa"/>
            <w:vAlign w:val="bottom"/>
            <w:gridSpan w:val="2"/>
          </w:tcPr>
          <w:p>
            <w:pPr>
              <w:jc w:val="right"/>
              <w:ind w:right="300"/>
              <w:spacing w:after="0"/>
              <w:rPr>
                <w:sz w:val="20"/>
                <w:szCs w:val="20"/>
                <w:color w:val="auto"/>
              </w:rPr>
            </w:pPr>
            <w:r>
              <w:rPr>
                <w:rFonts w:ascii="Arial" w:cs="Arial" w:eastAsia="Arial" w:hAnsi="Arial"/>
                <w:sz w:val="12"/>
                <w:szCs w:val="12"/>
                <w:color w:val="auto"/>
              </w:rPr>
              <w:t>(3,581)</w:t>
            </w:r>
          </w:p>
        </w:tc>
      </w:tr>
      <w:tr>
        <w:trPr>
          <w:trHeight w:val="252"/>
        </w:trPr>
        <w:tc>
          <w:tcPr>
            <w:tcW w:w="7340" w:type="dxa"/>
            <w:vAlign w:val="bottom"/>
            <w:gridSpan w:val="2"/>
          </w:tcPr>
          <w:p>
            <w:pPr>
              <w:spacing w:after="0"/>
              <w:rPr>
                <w:sz w:val="20"/>
                <w:szCs w:val="20"/>
                <w:color w:val="auto"/>
              </w:rPr>
            </w:pPr>
            <w:r>
              <w:rPr>
                <w:rFonts w:ascii="Arial" w:cs="Arial" w:eastAsia="Arial" w:hAnsi="Arial"/>
                <w:sz w:val="12"/>
                <w:szCs w:val="12"/>
                <w:i w:val="1"/>
                <w:iCs w:val="1"/>
                <w:color w:val="auto"/>
              </w:rPr>
              <w:t>PEG Bandwidth, LLC</w:t>
            </w:r>
          </w:p>
        </w:tc>
        <w:tc>
          <w:tcPr>
            <w:tcW w:w="780" w:type="dxa"/>
            <w:vAlign w:val="bottom"/>
          </w:tcPr>
          <w:p>
            <w:pPr>
              <w:spacing w:after="0"/>
              <w:rPr>
                <w:sz w:val="21"/>
                <w:szCs w:val="21"/>
                <w:color w:val="auto"/>
              </w:rPr>
            </w:pPr>
          </w:p>
        </w:tc>
        <w:tc>
          <w:tcPr>
            <w:tcW w:w="3020" w:type="dxa"/>
            <w:vAlign w:val="bottom"/>
          </w:tcPr>
          <w:p>
            <w:pPr>
              <w:spacing w:after="0"/>
              <w:rPr>
                <w:sz w:val="21"/>
                <w:szCs w:val="21"/>
                <w:color w:val="auto"/>
              </w:rPr>
            </w:pPr>
          </w:p>
        </w:tc>
        <w:tc>
          <w:tcPr>
            <w:tcW w:w="340" w:type="dxa"/>
            <w:vAlign w:val="bottom"/>
          </w:tcPr>
          <w:p>
            <w:pPr>
              <w:spacing w:after="0"/>
              <w:rPr>
                <w:sz w:val="21"/>
                <w:szCs w:val="21"/>
                <w:color w:val="auto"/>
              </w:rPr>
            </w:pPr>
          </w:p>
        </w:tc>
      </w:tr>
    </w:tbl>
    <w:p>
      <w:pPr>
        <w:spacing w:after="0" w:line="135" w:lineRule="exact"/>
        <w:rPr>
          <w:sz w:val="20"/>
          <w:szCs w:val="20"/>
          <w:color w:val="auto"/>
        </w:rPr>
      </w:pPr>
    </w:p>
    <w:p>
      <w:pPr>
        <w:ind w:right="40"/>
        <w:spacing w:after="0" w:line="257" w:lineRule="auto"/>
        <w:rPr>
          <w:rFonts w:ascii="Arial" w:cs="Arial" w:eastAsia="Arial" w:hAnsi="Arial"/>
          <w:sz w:val="12"/>
          <w:szCs w:val="12"/>
          <w:color w:val="auto"/>
        </w:rPr>
      </w:pPr>
      <w:r>
        <w:rPr>
          <w:rFonts w:ascii="Arial" w:cs="Arial" w:eastAsia="Arial" w:hAnsi="Arial"/>
          <w:sz w:val="12"/>
          <w:szCs w:val="12"/>
          <w:color w:val="auto"/>
        </w:rPr>
        <w:t xml:space="preserve">On May 2, 2016, we acquired 100% of the outstanding equity of PEG Bandwidth for $322.5 million in cash, the issuance of 87,500 shares of our 3.00% Series A Convertible Preferred Stock (“Series A Shares”) with a fair value of $78.6 million and 1 million shares of our common stock with an acquisition date fair value of $23.2 million. PEG Bandwidth is a leading provider of infrastructure solutions, including cell site backhaul and dark fiber, to the telecommunications industry. The operating results from this acquisition are included in the consolidated financial statements from the acquisition date. The acquisition was recorded by allocating the costs of the assets acquired based on their estimated fair values at the acquisition date. The excess of the cost of the acquisition over the fair value of the assets acquired is recorded as goodwill within our Fiber Infrastructure segment. See </w:t>
      </w:r>
      <w:hyperlink w:anchor="page94">
        <w:r>
          <w:rPr>
            <w:rFonts w:ascii="Arial" w:cs="Arial" w:eastAsia="Arial" w:hAnsi="Arial"/>
            <w:sz w:val="12"/>
            <w:szCs w:val="12"/>
            <w:u w:val="single" w:color="auto"/>
            <w:color w:val="auto"/>
          </w:rPr>
          <w:t>Note 14</w:t>
        </w:r>
        <w:r>
          <w:rPr>
            <w:rFonts w:ascii="Arial" w:cs="Arial" w:eastAsia="Arial" w:hAnsi="Arial"/>
            <w:sz w:val="12"/>
            <w:szCs w:val="12"/>
            <w:u w:val="single" w:color="auto"/>
            <w:color w:val="0000EE"/>
          </w:rPr>
          <w:t>. The following</w:t>
        </w:r>
        <w:r>
          <w:rPr>
            <w:rFonts w:ascii="Arial" w:cs="Arial" w:eastAsia="Arial" w:hAnsi="Arial"/>
            <w:sz w:val="12"/>
            <w:szCs w:val="12"/>
            <w:u w:val="single" w:color="auto"/>
            <w:color w:val="auto"/>
          </w:rPr>
          <w:t xml:space="preserve"> </w:t>
        </w:r>
      </w:hyperlink>
      <w:r>
        <w:rPr>
          <w:rFonts w:ascii="Arial" w:cs="Arial" w:eastAsia="Arial" w:hAnsi="Arial"/>
          <w:sz w:val="12"/>
          <w:szCs w:val="12"/>
          <w:color w:val="auto"/>
        </w:rPr>
        <w:t>is a summary of the estimated fair values of the assets acquired and liabilities assumed as of the acquisition date:</w:t>
      </w:r>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180" w:type="dxa"/>
            <w:vAlign w:val="bottom"/>
            <w:tcBorders>
              <w:bottom w:val="single" w:sz="8" w:color="auto"/>
            </w:tcBorders>
          </w:tcPr>
          <w:p>
            <w:pPr>
              <w:spacing w:after="0"/>
              <w:rPr>
                <w:sz w:val="10"/>
                <w:szCs w:val="10"/>
                <w:color w:val="auto"/>
              </w:rPr>
            </w:pPr>
          </w:p>
        </w:tc>
        <w:tc>
          <w:tcPr>
            <w:tcW w:w="4540" w:type="dxa"/>
            <w:vAlign w:val="bottom"/>
            <w:tcBorders>
              <w:bottom w:val="single" w:sz="8" w:color="auto"/>
            </w:tcBorders>
          </w:tcPr>
          <w:p>
            <w:pPr>
              <w:spacing w:after="0"/>
              <w:rPr>
                <w:sz w:val="10"/>
                <w:szCs w:val="10"/>
                <w:color w:val="auto"/>
              </w:rPr>
            </w:pPr>
          </w:p>
        </w:tc>
        <w:tc>
          <w:tcPr>
            <w:tcW w:w="240" w:type="dxa"/>
            <w:vAlign w:val="bottom"/>
            <w:tcBorders>
              <w:bottom w:val="single" w:sz="8" w:color="CFF0FC"/>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tcPr>
          <w:p>
            <w:pPr>
              <w:jc w:val="right"/>
              <w:ind w:right="901"/>
              <w:spacing w:after="0"/>
              <w:rPr>
                <w:sz w:val="20"/>
                <w:szCs w:val="20"/>
                <w:color w:val="auto"/>
              </w:rPr>
            </w:pPr>
            <w:r>
              <w:rPr>
                <w:rFonts w:ascii="Arial" w:cs="Arial" w:eastAsia="Arial" w:hAnsi="Arial"/>
                <w:sz w:val="10"/>
                <w:szCs w:val="10"/>
                <w:b w:val="1"/>
                <w:bCs w:val="1"/>
                <w:color w:val="auto"/>
              </w:rPr>
              <w:t>(thousands)</w:t>
            </w:r>
          </w:p>
        </w:tc>
        <w:tc>
          <w:tcPr>
            <w:tcW w:w="120" w:type="dxa"/>
            <w:vAlign w:val="bottom"/>
            <w:tcBorders>
              <w:bottom w:val="single" w:sz="8" w:color="CFF0FC"/>
            </w:tcBorders>
          </w:tcPr>
          <w:p>
            <w:pPr>
              <w:spacing w:after="0"/>
              <w:rPr>
                <w:sz w:val="10"/>
                <w:szCs w:val="10"/>
                <w:color w:val="auto"/>
              </w:rPr>
            </w:pPr>
          </w:p>
        </w:tc>
        <w:tc>
          <w:tcPr>
            <w:tcW w:w="20" w:type="dxa"/>
            <w:vAlign w:val="bottom"/>
          </w:tcPr>
          <w:p>
            <w:pPr>
              <w:spacing w:after="0"/>
              <w:rPr>
                <w:sz w:val="10"/>
                <w:szCs w:val="10"/>
                <w:color w:val="auto"/>
              </w:rPr>
            </w:pPr>
          </w:p>
        </w:tc>
      </w:tr>
      <w:tr>
        <w:trPr>
          <w:trHeight w:val="160"/>
        </w:trPr>
        <w:tc>
          <w:tcPr>
            <w:tcW w:w="4180" w:type="dxa"/>
            <w:vAlign w:val="bottom"/>
            <w:shd w:val="clear" w:color="auto" w:fill="CFF0FC"/>
          </w:tcPr>
          <w:p>
            <w:pPr>
              <w:spacing w:after="0"/>
              <w:rPr>
                <w:sz w:val="20"/>
                <w:szCs w:val="20"/>
                <w:color w:val="auto"/>
              </w:rPr>
            </w:pPr>
            <w:r>
              <w:rPr>
                <w:rFonts w:ascii="Arial" w:cs="Arial" w:eastAsia="Arial" w:hAnsi="Arial"/>
                <w:sz w:val="12"/>
                <w:szCs w:val="12"/>
                <w:color w:val="auto"/>
              </w:rPr>
              <w:t>Property, plant and equipment</w:t>
            </w:r>
          </w:p>
        </w:tc>
        <w:tc>
          <w:tcPr>
            <w:tcW w:w="5300" w:type="dxa"/>
            <w:vAlign w:val="bottom"/>
            <w:gridSpan w:val="3"/>
            <w:shd w:val="clear" w:color="auto" w:fill="CFF0FC"/>
          </w:tcPr>
          <w:p>
            <w:pPr>
              <w:jc w:val="right"/>
              <w:ind w:right="410"/>
              <w:spacing w:after="0"/>
              <w:rPr>
                <w:sz w:val="20"/>
                <w:szCs w:val="20"/>
                <w:color w:val="auto"/>
              </w:rPr>
            </w:pPr>
            <w:r>
              <w:rPr>
                <w:rFonts w:ascii="Arial" w:cs="Arial" w:eastAsia="Arial" w:hAnsi="Arial"/>
                <w:sz w:val="12"/>
                <w:szCs w:val="12"/>
                <w:color w:val="auto"/>
              </w:rPr>
              <w:t>$</w:t>
            </w: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293,030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180" w:type="dxa"/>
            <w:vAlign w:val="bottom"/>
          </w:tcPr>
          <w:p>
            <w:pPr>
              <w:spacing w:after="0"/>
              <w:rPr>
                <w:sz w:val="20"/>
                <w:szCs w:val="20"/>
                <w:color w:val="auto"/>
              </w:rPr>
            </w:pPr>
            <w:r>
              <w:rPr>
                <w:rFonts w:ascii="Arial" w:cs="Arial" w:eastAsia="Arial" w:hAnsi="Arial"/>
                <w:sz w:val="12"/>
                <w:szCs w:val="12"/>
                <w:color w:val="auto"/>
              </w:rPr>
              <w:t>Cash and cash equivalents</w:t>
            </w:r>
          </w:p>
        </w:tc>
        <w:tc>
          <w:tcPr>
            <w:tcW w:w="4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7,003</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180" w:type="dxa"/>
            <w:vAlign w:val="bottom"/>
            <w:shd w:val="clear" w:color="auto" w:fill="CFF0FC"/>
          </w:tcPr>
          <w:p>
            <w:pPr>
              <w:spacing w:after="0"/>
              <w:rPr>
                <w:sz w:val="20"/>
                <w:szCs w:val="20"/>
                <w:color w:val="auto"/>
              </w:rPr>
            </w:pPr>
            <w:r>
              <w:rPr>
                <w:rFonts w:ascii="Arial" w:cs="Arial" w:eastAsia="Arial" w:hAnsi="Arial"/>
                <w:sz w:val="12"/>
                <w:szCs w:val="12"/>
                <w:color w:val="auto"/>
              </w:rPr>
              <w:t>Accounts receivable</w:t>
            </w:r>
          </w:p>
        </w:tc>
        <w:tc>
          <w:tcPr>
            <w:tcW w:w="45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6,584</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180" w:type="dxa"/>
            <w:vAlign w:val="bottom"/>
          </w:tcPr>
          <w:p>
            <w:pPr>
              <w:spacing w:after="0"/>
              <w:rPr>
                <w:sz w:val="20"/>
                <w:szCs w:val="20"/>
                <w:color w:val="auto"/>
              </w:rPr>
            </w:pPr>
            <w:r>
              <w:rPr>
                <w:rFonts w:ascii="Arial" w:cs="Arial" w:eastAsia="Arial" w:hAnsi="Arial"/>
                <w:sz w:val="12"/>
                <w:szCs w:val="12"/>
                <w:color w:val="auto"/>
              </w:rPr>
              <w:t>Other assets</w:t>
            </w:r>
          </w:p>
        </w:tc>
        <w:tc>
          <w:tcPr>
            <w:tcW w:w="4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5,161</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180" w:type="dxa"/>
            <w:vAlign w:val="bottom"/>
            <w:shd w:val="clear" w:color="auto" w:fill="CFF0FC"/>
          </w:tcPr>
          <w:p>
            <w:pPr>
              <w:spacing w:after="0"/>
              <w:rPr>
                <w:sz w:val="20"/>
                <w:szCs w:val="20"/>
                <w:color w:val="auto"/>
              </w:rPr>
            </w:pPr>
            <w:r>
              <w:rPr>
                <w:rFonts w:ascii="Arial" w:cs="Arial" w:eastAsia="Arial" w:hAnsi="Arial"/>
                <w:sz w:val="12"/>
                <w:szCs w:val="12"/>
                <w:color w:val="auto"/>
              </w:rPr>
              <w:t>Goodwill</w:t>
            </w:r>
          </w:p>
        </w:tc>
        <w:tc>
          <w:tcPr>
            <w:tcW w:w="45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145,054</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180" w:type="dxa"/>
            <w:vAlign w:val="bottom"/>
          </w:tcPr>
          <w:p>
            <w:pPr>
              <w:spacing w:after="0"/>
              <w:rPr>
                <w:sz w:val="20"/>
                <w:szCs w:val="20"/>
                <w:color w:val="auto"/>
              </w:rPr>
            </w:pPr>
            <w:r>
              <w:rPr>
                <w:rFonts w:ascii="Arial" w:cs="Arial" w:eastAsia="Arial" w:hAnsi="Arial"/>
                <w:sz w:val="12"/>
                <w:szCs w:val="12"/>
                <w:color w:val="auto"/>
              </w:rPr>
              <w:t>Intangible assets</w:t>
            </w:r>
          </w:p>
        </w:tc>
        <w:tc>
          <w:tcPr>
            <w:tcW w:w="4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80" w:type="dxa"/>
            <w:vAlign w:val="bottom"/>
          </w:tcPr>
          <w:p>
            <w:pPr>
              <w:jc w:val="right"/>
              <w:spacing w:after="0"/>
              <w:rPr>
                <w:sz w:val="20"/>
                <w:szCs w:val="20"/>
                <w:color w:val="auto"/>
              </w:rPr>
            </w:pPr>
            <w:r>
              <w:rPr>
                <w:rFonts w:ascii="Arial" w:cs="Arial" w:eastAsia="Arial" w:hAnsi="Arial"/>
                <w:sz w:val="12"/>
                <w:szCs w:val="12"/>
                <w:color w:val="auto"/>
              </w:rPr>
              <w:t>38,000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180" w:type="dxa"/>
            <w:vAlign w:val="bottom"/>
            <w:shd w:val="clear" w:color="auto" w:fill="CFF0FC"/>
          </w:tcPr>
          <w:p>
            <w:pPr>
              <w:spacing w:after="0"/>
              <w:rPr>
                <w:sz w:val="20"/>
                <w:szCs w:val="20"/>
                <w:color w:val="auto"/>
              </w:rPr>
            </w:pPr>
            <w:r>
              <w:rPr>
                <w:rFonts w:ascii="Arial" w:cs="Arial" w:eastAsia="Arial" w:hAnsi="Arial"/>
                <w:sz w:val="12"/>
                <w:szCs w:val="12"/>
                <w:color w:val="auto"/>
              </w:rPr>
              <w:t>Accounts payable, accrued expenses and other liabilities</w:t>
            </w:r>
          </w:p>
        </w:tc>
        <w:tc>
          <w:tcPr>
            <w:tcW w:w="45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20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(8,643)</w:t>
            </w:r>
          </w:p>
        </w:tc>
        <w:tc>
          <w:tcPr>
            <w:tcW w:w="20" w:type="dxa"/>
            <w:vAlign w:val="bottom"/>
          </w:tcPr>
          <w:p>
            <w:pPr>
              <w:spacing w:after="0"/>
              <w:rPr>
                <w:sz w:val="13"/>
                <w:szCs w:val="13"/>
                <w:color w:val="auto"/>
              </w:rPr>
            </w:pPr>
          </w:p>
        </w:tc>
      </w:tr>
      <w:tr>
        <w:trPr>
          <w:trHeight w:val="153"/>
        </w:trPr>
        <w:tc>
          <w:tcPr>
            <w:tcW w:w="4180" w:type="dxa"/>
            <w:vAlign w:val="bottom"/>
          </w:tcPr>
          <w:p>
            <w:pPr>
              <w:spacing w:after="0"/>
              <w:rPr>
                <w:sz w:val="20"/>
                <w:szCs w:val="20"/>
                <w:color w:val="auto"/>
              </w:rPr>
            </w:pPr>
            <w:r>
              <w:rPr>
                <w:rFonts w:ascii="Arial" w:cs="Arial" w:eastAsia="Arial" w:hAnsi="Arial"/>
                <w:sz w:val="12"/>
                <w:szCs w:val="12"/>
                <w:color w:val="auto"/>
              </w:rPr>
              <w:t>Deferred revenue</w:t>
            </w:r>
          </w:p>
        </w:tc>
        <w:tc>
          <w:tcPr>
            <w:tcW w:w="4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00" w:type="dxa"/>
            <w:vAlign w:val="bottom"/>
            <w:gridSpan w:val="2"/>
          </w:tcPr>
          <w:p>
            <w:pPr>
              <w:jc w:val="right"/>
              <w:ind w:right="80"/>
              <w:spacing w:after="0"/>
              <w:rPr>
                <w:sz w:val="20"/>
                <w:szCs w:val="20"/>
                <w:color w:val="auto"/>
              </w:rPr>
            </w:pPr>
            <w:r>
              <w:rPr>
                <w:rFonts w:ascii="Arial" w:cs="Arial" w:eastAsia="Arial" w:hAnsi="Arial"/>
                <w:sz w:val="12"/>
                <w:szCs w:val="12"/>
                <w:color w:val="auto"/>
              </w:rPr>
              <w:t>(12,700)</w:t>
            </w:r>
          </w:p>
        </w:tc>
        <w:tc>
          <w:tcPr>
            <w:tcW w:w="20" w:type="dxa"/>
            <w:vAlign w:val="bottom"/>
          </w:tcPr>
          <w:p>
            <w:pPr>
              <w:spacing w:after="0"/>
              <w:rPr>
                <w:sz w:val="13"/>
                <w:szCs w:val="13"/>
                <w:color w:val="auto"/>
              </w:rPr>
            </w:pPr>
          </w:p>
        </w:tc>
      </w:tr>
      <w:tr>
        <w:trPr>
          <w:trHeight w:val="153"/>
        </w:trPr>
        <w:tc>
          <w:tcPr>
            <w:tcW w:w="4180" w:type="dxa"/>
            <w:vAlign w:val="bottom"/>
            <w:shd w:val="clear" w:color="auto" w:fill="CFF0FC"/>
          </w:tcPr>
          <w:p>
            <w:pPr>
              <w:spacing w:after="0"/>
              <w:rPr>
                <w:sz w:val="20"/>
                <w:szCs w:val="20"/>
                <w:color w:val="auto"/>
              </w:rPr>
            </w:pPr>
            <w:r>
              <w:rPr>
                <w:rFonts w:ascii="Arial" w:cs="Arial" w:eastAsia="Arial" w:hAnsi="Arial"/>
                <w:sz w:val="12"/>
                <w:szCs w:val="12"/>
                <w:color w:val="auto"/>
              </w:rPr>
              <w:t>Capital lease obligations</w:t>
            </w:r>
          </w:p>
        </w:tc>
        <w:tc>
          <w:tcPr>
            <w:tcW w:w="45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20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(49,195)</w:t>
            </w:r>
          </w:p>
        </w:tc>
        <w:tc>
          <w:tcPr>
            <w:tcW w:w="20" w:type="dxa"/>
            <w:vAlign w:val="bottom"/>
          </w:tcPr>
          <w:p>
            <w:pPr>
              <w:spacing w:after="0"/>
              <w:rPr>
                <w:sz w:val="13"/>
                <w:szCs w:val="13"/>
                <w:color w:val="auto"/>
              </w:rPr>
            </w:pPr>
          </w:p>
        </w:tc>
      </w:tr>
      <w:tr>
        <w:trPr>
          <w:trHeight w:val="149"/>
        </w:trPr>
        <w:tc>
          <w:tcPr>
            <w:tcW w:w="4180" w:type="dxa"/>
            <w:vAlign w:val="bottom"/>
          </w:tcPr>
          <w:p>
            <w:pPr>
              <w:spacing w:after="0"/>
              <w:rPr>
                <w:sz w:val="20"/>
                <w:szCs w:val="20"/>
                <w:color w:val="auto"/>
              </w:rPr>
            </w:pPr>
            <w:r>
              <w:rPr>
                <w:rFonts w:ascii="Arial" w:cs="Arial" w:eastAsia="Arial" w:hAnsi="Arial"/>
                <w:sz w:val="12"/>
                <w:szCs w:val="12"/>
                <w:color w:val="auto"/>
              </w:rPr>
              <w:t>Total purchase consideration</w:t>
            </w:r>
          </w:p>
        </w:tc>
        <w:tc>
          <w:tcPr>
            <w:tcW w:w="4780" w:type="dxa"/>
            <w:vAlign w:val="bottom"/>
            <w:gridSpan w:val="2"/>
          </w:tcPr>
          <w:p>
            <w:pPr>
              <w:spacing w:after="0"/>
              <w:rPr>
                <w:sz w:val="12"/>
                <w:szCs w:val="12"/>
                <w:color w:val="auto"/>
              </w:rPr>
            </w:pPr>
          </w:p>
        </w:tc>
        <w:tc>
          <w:tcPr>
            <w:tcW w:w="52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0"/>
                <w:szCs w:val="10"/>
                <w:color w:val="auto"/>
                <w:w w:val="71"/>
              </w:rPr>
              <w:t>$</w:t>
            </w:r>
          </w:p>
        </w:tc>
        <w:tc>
          <w:tcPr>
            <w:tcW w:w="1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424,294</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88"/>
        </w:trPr>
        <w:tc>
          <w:tcPr>
            <w:tcW w:w="4180" w:type="dxa"/>
            <w:vAlign w:val="bottom"/>
          </w:tcPr>
          <w:p>
            <w:pPr>
              <w:spacing w:after="0"/>
              <w:rPr>
                <w:sz w:val="24"/>
                <w:szCs w:val="24"/>
                <w:color w:val="auto"/>
              </w:rPr>
            </w:pPr>
          </w:p>
        </w:tc>
        <w:tc>
          <w:tcPr>
            <w:tcW w:w="4540" w:type="dxa"/>
            <w:vAlign w:val="bottom"/>
          </w:tcPr>
          <w:p>
            <w:pPr>
              <w:jc w:val="right"/>
              <w:ind w:right="2860"/>
              <w:spacing w:after="0"/>
              <w:rPr>
                <w:sz w:val="20"/>
                <w:szCs w:val="20"/>
                <w:color w:val="auto"/>
              </w:rPr>
            </w:pPr>
            <w:r>
              <w:rPr>
                <w:rFonts w:ascii="Arial" w:cs="Arial" w:eastAsia="Arial" w:hAnsi="Arial"/>
                <w:sz w:val="12"/>
                <w:szCs w:val="12"/>
                <w:color w:val="auto"/>
              </w:rPr>
              <w:t>81</w:t>
            </w: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4180" w:type="dxa"/>
            <w:vAlign w:val="bottom"/>
            <w:tcBorders>
              <w:bottom w:val="single" w:sz="8" w:color="9A9A9A"/>
            </w:tcBorders>
          </w:tcPr>
          <w:p>
            <w:pPr>
              <w:spacing w:after="0"/>
              <w:rPr>
                <w:sz w:val="6"/>
                <w:szCs w:val="6"/>
                <w:color w:val="auto"/>
              </w:rPr>
            </w:pPr>
          </w:p>
        </w:tc>
        <w:tc>
          <w:tcPr>
            <w:tcW w:w="4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520" w:type="dxa"/>
            <w:vAlign w:val="bottom"/>
            <w:tcBorders>
              <w:bottom w:val="single" w:sz="8" w:color="9A9A9A"/>
            </w:tcBorders>
          </w:tcPr>
          <w:p>
            <w:pPr>
              <w:spacing w:after="0"/>
              <w:rPr>
                <w:sz w:val="6"/>
                <w:szCs w:val="6"/>
                <w:color w:val="auto"/>
              </w:rPr>
            </w:pPr>
          </w:p>
        </w:tc>
        <w:tc>
          <w:tcPr>
            <w:tcW w:w="188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81" w:name="page82"/>
    <w:bookmarkEnd w:id="8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The goodwill is primarily attributable to strategic opportunities that arose from the acquisition of PEG Bandwidth. The goodwill is expected to be deductible for tax purposes.</w:t>
      </w:r>
    </w:p>
    <w:p>
      <w:pPr>
        <w:spacing w:after="0" w:line="150" w:lineRule="exact"/>
        <w:rPr>
          <w:sz w:val="20"/>
          <w:szCs w:val="20"/>
          <w:color w:val="auto"/>
        </w:rPr>
      </w:pPr>
    </w:p>
    <w:p>
      <w:pPr>
        <w:jc w:val="both"/>
        <w:ind w:right="120"/>
        <w:spacing w:after="0" w:line="263" w:lineRule="auto"/>
        <w:rPr>
          <w:sz w:val="20"/>
          <w:szCs w:val="20"/>
          <w:color w:val="auto"/>
        </w:rPr>
      </w:pPr>
      <w:r>
        <w:rPr>
          <w:rFonts w:ascii="Arial" w:cs="Arial" w:eastAsia="Arial" w:hAnsi="Arial"/>
          <w:sz w:val="12"/>
          <w:szCs w:val="12"/>
          <w:color w:val="auto"/>
        </w:rPr>
        <w:t>Of the $38 million of acquired intangible assets, $36 million was assigned to customer relationships (weighted average 17 year life) and $2 million was assigned to trademarks (indefinite life). The Company determined the useful life for the customer relationship by applying an income approach (using the multi-period excess earnings method with a discount rate commensurate to the risk of the asset) and resulted from two key considerations: attrition rate and cumulative present value of cash flows, including assessing the period over which the asset is expected to contribute to the Company’s future cash flows.</w:t>
      </w:r>
    </w:p>
    <w:p>
      <w:pPr>
        <w:spacing w:after="0" w:line="123" w:lineRule="exact"/>
        <w:rPr>
          <w:sz w:val="20"/>
          <w:szCs w:val="20"/>
          <w:color w:val="auto"/>
        </w:rPr>
      </w:pPr>
    </w:p>
    <w:p>
      <w:pPr>
        <w:ind w:right="240"/>
        <w:spacing w:after="0" w:line="323" w:lineRule="auto"/>
        <w:rPr>
          <w:sz w:val="20"/>
          <w:szCs w:val="20"/>
          <w:color w:val="auto"/>
        </w:rPr>
      </w:pPr>
      <w:r>
        <w:rPr>
          <w:rFonts w:ascii="Arial" w:cs="Arial" w:eastAsia="Arial" w:hAnsi="Arial"/>
          <w:sz w:val="11"/>
          <w:szCs w:val="11"/>
          <w:color w:val="auto"/>
        </w:rPr>
        <w:t>The acquired business contributed revenue of $57.0 million and an operating loss of $8.8 million, which excludes transaction and transition costs, to our consolidated results from the date of acquisition through December 31, 2016. We recorded transaction related costs related to the acquisition of PEG Bandwidth for the year ended December 31, 2016 of $11.2 million within transaction related costs on the Consolidated Statement of Income.</w:t>
      </w:r>
    </w:p>
    <w:p>
      <w:pPr>
        <w:spacing w:after="0" w:line="92" w:lineRule="exact"/>
        <w:rPr>
          <w:sz w:val="20"/>
          <w:szCs w:val="20"/>
          <w:color w:val="auto"/>
        </w:rPr>
      </w:pPr>
    </w:p>
    <w:p>
      <w:pPr>
        <w:jc w:val="both"/>
        <w:ind w:right="160"/>
        <w:spacing w:after="0" w:line="298" w:lineRule="auto"/>
        <w:rPr>
          <w:sz w:val="20"/>
          <w:szCs w:val="20"/>
          <w:color w:val="auto"/>
        </w:rPr>
      </w:pPr>
      <w:r>
        <w:rPr>
          <w:rFonts w:ascii="Arial" w:cs="Arial" w:eastAsia="Arial" w:hAnsi="Arial"/>
          <w:sz w:val="11"/>
          <w:szCs w:val="11"/>
          <w:color w:val="auto"/>
        </w:rPr>
        <w:t>The following table presents the unaudited pro forma summary of our financial results as if the business combination had occurred as of the Spin-Off. The pro forma results include additional depreciation and amortization resulting from purchase accounting adjustments, adjustments to amortized deferred revenue, and interest expense associated with debt used to fund the acquisition. The pro forma results do not include any synergies or other benefits of the acquisition. The pro forma results are not indicative of future results of operations, or results that might have been achieved had the acquisition been consummated as of the Spin-Off.</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24"/>
        </w:trPr>
        <w:tc>
          <w:tcPr>
            <w:tcW w:w="7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180" w:type="dxa"/>
            <w:vAlign w:val="bottom"/>
            <w:gridSpan w:val="2"/>
          </w:tcPr>
          <w:p>
            <w:pPr>
              <w:ind w:left="900"/>
              <w:spacing w:after="0"/>
              <w:rPr>
                <w:sz w:val="20"/>
                <w:szCs w:val="20"/>
                <w:color w:val="auto"/>
              </w:rPr>
            </w:pPr>
            <w:r>
              <w:rPr>
                <w:rFonts w:ascii="Arial" w:cs="Arial" w:eastAsia="Arial" w:hAnsi="Arial"/>
                <w:sz w:val="10"/>
                <w:szCs w:val="10"/>
                <w:b w:val="1"/>
                <w:bCs w:val="1"/>
                <w:color w:val="auto"/>
              </w:rPr>
              <w:t>Year Ended</w:t>
            </w:r>
          </w:p>
        </w:tc>
      </w:tr>
      <w:tr>
        <w:trPr>
          <w:trHeight w:val="152"/>
        </w:trPr>
        <w:tc>
          <w:tcPr>
            <w:tcW w:w="726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240" w:type="dxa"/>
            <w:vAlign w:val="bottom"/>
            <w:tcBorders>
              <w:bottom w:val="single" w:sz="8" w:color="CFF0FC"/>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3060" w:type="dxa"/>
            <w:vAlign w:val="bottom"/>
            <w:tcBorders>
              <w:bottom w:val="single" w:sz="8" w:color="auto"/>
            </w:tcBorders>
          </w:tcPr>
          <w:p>
            <w:pPr>
              <w:jc w:val="right"/>
              <w:ind w:right="1486"/>
              <w:spacing w:after="0"/>
              <w:rPr>
                <w:sz w:val="20"/>
                <w:szCs w:val="20"/>
                <w:color w:val="auto"/>
              </w:rPr>
            </w:pPr>
            <w:r>
              <w:rPr>
                <w:rFonts w:ascii="Arial" w:cs="Arial" w:eastAsia="Arial" w:hAnsi="Arial"/>
                <w:sz w:val="10"/>
                <w:szCs w:val="10"/>
                <w:b w:val="1"/>
                <w:bCs w:val="1"/>
                <w:color w:val="auto"/>
              </w:rPr>
              <w:t>December 31, 2016</w:t>
            </w:r>
          </w:p>
        </w:tc>
        <w:tc>
          <w:tcPr>
            <w:tcW w:w="120" w:type="dxa"/>
            <w:vAlign w:val="bottom"/>
            <w:tcBorders>
              <w:bottom w:val="single" w:sz="8" w:color="CFF0FC"/>
            </w:tcBorders>
          </w:tcPr>
          <w:p>
            <w:pPr>
              <w:spacing w:after="0"/>
              <w:rPr>
                <w:sz w:val="13"/>
                <w:szCs w:val="13"/>
                <w:color w:val="auto"/>
              </w:rPr>
            </w:pPr>
          </w:p>
        </w:tc>
      </w:tr>
      <w:tr>
        <w:trPr>
          <w:trHeight w:val="142"/>
        </w:trPr>
        <w:tc>
          <w:tcPr>
            <w:tcW w:w="7260" w:type="dxa"/>
            <w:vAlign w:val="bottom"/>
            <w:shd w:val="clear" w:color="auto" w:fill="CFF0FC"/>
          </w:tcPr>
          <w:p>
            <w:pPr>
              <w:spacing w:after="0"/>
              <w:rPr>
                <w:sz w:val="20"/>
                <w:szCs w:val="20"/>
                <w:color w:val="auto"/>
              </w:rPr>
            </w:pPr>
            <w:r>
              <w:rPr>
                <w:rFonts w:ascii="Arial" w:cs="Arial" w:eastAsia="Arial" w:hAnsi="Arial"/>
                <w:sz w:val="12"/>
                <w:szCs w:val="12"/>
                <w:color w:val="auto"/>
              </w:rPr>
              <w:t>Pro forma revenue</w:t>
            </w:r>
          </w:p>
        </w:tc>
        <w:tc>
          <w:tcPr>
            <w:tcW w:w="1040" w:type="dxa"/>
            <w:vAlign w:val="bottom"/>
            <w:gridSpan w:val="2"/>
            <w:shd w:val="clear" w:color="auto" w:fill="CFF0FC"/>
          </w:tcPr>
          <w:p>
            <w:pPr>
              <w:jc w:val="right"/>
              <w:ind w:right="740"/>
              <w:spacing w:after="0"/>
              <w:rPr>
                <w:sz w:val="20"/>
                <w:szCs w:val="20"/>
                <w:color w:val="auto"/>
              </w:rPr>
            </w:pPr>
            <w:r>
              <w:rPr>
                <w:rFonts w:ascii="Arial" w:cs="Arial" w:eastAsia="Arial" w:hAnsi="Arial"/>
                <w:sz w:val="12"/>
                <w:szCs w:val="12"/>
                <w:color w:val="auto"/>
              </w:rPr>
              <w:t>$</w:t>
            </w:r>
          </w:p>
        </w:tc>
        <w:tc>
          <w:tcPr>
            <w:tcW w:w="3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797,637</w:t>
            </w:r>
          </w:p>
        </w:tc>
        <w:tc>
          <w:tcPr>
            <w:tcW w:w="120" w:type="dxa"/>
            <w:vAlign w:val="bottom"/>
            <w:shd w:val="clear" w:color="auto" w:fill="CFF0FC"/>
          </w:tcPr>
          <w:p>
            <w:pPr>
              <w:spacing w:after="0"/>
              <w:rPr>
                <w:sz w:val="12"/>
                <w:szCs w:val="12"/>
                <w:color w:val="auto"/>
              </w:rPr>
            </w:pPr>
          </w:p>
        </w:tc>
      </w:tr>
      <w:tr>
        <w:trPr>
          <w:trHeight w:val="153"/>
        </w:trPr>
        <w:tc>
          <w:tcPr>
            <w:tcW w:w="7260" w:type="dxa"/>
            <w:vAlign w:val="bottom"/>
          </w:tcPr>
          <w:p>
            <w:pPr>
              <w:spacing w:after="0"/>
              <w:rPr>
                <w:sz w:val="20"/>
                <w:szCs w:val="20"/>
                <w:color w:val="auto"/>
              </w:rPr>
            </w:pPr>
            <w:r>
              <w:rPr>
                <w:rFonts w:ascii="Arial" w:cs="Arial" w:eastAsia="Arial" w:hAnsi="Arial"/>
                <w:sz w:val="12"/>
                <w:szCs w:val="12"/>
                <w:color w:val="auto"/>
              </w:rPr>
              <w:t>Pro forma net income</w:t>
            </w: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060" w:type="dxa"/>
            <w:vAlign w:val="bottom"/>
          </w:tcPr>
          <w:p>
            <w:pPr>
              <w:jc w:val="right"/>
              <w:spacing w:after="0"/>
              <w:rPr>
                <w:sz w:val="20"/>
                <w:szCs w:val="20"/>
                <w:color w:val="auto"/>
              </w:rPr>
            </w:pPr>
            <w:r>
              <w:rPr>
                <w:rFonts w:ascii="Arial" w:cs="Arial" w:eastAsia="Arial" w:hAnsi="Arial"/>
                <w:sz w:val="12"/>
                <w:szCs w:val="12"/>
                <w:color w:val="auto"/>
              </w:rPr>
              <w:t>6,264</w:t>
            </w:r>
          </w:p>
        </w:tc>
        <w:tc>
          <w:tcPr>
            <w:tcW w:w="120" w:type="dxa"/>
            <w:vAlign w:val="bottom"/>
          </w:tcPr>
          <w:p>
            <w:pPr>
              <w:spacing w:after="0"/>
              <w:rPr>
                <w:sz w:val="13"/>
                <w:szCs w:val="13"/>
                <w:color w:val="auto"/>
              </w:rPr>
            </w:pPr>
          </w:p>
        </w:tc>
      </w:tr>
    </w:tbl>
    <w:p>
      <w:pPr>
        <w:spacing w:after="0" w:line="207"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Summit Wireless Infrastructure, LLC</w:t>
      </w:r>
    </w:p>
    <w:p>
      <w:pPr>
        <w:spacing w:after="0" w:line="150" w:lineRule="exact"/>
        <w:rPr>
          <w:sz w:val="20"/>
          <w:szCs w:val="20"/>
          <w:color w:val="auto"/>
        </w:rPr>
      </w:pPr>
    </w:p>
    <w:p>
      <w:pPr>
        <w:ind w:right="60"/>
        <w:spacing w:after="0" w:line="259" w:lineRule="auto"/>
        <w:rPr>
          <w:sz w:val="20"/>
          <w:szCs w:val="20"/>
          <w:color w:val="auto"/>
        </w:rPr>
      </w:pPr>
      <w:r>
        <w:rPr>
          <w:rFonts w:ascii="Arial" w:cs="Arial" w:eastAsia="Arial" w:hAnsi="Arial"/>
          <w:sz w:val="12"/>
          <w:szCs w:val="12"/>
          <w:color w:val="auto"/>
        </w:rPr>
        <w:t>On January 22, 2016, we acquired 100% of the outstanding equity of Summit Wireless Infrastructure LLC (“Summit”). Summit builds, owns and operates telecommunication infrastructure serving wireless carriers in Mexico. Consideration given to acquire Summit included performance-based shares of common equity valued at $1.1 million, which will vest in full on the third anniversary of the closing date, subject to Summit meeting certain performance targets, and the assumption of Summit’s existing debt. The financial results of Summit are included in the Towers segment from the date of acquisition and were not material, individually or in the aggregate, to our results of operations and therefore, pro forma financial information has not been presented.</w:t>
      </w:r>
    </w:p>
    <w:p>
      <w:pPr>
        <w:spacing w:after="0" w:line="12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6. Fair Value of Financial Instruments</w:t>
      </w:r>
    </w:p>
    <w:p>
      <w:pPr>
        <w:spacing w:after="0" w:line="154" w:lineRule="exact"/>
        <w:rPr>
          <w:sz w:val="20"/>
          <w:szCs w:val="20"/>
          <w:color w:val="auto"/>
        </w:rPr>
      </w:pPr>
    </w:p>
    <w:p>
      <w:pPr>
        <w:ind w:right="40"/>
        <w:spacing w:after="0" w:line="276" w:lineRule="auto"/>
        <w:rPr>
          <w:sz w:val="20"/>
          <w:szCs w:val="20"/>
          <w:color w:val="auto"/>
        </w:rPr>
      </w:pPr>
      <w:r>
        <w:rPr>
          <w:rFonts w:ascii="Arial" w:cs="Arial" w:eastAsia="Arial" w:hAnsi="Arial"/>
          <w:sz w:val="12"/>
          <w:szCs w:val="12"/>
          <w:color w:val="auto"/>
        </w:rPr>
        <w:t xml:space="preserve">FASB ASC 820, </w:t>
      </w:r>
      <w:r>
        <w:rPr>
          <w:rFonts w:ascii="Arial" w:cs="Arial" w:eastAsia="Arial" w:hAnsi="Arial"/>
          <w:sz w:val="12"/>
          <w:szCs w:val="12"/>
          <w:i w:val="1"/>
          <w:iCs w:val="1"/>
          <w:color w:val="auto"/>
        </w:rPr>
        <w:t>Fair Value Measurements</w:t>
      </w:r>
      <w:r>
        <w:rPr>
          <w:rFonts w:ascii="Arial" w:cs="Arial" w:eastAsia="Arial" w:hAnsi="Arial"/>
          <w:sz w:val="12"/>
          <w:szCs w:val="12"/>
          <w:color w:val="auto"/>
        </w:rPr>
        <w:t>, establishes a hierarchy of valuation techniques based on the observability of inputs utilized in measuring assets and liabilities at fair values. This hierarchy establishes market-based or observable inputs as the preferred source of values, followed by valuation models using management assumptions in the absence of market inputs. The three levels of the hierarchy are as follows:</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 xml:space="preserve">Level 1 </w:t>
      </w:r>
      <w:r>
        <w:rPr>
          <w:rFonts w:ascii="Arial" w:cs="Arial" w:eastAsia="Arial" w:hAnsi="Arial"/>
          <w:sz w:val="12"/>
          <w:szCs w:val="12"/>
          <w:color w:val="auto"/>
        </w:rPr>
        <w:t>– Quoted prices (unadjusted) in active markets for identical assets or liabilities that the reporting entity can access at the assessment date</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 xml:space="preserve">Level 2 </w:t>
      </w:r>
      <w:r>
        <w:rPr>
          <w:rFonts w:ascii="Arial" w:cs="Arial" w:eastAsia="Arial" w:hAnsi="Arial"/>
          <w:sz w:val="12"/>
          <w:szCs w:val="12"/>
          <w:color w:val="auto"/>
        </w:rPr>
        <w:t>– Inputs other than quoted prices included within Level 1 that are observable for the asset or liability, either directly or indirectly</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i w:val="1"/>
          <w:iCs w:val="1"/>
          <w:color w:val="auto"/>
        </w:rPr>
        <w:t xml:space="preserve">Level 3 </w:t>
      </w:r>
      <w:r>
        <w:rPr>
          <w:rFonts w:ascii="Arial" w:cs="Arial" w:eastAsia="Arial" w:hAnsi="Arial"/>
          <w:sz w:val="12"/>
          <w:szCs w:val="12"/>
          <w:color w:val="auto"/>
        </w:rPr>
        <w:t>– Unobservable inputs for the asset or liability</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0" w:right="199" w:bottom="1440" w:gutter="0" w:footer="0" w:header="0"/>
        </w:sectPr>
      </w:pPr>
    </w:p>
    <w:bookmarkStart w:id="82" w:name="page83"/>
    <w:bookmarkEnd w:id="8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Our financial instruments consist of cash and cash equivalents, accounts and other receivables, derivative instruments, contingent consideration, our outstanding notes and other debt, and accounts, interest and dividends payable.</w:t>
      </w:r>
    </w:p>
    <w:p>
      <w:pPr>
        <w:spacing w:after="0" w:line="162"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 summarizes the fair value of our financial instruments at December 31, 2018 and 2017:</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66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980" w:type="dxa"/>
            <w:vAlign w:val="bottom"/>
          </w:tcPr>
          <w:p>
            <w:pPr>
              <w:jc w:val="center"/>
              <w:ind w:left="131"/>
              <w:spacing w:after="0"/>
              <w:rPr>
                <w:sz w:val="20"/>
                <w:szCs w:val="20"/>
                <w:color w:val="auto"/>
              </w:rPr>
            </w:pPr>
            <w:r>
              <w:rPr>
                <w:rFonts w:ascii="Arial" w:cs="Arial" w:eastAsia="Arial" w:hAnsi="Arial"/>
                <w:sz w:val="10"/>
                <w:szCs w:val="10"/>
                <w:b w:val="1"/>
                <w:bCs w:val="1"/>
                <w:color w:val="auto"/>
                <w:w w:val="85"/>
              </w:rPr>
              <w:t>Quoted Prices in</w:t>
            </w:r>
          </w:p>
        </w:tc>
        <w:tc>
          <w:tcPr>
            <w:tcW w:w="1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tcPr>
          <w:p>
            <w:pPr>
              <w:jc w:val="center"/>
              <w:ind w:right="83"/>
              <w:spacing w:after="0"/>
              <w:rPr>
                <w:sz w:val="20"/>
                <w:szCs w:val="20"/>
                <w:color w:val="auto"/>
              </w:rPr>
            </w:pPr>
            <w:r>
              <w:rPr>
                <w:rFonts w:ascii="Arial" w:cs="Arial" w:eastAsia="Arial" w:hAnsi="Arial"/>
                <w:sz w:val="10"/>
                <w:szCs w:val="10"/>
                <w:b w:val="1"/>
                <w:bCs w:val="1"/>
                <w:color w:val="auto"/>
                <w:w w:val="87"/>
              </w:rPr>
              <w:t>Prices with Other</w:t>
            </w:r>
          </w:p>
        </w:tc>
        <w:tc>
          <w:tcPr>
            <w:tcW w:w="2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46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980" w:type="dxa"/>
            <w:vAlign w:val="bottom"/>
          </w:tcPr>
          <w:p>
            <w:pPr>
              <w:jc w:val="center"/>
              <w:ind w:left="131"/>
              <w:spacing w:after="0" w:line="99" w:lineRule="exact"/>
              <w:rPr>
                <w:sz w:val="20"/>
                <w:szCs w:val="20"/>
                <w:color w:val="auto"/>
              </w:rPr>
            </w:pPr>
            <w:r>
              <w:rPr>
                <w:rFonts w:ascii="Arial" w:cs="Arial" w:eastAsia="Arial" w:hAnsi="Arial"/>
                <w:sz w:val="10"/>
                <w:szCs w:val="10"/>
                <w:b w:val="1"/>
                <w:bCs w:val="1"/>
                <w:color w:val="auto"/>
                <w:w w:val="90"/>
              </w:rPr>
              <w:t>Active Markets</w:t>
            </w:r>
          </w:p>
        </w:tc>
        <w:tc>
          <w:tcPr>
            <w:tcW w:w="1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jc w:val="center"/>
              <w:ind w:right="83"/>
              <w:spacing w:after="0" w:line="99" w:lineRule="exact"/>
              <w:rPr>
                <w:sz w:val="20"/>
                <w:szCs w:val="20"/>
                <w:color w:val="auto"/>
              </w:rPr>
            </w:pPr>
            <w:r>
              <w:rPr>
                <w:rFonts w:ascii="Arial" w:cs="Arial" w:eastAsia="Arial" w:hAnsi="Arial"/>
                <w:sz w:val="10"/>
                <w:szCs w:val="10"/>
                <w:b w:val="1"/>
                <w:bCs w:val="1"/>
                <w:color w:val="auto"/>
                <w:w w:val="87"/>
              </w:rPr>
              <w:t>Observable Inputs</w:t>
            </w:r>
          </w:p>
        </w:tc>
        <w:tc>
          <w:tcPr>
            <w:tcW w:w="1440" w:type="dxa"/>
            <w:vAlign w:val="bottom"/>
            <w:gridSpan w:val="4"/>
          </w:tcPr>
          <w:p>
            <w:pPr>
              <w:ind w:left="260"/>
              <w:spacing w:after="0" w:line="99" w:lineRule="exact"/>
              <w:rPr>
                <w:sz w:val="20"/>
                <w:szCs w:val="20"/>
                <w:color w:val="auto"/>
              </w:rPr>
            </w:pPr>
            <w:r>
              <w:rPr>
                <w:rFonts w:ascii="Arial" w:cs="Arial" w:eastAsia="Arial" w:hAnsi="Arial"/>
                <w:sz w:val="10"/>
                <w:szCs w:val="10"/>
                <w:b w:val="1"/>
                <w:bCs w:val="1"/>
                <w:color w:val="auto"/>
                <w:w w:val="95"/>
              </w:rPr>
              <w:t>Prices with Unobservable</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4"/>
        </w:trPr>
        <w:tc>
          <w:tcPr>
            <w:tcW w:w="4660" w:type="dxa"/>
            <w:vAlign w:val="bottom"/>
          </w:tcPr>
          <w:p>
            <w:pPr>
              <w:spacing w:after="0" w:line="114" w:lineRule="exact"/>
              <w:rPr>
                <w:sz w:val="20"/>
                <w:szCs w:val="20"/>
                <w:color w:val="auto"/>
              </w:rPr>
            </w:pPr>
            <w:r>
              <w:rPr>
                <w:rFonts w:ascii="Arial" w:cs="Arial" w:eastAsia="Arial" w:hAnsi="Arial"/>
                <w:sz w:val="10"/>
                <w:szCs w:val="10"/>
                <w:color w:val="auto"/>
              </w:rPr>
              <w:t>(Thousands)</w:t>
            </w:r>
          </w:p>
        </w:tc>
        <w:tc>
          <w:tcPr>
            <w:tcW w:w="1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jc w:val="right"/>
              <w:spacing w:after="0" w:line="114" w:lineRule="exact"/>
              <w:rPr>
                <w:sz w:val="20"/>
                <w:szCs w:val="20"/>
                <w:color w:val="auto"/>
              </w:rPr>
            </w:pPr>
            <w:r>
              <w:rPr>
                <w:rFonts w:ascii="Arial" w:cs="Arial" w:eastAsia="Arial" w:hAnsi="Arial"/>
                <w:sz w:val="10"/>
                <w:szCs w:val="10"/>
                <w:b w:val="1"/>
                <w:bCs w:val="1"/>
                <w:color w:val="auto"/>
              </w:rPr>
              <w:t>Total</w:t>
            </w:r>
          </w:p>
        </w:tc>
        <w:tc>
          <w:tcPr>
            <w:tcW w:w="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980" w:type="dxa"/>
            <w:vAlign w:val="bottom"/>
          </w:tcPr>
          <w:p>
            <w:pPr>
              <w:jc w:val="center"/>
              <w:ind w:left="131"/>
              <w:spacing w:after="0" w:line="114" w:lineRule="exact"/>
              <w:rPr>
                <w:sz w:val="20"/>
                <w:szCs w:val="20"/>
                <w:color w:val="auto"/>
              </w:rPr>
            </w:pPr>
            <w:r>
              <w:rPr>
                <w:rFonts w:ascii="Arial" w:cs="Arial" w:eastAsia="Arial" w:hAnsi="Arial"/>
                <w:sz w:val="10"/>
                <w:szCs w:val="10"/>
                <w:b w:val="1"/>
                <w:bCs w:val="1"/>
                <w:color w:val="auto"/>
                <w:w w:val="88"/>
              </w:rPr>
              <w:t>(Level 1)</w:t>
            </w:r>
          </w:p>
        </w:tc>
        <w:tc>
          <w:tcPr>
            <w:tcW w:w="1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jc w:val="center"/>
              <w:ind w:right="83"/>
              <w:spacing w:after="0" w:line="114" w:lineRule="exact"/>
              <w:rPr>
                <w:sz w:val="20"/>
                <w:szCs w:val="20"/>
                <w:color w:val="auto"/>
              </w:rPr>
            </w:pPr>
            <w:r>
              <w:rPr>
                <w:rFonts w:ascii="Arial" w:cs="Arial" w:eastAsia="Arial" w:hAnsi="Arial"/>
                <w:sz w:val="10"/>
                <w:szCs w:val="10"/>
                <w:b w:val="1"/>
                <w:bCs w:val="1"/>
                <w:color w:val="auto"/>
                <w:w w:val="88"/>
              </w:rPr>
              <w:t>(Level 2)</w:t>
            </w:r>
          </w:p>
        </w:tc>
        <w:tc>
          <w:tcPr>
            <w:tcW w:w="2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gridSpan w:val="2"/>
          </w:tcPr>
          <w:p>
            <w:pPr>
              <w:ind w:left="60"/>
              <w:spacing w:after="0" w:line="114" w:lineRule="exact"/>
              <w:rPr>
                <w:sz w:val="20"/>
                <w:szCs w:val="20"/>
                <w:color w:val="auto"/>
              </w:rPr>
            </w:pPr>
            <w:r>
              <w:rPr>
                <w:rFonts w:ascii="Arial" w:cs="Arial" w:eastAsia="Arial" w:hAnsi="Arial"/>
                <w:sz w:val="10"/>
                <w:szCs w:val="10"/>
                <w:b w:val="1"/>
                <w:bCs w:val="1"/>
                <w:color w:val="auto"/>
              </w:rPr>
              <w:t>Inputs (Level 3)</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6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color w:val="auto"/>
              </w:rPr>
              <w:t>At December 31, 2018</w:t>
            </w:r>
          </w:p>
        </w:tc>
        <w:tc>
          <w:tcPr>
            <w:tcW w:w="1040" w:type="dxa"/>
            <w:vAlign w:val="bottom"/>
            <w:tcBorders>
              <w:top w:val="single" w:sz="8" w:color="auto"/>
            </w:tcBorders>
            <w:shd w:val="clear" w:color="auto" w:fill="CFF0FC"/>
          </w:tcPr>
          <w:p>
            <w:pPr>
              <w:spacing w:after="0"/>
              <w:rPr>
                <w:sz w:val="12"/>
                <w:szCs w:val="12"/>
                <w:color w:val="auto"/>
              </w:rPr>
            </w:pPr>
          </w:p>
        </w:tc>
        <w:tc>
          <w:tcPr>
            <w:tcW w:w="160" w:type="dxa"/>
            <w:vAlign w:val="bottom"/>
            <w:tcBorders>
              <w:top w:val="single" w:sz="8" w:color="CFF0FC"/>
            </w:tcBorders>
            <w:shd w:val="clear" w:color="auto" w:fill="CFF0FC"/>
          </w:tcPr>
          <w:p>
            <w:pPr>
              <w:spacing w:after="0"/>
              <w:rPr>
                <w:sz w:val="12"/>
                <w:szCs w:val="12"/>
                <w:color w:val="auto"/>
              </w:rPr>
            </w:pPr>
          </w:p>
        </w:tc>
        <w:tc>
          <w:tcPr>
            <w:tcW w:w="76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11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92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660" w:type="dxa"/>
            <w:vAlign w:val="bottom"/>
          </w:tcPr>
          <w:p>
            <w:pPr>
              <w:spacing w:after="0"/>
              <w:rPr>
                <w:sz w:val="20"/>
                <w:szCs w:val="20"/>
                <w:color w:val="auto"/>
              </w:rPr>
            </w:pPr>
            <w:r>
              <w:rPr>
                <w:rFonts w:ascii="Arial" w:cs="Arial" w:eastAsia="Arial" w:hAnsi="Arial"/>
                <w:sz w:val="12"/>
                <w:szCs w:val="12"/>
                <w:color w:val="auto"/>
              </w:rPr>
              <w:t>Assets</w:t>
            </w:r>
          </w:p>
        </w:tc>
        <w:tc>
          <w:tcPr>
            <w:tcW w:w="1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Derivative asset</w:t>
            </w:r>
          </w:p>
        </w:tc>
        <w:tc>
          <w:tcPr>
            <w:tcW w:w="1960" w:type="dxa"/>
            <w:vAlign w:val="bottom"/>
            <w:gridSpan w:val="3"/>
            <w:shd w:val="clear" w:color="auto" w:fill="CFF0FC"/>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31,043</w:t>
            </w: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31,043</w:t>
            </w:r>
          </w:p>
        </w:tc>
        <w:tc>
          <w:tcPr>
            <w:tcW w:w="400" w:type="dxa"/>
            <w:vAlign w:val="bottom"/>
            <w:gridSpan w:val="2"/>
            <w:shd w:val="clear" w:color="auto" w:fill="CFF0FC"/>
          </w:tcPr>
          <w:p>
            <w:pPr>
              <w:ind w:left="260"/>
              <w:spacing w:after="0"/>
              <w:rPr>
                <w:sz w:val="20"/>
                <w:szCs w:val="20"/>
                <w:color w:val="auto"/>
              </w:rPr>
            </w:pPr>
            <w:r>
              <w:rPr>
                <w:rFonts w:ascii="Arial" w:cs="Arial" w:eastAsia="Arial" w:hAnsi="Arial"/>
                <w:sz w:val="12"/>
                <w:szCs w:val="12"/>
                <w:color w:val="auto"/>
              </w:rPr>
              <w:t>$</w:t>
            </w: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660" w:type="dxa"/>
            <w:vAlign w:val="bottom"/>
            <w:vMerge w:val="restart"/>
          </w:tcPr>
          <w:p>
            <w:pPr>
              <w:spacing w:after="0"/>
              <w:rPr>
                <w:sz w:val="20"/>
                <w:szCs w:val="20"/>
                <w:color w:val="auto"/>
              </w:rPr>
            </w:pPr>
            <w:r>
              <w:rPr>
                <w:rFonts w:ascii="Arial" w:cs="Arial" w:eastAsia="Arial" w:hAnsi="Arial"/>
                <w:sz w:val="12"/>
                <w:szCs w:val="12"/>
                <w:color w:val="auto"/>
              </w:rPr>
              <w:t>Total</w:t>
            </w: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660" w:type="dxa"/>
            <w:vAlign w:val="bottom"/>
            <w:vMerge w:val="continue"/>
          </w:tcPr>
          <w:p>
            <w:pPr>
              <w:spacing w:after="0"/>
              <w:rPr>
                <w:sz w:val="12"/>
                <w:szCs w:val="12"/>
                <w:color w:val="auto"/>
              </w:rPr>
            </w:pPr>
          </w:p>
        </w:tc>
        <w:tc>
          <w:tcPr>
            <w:tcW w:w="1960" w:type="dxa"/>
            <w:vAlign w:val="bottom"/>
            <w:gridSpan w:val="3"/>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rPr>
              <w:t>31,043</w:t>
            </w:r>
          </w:p>
        </w:tc>
        <w:tc>
          <w:tcPr>
            <w:tcW w:w="260" w:type="dxa"/>
            <w:vAlign w:val="bottom"/>
          </w:tcPr>
          <w:p>
            <w:pPr>
              <w:spacing w:after="0"/>
              <w:rPr>
                <w:sz w:val="12"/>
                <w:szCs w:val="12"/>
                <w:color w:val="auto"/>
              </w:rPr>
            </w:pPr>
          </w:p>
        </w:tc>
        <w:tc>
          <w:tcPr>
            <w:tcW w:w="980" w:type="dxa"/>
            <w:vAlign w:val="bottom"/>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tcPr>
          <w:p>
            <w:pPr>
              <w:jc w:val="right"/>
              <w:spacing w:after="0"/>
              <w:rPr>
                <w:sz w:val="20"/>
                <w:szCs w:val="20"/>
                <w:color w:val="auto"/>
              </w:rPr>
            </w:pPr>
            <w:r>
              <w:rPr>
                <w:rFonts w:ascii="Arial" w:cs="Arial" w:eastAsia="Arial" w:hAnsi="Arial"/>
                <w:sz w:val="12"/>
                <w:szCs w:val="12"/>
                <w:color w:val="auto"/>
              </w:rPr>
              <w:t>31,043</w:t>
            </w:r>
          </w:p>
        </w:tc>
        <w:tc>
          <w:tcPr>
            <w:tcW w:w="400" w:type="dxa"/>
            <w:vAlign w:val="bottom"/>
            <w:gridSpan w:val="2"/>
          </w:tcPr>
          <w:p>
            <w:pPr>
              <w:ind w:left="260"/>
              <w:spacing w:after="0"/>
              <w:rPr>
                <w:sz w:val="20"/>
                <w:szCs w:val="20"/>
                <w:color w:val="auto"/>
              </w:rPr>
            </w:pPr>
            <w:r>
              <w:rPr>
                <w:rFonts w:ascii="Arial" w:cs="Arial" w:eastAsia="Arial" w:hAnsi="Arial"/>
                <w:sz w:val="12"/>
                <w:szCs w:val="12"/>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660" w:type="dxa"/>
            <w:vAlign w:val="bottom"/>
            <w:tcBorders>
              <w:top w:val="single" w:sz="8" w:color="CFF0FC"/>
            </w:tcBorders>
            <w:shd w:val="clear" w:color="auto" w:fill="CFF0FC"/>
          </w:tcPr>
          <w:p>
            <w:pPr>
              <w:spacing w:after="0"/>
              <w:rPr>
                <w:sz w:val="13"/>
                <w:szCs w:val="13"/>
                <w:color w:val="auto"/>
              </w:rPr>
            </w:pPr>
          </w:p>
        </w:tc>
        <w:tc>
          <w:tcPr>
            <w:tcW w:w="10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50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98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110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92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46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spacing w:after="0"/>
              <w:rPr>
                <w:sz w:val="20"/>
                <w:szCs w:val="20"/>
                <w:color w:val="auto"/>
              </w:rPr>
            </w:pPr>
            <w:r>
              <w:rPr>
                <w:rFonts w:ascii="Arial" w:cs="Arial" w:eastAsia="Arial" w:hAnsi="Arial"/>
                <w:sz w:val="12"/>
                <w:szCs w:val="12"/>
                <w:color w:val="auto"/>
              </w:rPr>
              <w:t>Liabilities</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1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9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tcPr>
          <w:p>
            <w:pPr>
              <w:ind w:left="160"/>
              <w:spacing w:after="0"/>
              <w:rPr>
                <w:sz w:val="20"/>
                <w:szCs w:val="20"/>
                <w:color w:val="auto"/>
              </w:rPr>
            </w:pPr>
            <w:r>
              <w:rPr>
                <w:rFonts w:ascii="Arial" w:cs="Arial" w:eastAsia="Arial" w:hAnsi="Arial"/>
                <w:sz w:val="12"/>
                <w:szCs w:val="12"/>
                <w:color w:val="auto"/>
              </w:rPr>
              <w:t>Senior secured term loan B - variable rate, due October 24, 2022</w:t>
            </w:r>
          </w:p>
        </w:tc>
        <w:tc>
          <w:tcPr>
            <w:tcW w:w="1960" w:type="dxa"/>
            <w:vAlign w:val="bottom"/>
            <w:gridSpan w:val="3"/>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w w:val="89"/>
              </w:rPr>
              <w:t>1,877,303</w:t>
            </w:r>
          </w:p>
        </w:tc>
        <w:tc>
          <w:tcPr>
            <w:tcW w:w="260" w:type="dxa"/>
            <w:vAlign w:val="bottom"/>
          </w:tcPr>
          <w:p>
            <w:pPr>
              <w:spacing w:after="0"/>
              <w:rPr>
                <w:sz w:val="13"/>
                <w:szCs w:val="13"/>
                <w:color w:val="auto"/>
              </w:rPr>
            </w:pPr>
          </w:p>
        </w:tc>
        <w:tc>
          <w:tcPr>
            <w:tcW w:w="980" w:type="dxa"/>
            <w:vAlign w:val="bottom"/>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tcPr>
          <w:p>
            <w:pPr>
              <w:jc w:val="right"/>
              <w:spacing w:after="0"/>
              <w:rPr>
                <w:sz w:val="20"/>
                <w:szCs w:val="20"/>
                <w:color w:val="auto"/>
              </w:rPr>
            </w:pPr>
            <w:r>
              <w:rPr>
                <w:rFonts w:ascii="Arial" w:cs="Arial" w:eastAsia="Arial" w:hAnsi="Arial"/>
                <w:sz w:val="12"/>
                <w:szCs w:val="12"/>
                <w:color w:val="auto"/>
              </w:rPr>
              <w:t>1,877,303</w:t>
            </w:r>
          </w:p>
        </w:tc>
        <w:tc>
          <w:tcPr>
            <w:tcW w:w="400" w:type="dxa"/>
            <w:vAlign w:val="bottom"/>
            <w:gridSpan w:val="2"/>
          </w:tcPr>
          <w:p>
            <w:pPr>
              <w:ind w:left="260"/>
              <w:spacing w:after="0"/>
              <w:rPr>
                <w:sz w:val="20"/>
                <w:szCs w:val="20"/>
                <w:color w:val="auto"/>
              </w:rPr>
            </w:pPr>
            <w:r>
              <w:rPr>
                <w:rFonts w:ascii="Arial" w:cs="Arial" w:eastAsia="Arial" w:hAnsi="Arial"/>
                <w:sz w:val="12"/>
                <w:szCs w:val="12"/>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Senior secured notes - 6.00% , due April 15, 2023</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504,625</w:t>
            </w: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80" w:type="dxa"/>
            <w:vAlign w:val="bottom"/>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504,625</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tcPr>
          <w:p>
            <w:pPr>
              <w:ind w:left="160"/>
              <w:spacing w:after="0"/>
              <w:rPr>
                <w:sz w:val="20"/>
                <w:szCs w:val="20"/>
                <w:color w:val="auto"/>
              </w:rPr>
            </w:pPr>
            <w:r>
              <w:rPr>
                <w:rFonts w:ascii="Arial" w:cs="Arial" w:eastAsia="Arial" w:hAnsi="Arial"/>
                <w:sz w:val="12"/>
                <w:szCs w:val="12"/>
                <w:color w:val="auto"/>
              </w:rPr>
              <w:t>Senior unsecured notes - 8.25%, due October 15, 2023</w:t>
            </w:r>
          </w:p>
        </w:tc>
        <w:tc>
          <w:tcPr>
            <w:tcW w:w="1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965,700</w:t>
            </w: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2"/>
                <w:szCs w:val="12"/>
                <w:color w:val="auto"/>
              </w:rPr>
              <w:t>965,700</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Senior unsecured notes - 7.125%, due December 15, 2024</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496,500</w:t>
            </w: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80" w:type="dxa"/>
            <w:vAlign w:val="bottom"/>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496,500</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tcPr>
          <w:p>
            <w:pPr>
              <w:ind w:left="160"/>
              <w:spacing w:after="0"/>
              <w:rPr>
                <w:sz w:val="20"/>
                <w:szCs w:val="20"/>
                <w:color w:val="auto"/>
              </w:rPr>
            </w:pPr>
            <w:r>
              <w:rPr>
                <w:rFonts w:ascii="Arial" w:cs="Arial" w:eastAsia="Arial" w:hAnsi="Arial"/>
                <w:sz w:val="12"/>
                <w:szCs w:val="12"/>
                <w:color w:val="auto"/>
              </w:rPr>
              <w:t>Senior secured revolving credit facility, variable rate, due April 24, 2020</w:t>
            </w:r>
          </w:p>
        </w:tc>
        <w:tc>
          <w:tcPr>
            <w:tcW w:w="1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639,936</w:t>
            </w: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2"/>
                <w:szCs w:val="12"/>
                <w:color w:val="auto"/>
              </w:rPr>
              <w:t>639,936</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Contingent consideration</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tcBorders>
              <w:bottom w:val="single" w:sz="8" w:color="auto"/>
            </w:tcBorders>
            <w:shd w:val="clear" w:color="auto" w:fill="CFF0FC"/>
          </w:tcPr>
          <w:p>
            <w:pPr>
              <w:spacing w:after="0"/>
              <w:rPr>
                <w:sz w:val="13"/>
                <w:szCs w:val="13"/>
                <w:color w:val="auto"/>
              </w:rPr>
            </w:pPr>
          </w:p>
        </w:tc>
        <w:tc>
          <w:tcPr>
            <w:tcW w:w="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83,401</w:t>
            </w:r>
          </w:p>
        </w:tc>
        <w:tc>
          <w:tcPr>
            <w:tcW w:w="26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spacing w:after="0"/>
              <w:rPr>
                <w:sz w:val="13"/>
                <w:szCs w:val="13"/>
                <w:color w:val="auto"/>
              </w:rPr>
            </w:pPr>
          </w:p>
        </w:tc>
        <w:tc>
          <w:tcPr>
            <w:tcW w:w="180" w:type="dxa"/>
            <w:vAlign w:val="bottom"/>
            <w:tcBorders>
              <w:bottom w:val="single" w:sz="8" w:color="auto"/>
            </w:tcBorders>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spacing w:after="0"/>
              <w:rPr>
                <w:sz w:val="13"/>
                <w:szCs w:val="13"/>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spacing w:after="0"/>
              <w:rPr>
                <w:sz w:val="13"/>
                <w:szCs w:val="13"/>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83,401</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660" w:type="dxa"/>
            <w:vAlign w:val="bottom"/>
          </w:tcPr>
          <w:p>
            <w:pPr>
              <w:spacing w:after="0"/>
              <w:rPr>
                <w:sz w:val="20"/>
                <w:szCs w:val="20"/>
                <w:color w:val="auto"/>
              </w:rPr>
            </w:pPr>
            <w:r>
              <w:rPr>
                <w:rFonts w:ascii="Arial" w:cs="Arial" w:eastAsia="Arial" w:hAnsi="Arial"/>
                <w:sz w:val="12"/>
                <w:szCs w:val="12"/>
                <w:color w:val="auto"/>
              </w:rPr>
              <w:t>Total</w:t>
            </w:r>
          </w:p>
        </w:tc>
        <w:tc>
          <w:tcPr>
            <w:tcW w:w="1960" w:type="dxa"/>
            <w:vAlign w:val="bottom"/>
            <w:gridSpan w:val="3"/>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w w:val="89"/>
              </w:rPr>
              <w:t>4,567,465</w:t>
            </w:r>
          </w:p>
        </w:tc>
        <w:tc>
          <w:tcPr>
            <w:tcW w:w="260" w:type="dxa"/>
            <w:vAlign w:val="bottom"/>
          </w:tcPr>
          <w:p>
            <w:pPr>
              <w:spacing w:after="0"/>
              <w:rPr>
                <w:sz w:val="12"/>
                <w:szCs w:val="12"/>
                <w:color w:val="auto"/>
              </w:rPr>
            </w:pPr>
          </w:p>
        </w:tc>
        <w:tc>
          <w:tcPr>
            <w:tcW w:w="980" w:type="dxa"/>
            <w:vAlign w:val="bottom"/>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tcPr>
          <w:p>
            <w:pPr>
              <w:jc w:val="right"/>
              <w:spacing w:after="0"/>
              <w:rPr>
                <w:sz w:val="20"/>
                <w:szCs w:val="20"/>
                <w:color w:val="auto"/>
              </w:rPr>
            </w:pPr>
            <w:r>
              <w:rPr>
                <w:rFonts w:ascii="Arial" w:cs="Arial" w:eastAsia="Arial" w:hAnsi="Arial"/>
                <w:sz w:val="12"/>
                <w:szCs w:val="12"/>
                <w:color w:val="auto"/>
              </w:rPr>
              <w:t>4,484,064</w:t>
            </w:r>
          </w:p>
        </w:tc>
        <w:tc>
          <w:tcPr>
            <w:tcW w:w="400" w:type="dxa"/>
            <w:vAlign w:val="bottom"/>
            <w:gridSpan w:val="2"/>
          </w:tcPr>
          <w:p>
            <w:pPr>
              <w:ind w:left="260"/>
              <w:spacing w:after="0"/>
              <w:rPr>
                <w:sz w:val="20"/>
                <w:szCs w:val="20"/>
                <w:color w:val="auto"/>
              </w:rPr>
            </w:pPr>
            <w:r>
              <w:rPr>
                <w:rFonts w:ascii="Arial" w:cs="Arial" w:eastAsia="Arial" w:hAnsi="Arial"/>
                <w:sz w:val="12"/>
                <w:szCs w:val="12"/>
                <w:color w:val="auto"/>
              </w:rPr>
              <w:t>$</w:t>
            </w:r>
          </w:p>
        </w:tc>
        <w:tc>
          <w:tcPr>
            <w:tcW w:w="920" w:type="dxa"/>
            <w:vAlign w:val="bottom"/>
          </w:tcPr>
          <w:p>
            <w:pPr>
              <w:jc w:val="right"/>
              <w:spacing w:after="0"/>
              <w:rPr>
                <w:sz w:val="20"/>
                <w:szCs w:val="20"/>
                <w:color w:val="auto"/>
              </w:rPr>
            </w:pPr>
            <w:r>
              <w:rPr>
                <w:rFonts w:ascii="Arial" w:cs="Arial" w:eastAsia="Arial" w:hAnsi="Arial"/>
                <w:sz w:val="12"/>
                <w:szCs w:val="12"/>
                <w:color w:val="auto"/>
              </w:rPr>
              <w:t>83,401</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8"/>
        </w:trPr>
        <w:tc>
          <w:tcPr>
            <w:tcW w:w="46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Borders>
              <w:top w:val="single" w:sz="8" w:color="auto"/>
            </w:tcBorders>
          </w:tcPr>
          <w:p>
            <w:pPr>
              <w:jc w:val="center"/>
              <w:ind w:left="131"/>
              <w:spacing w:after="0"/>
              <w:rPr>
                <w:sz w:val="20"/>
                <w:szCs w:val="20"/>
                <w:color w:val="auto"/>
              </w:rPr>
            </w:pPr>
            <w:r>
              <w:rPr>
                <w:rFonts w:ascii="Arial" w:cs="Arial" w:eastAsia="Arial" w:hAnsi="Arial"/>
                <w:sz w:val="10"/>
                <w:szCs w:val="10"/>
                <w:b w:val="1"/>
                <w:bCs w:val="1"/>
                <w:color w:val="auto"/>
                <w:w w:val="85"/>
              </w:rPr>
              <w:t>Quoted Prices in</w:t>
            </w:r>
          </w:p>
        </w:tc>
        <w:tc>
          <w:tcPr>
            <w:tcW w:w="180" w:type="dxa"/>
            <w:vAlign w:val="bottom"/>
            <w:tcBorders>
              <w:top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center"/>
              <w:ind w:right="83"/>
              <w:spacing w:after="0"/>
              <w:rPr>
                <w:sz w:val="20"/>
                <w:szCs w:val="20"/>
                <w:color w:val="auto"/>
              </w:rPr>
            </w:pPr>
            <w:r>
              <w:rPr>
                <w:rFonts w:ascii="Arial" w:cs="Arial" w:eastAsia="Arial" w:hAnsi="Arial"/>
                <w:sz w:val="10"/>
                <w:szCs w:val="10"/>
                <w:b w:val="1"/>
                <w:bCs w:val="1"/>
                <w:color w:val="auto"/>
                <w:w w:val="87"/>
              </w:rPr>
              <w:t>Prices with Other</w:t>
            </w:r>
          </w:p>
        </w:tc>
        <w:tc>
          <w:tcPr>
            <w:tcW w:w="26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9"/>
        </w:trPr>
        <w:tc>
          <w:tcPr>
            <w:tcW w:w="46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980" w:type="dxa"/>
            <w:vAlign w:val="bottom"/>
          </w:tcPr>
          <w:p>
            <w:pPr>
              <w:jc w:val="center"/>
              <w:ind w:left="131"/>
              <w:spacing w:after="0" w:line="99" w:lineRule="exact"/>
              <w:rPr>
                <w:sz w:val="20"/>
                <w:szCs w:val="20"/>
                <w:color w:val="auto"/>
              </w:rPr>
            </w:pPr>
            <w:r>
              <w:rPr>
                <w:rFonts w:ascii="Arial" w:cs="Arial" w:eastAsia="Arial" w:hAnsi="Arial"/>
                <w:sz w:val="10"/>
                <w:szCs w:val="10"/>
                <w:b w:val="1"/>
                <w:bCs w:val="1"/>
                <w:color w:val="auto"/>
                <w:w w:val="90"/>
              </w:rPr>
              <w:t>Active Markets</w:t>
            </w:r>
          </w:p>
        </w:tc>
        <w:tc>
          <w:tcPr>
            <w:tcW w:w="1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jc w:val="center"/>
              <w:ind w:right="83"/>
              <w:spacing w:after="0" w:line="99" w:lineRule="exact"/>
              <w:rPr>
                <w:sz w:val="20"/>
                <w:szCs w:val="20"/>
                <w:color w:val="auto"/>
              </w:rPr>
            </w:pPr>
            <w:r>
              <w:rPr>
                <w:rFonts w:ascii="Arial" w:cs="Arial" w:eastAsia="Arial" w:hAnsi="Arial"/>
                <w:sz w:val="10"/>
                <w:szCs w:val="10"/>
                <w:b w:val="1"/>
                <w:bCs w:val="1"/>
                <w:color w:val="auto"/>
                <w:w w:val="87"/>
              </w:rPr>
              <w:t>Observable Inputs</w:t>
            </w:r>
          </w:p>
        </w:tc>
        <w:tc>
          <w:tcPr>
            <w:tcW w:w="1440" w:type="dxa"/>
            <w:vAlign w:val="bottom"/>
            <w:gridSpan w:val="4"/>
          </w:tcPr>
          <w:p>
            <w:pPr>
              <w:ind w:left="260"/>
              <w:spacing w:after="0" w:line="99" w:lineRule="exact"/>
              <w:rPr>
                <w:sz w:val="20"/>
                <w:szCs w:val="20"/>
                <w:color w:val="auto"/>
              </w:rPr>
            </w:pPr>
            <w:r>
              <w:rPr>
                <w:rFonts w:ascii="Arial" w:cs="Arial" w:eastAsia="Arial" w:hAnsi="Arial"/>
                <w:sz w:val="10"/>
                <w:szCs w:val="10"/>
                <w:b w:val="1"/>
                <w:bCs w:val="1"/>
                <w:color w:val="auto"/>
                <w:w w:val="95"/>
              </w:rPr>
              <w:t>Prices with Unobservable</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4"/>
        </w:trPr>
        <w:tc>
          <w:tcPr>
            <w:tcW w:w="4660" w:type="dxa"/>
            <w:vAlign w:val="bottom"/>
          </w:tcPr>
          <w:p>
            <w:pPr>
              <w:spacing w:after="0" w:line="114" w:lineRule="exact"/>
              <w:rPr>
                <w:sz w:val="20"/>
                <w:szCs w:val="20"/>
                <w:color w:val="auto"/>
              </w:rPr>
            </w:pPr>
            <w:r>
              <w:rPr>
                <w:rFonts w:ascii="Arial" w:cs="Arial" w:eastAsia="Arial" w:hAnsi="Arial"/>
                <w:sz w:val="10"/>
                <w:szCs w:val="10"/>
                <w:color w:val="auto"/>
              </w:rPr>
              <w:t>(Thousands)</w:t>
            </w:r>
          </w:p>
        </w:tc>
        <w:tc>
          <w:tcPr>
            <w:tcW w:w="1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jc w:val="right"/>
              <w:spacing w:after="0" w:line="114" w:lineRule="exact"/>
              <w:rPr>
                <w:sz w:val="20"/>
                <w:szCs w:val="20"/>
                <w:color w:val="auto"/>
              </w:rPr>
            </w:pPr>
            <w:r>
              <w:rPr>
                <w:rFonts w:ascii="Arial" w:cs="Arial" w:eastAsia="Arial" w:hAnsi="Arial"/>
                <w:sz w:val="10"/>
                <w:szCs w:val="10"/>
                <w:b w:val="1"/>
                <w:bCs w:val="1"/>
                <w:color w:val="auto"/>
              </w:rPr>
              <w:t>Total</w:t>
            </w:r>
          </w:p>
        </w:tc>
        <w:tc>
          <w:tcPr>
            <w:tcW w:w="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980" w:type="dxa"/>
            <w:vAlign w:val="bottom"/>
          </w:tcPr>
          <w:p>
            <w:pPr>
              <w:jc w:val="center"/>
              <w:ind w:left="131"/>
              <w:spacing w:after="0" w:line="114" w:lineRule="exact"/>
              <w:rPr>
                <w:sz w:val="20"/>
                <w:szCs w:val="20"/>
                <w:color w:val="auto"/>
              </w:rPr>
            </w:pPr>
            <w:r>
              <w:rPr>
                <w:rFonts w:ascii="Arial" w:cs="Arial" w:eastAsia="Arial" w:hAnsi="Arial"/>
                <w:sz w:val="10"/>
                <w:szCs w:val="10"/>
                <w:b w:val="1"/>
                <w:bCs w:val="1"/>
                <w:color w:val="auto"/>
                <w:w w:val="88"/>
              </w:rPr>
              <w:t>(Level 1)</w:t>
            </w:r>
          </w:p>
        </w:tc>
        <w:tc>
          <w:tcPr>
            <w:tcW w:w="1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jc w:val="center"/>
              <w:ind w:right="83"/>
              <w:spacing w:after="0" w:line="114" w:lineRule="exact"/>
              <w:rPr>
                <w:sz w:val="20"/>
                <w:szCs w:val="20"/>
                <w:color w:val="auto"/>
              </w:rPr>
            </w:pPr>
            <w:r>
              <w:rPr>
                <w:rFonts w:ascii="Arial" w:cs="Arial" w:eastAsia="Arial" w:hAnsi="Arial"/>
                <w:sz w:val="10"/>
                <w:szCs w:val="10"/>
                <w:b w:val="1"/>
                <w:bCs w:val="1"/>
                <w:color w:val="auto"/>
                <w:w w:val="88"/>
              </w:rPr>
              <w:t>(Level 2)</w:t>
            </w:r>
          </w:p>
        </w:tc>
        <w:tc>
          <w:tcPr>
            <w:tcW w:w="2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gridSpan w:val="2"/>
          </w:tcPr>
          <w:p>
            <w:pPr>
              <w:ind w:left="60"/>
              <w:spacing w:after="0" w:line="114" w:lineRule="exact"/>
              <w:rPr>
                <w:sz w:val="20"/>
                <w:szCs w:val="20"/>
                <w:color w:val="auto"/>
              </w:rPr>
            </w:pPr>
            <w:r>
              <w:rPr>
                <w:rFonts w:ascii="Arial" w:cs="Arial" w:eastAsia="Arial" w:hAnsi="Arial"/>
                <w:sz w:val="10"/>
                <w:szCs w:val="10"/>
                <w:b w:val="1"/>
                <w:bCs w:val="1"/>
                <w:color w:val="auto"/>
              </w:rPr>
              <w:t>Inputs (Level 3)</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6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color w:val="auto"/>
              </w:rPr>
              <w:t>At December 31, 2017</w:t>
            </w:r>
          </w:p>
        </w:tc>
        <w:tc>
          <w:tcPr>
            <w:tcW w:w="1040" w:type="dxa"/>
            <w:vAlign w:val="bottom"/>
            <w:tcBorders>
              <w:top w:val="single" w:sz="8" w:color="auto"/>
            </w:tcBorders>
            <w:shd w:val="clear" w:color="auto" w:fill="CFF0FC"/>
          </w:tcPr>
          <w:p>
            <w:pPr>
              <w:spacing w:after="0"/>
              <w:rPr>
                <w:sz w:val="12"/>
                <w:szCs w:val="12"/>
                <w:color w:val="auto"/>
              </w:rPr>
            </w:pPr>
          </w:p>
        </w:tc>
        <w:tc>
          <w:tcPr>
            <w:tcW w:w="160" w:type="dxa"/>
            <w:vAlign w:val="bottom"/>
            <w:tcBorders>
              <w:top w:val="single" w:sz="8" w:color="CFF0FC"/>
            </w:tcBorders>
            <w:shd w:val="clear" w:color="auto" w:fill="CFF0FC"/>
          </w:tcPr>
          <w:p>
            <w:pPr>
              <w:spacing w:after="0"/>
              <w:rPr>
                <w:sz w:val="12"/>
                <w:szCs w:val="12"/>
                <w:color w:val="auto"/>
              </w:rPr>
            </w:pPr>
          </w:p>
        </w:tc>
        <w:tc>
          <w:tcPr>
            <w:tcW w:w="760" w:type="dxa"/>
            <w:vAlign w:val="bottom"/>
            <w:tcBorders>
              <w:top w:val="single" w:sz="8" w:color="auto"/>
            </w:tcBorders>
            <w:shd w:val="clear" w:color="auto" w:fill="CFF0FC"/>
          </w:tcPr>
          <w:p>
            <w:pPr>
              <w:spacing w:after="0"/>
              <w:rPr>
                <w:sz w:val="12"/>
                <w:szCs w:val="12"/>
                <w:color w:val="auto"/>
              </w:rPr>
            </w:pPr>
          </w:p>
        </w:tc>
        <w:tc>
          <w:tcPr>
            <w:tcW w:w="5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110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92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660" w:type="dxa"/>
            <w:vAlign w:val="bottom"/>
          </w:tcPr>
          <w:p>
            <w:pPr>
              <w:spacing w:after="0"/>
              <w:rPr>
                <w:sz w:val="20"/>
                <w:szCs w:val="20"/>
                <w:color w:val="auto"/>
              </w:rPr>
            </w:pPr>
            <w:r>
              <w:rPr>
                <w:rFonts w:ascii="Arial" w:cs="Arial" w:eastAsia="Arial" w:hAnsi="Arial"/>
                <w:sz w:val="12"/>
                <w:szCs w:val="12"/>
                <w:color w:val="auto"/>
              </w:rPr>
              <w:t>Assets</w:t>
            </w:r>
          </w:p>
        </w:tc>
        <w:tc>
          <w:tcPr>
            <w:tcW w:w="1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Derivative asset</w:t>
            </w:r>
          </w:p>
        </w:tc>
        <w:tc>
          <w:tcPr>
            <w:tcW w:w="1960" w:type="dxa"/>
            <w:vAlign w:val="bottom"/>
            <w:gridSpan w:val="3"/>
            <w:shd w:val="clear" w:color="auto" w:fill="CFF0FC"/>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6,793</w:t>
            </w: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6,793</w:t>
            </w:r>
          </w:p>
        </w:tc>
        <w:tc>
          <w:tcPr>
            <w:tcW w:w="400" w:type="dxa"/>
            <w:vAlign w:val="bottom"/>
            <w:gridSpan w:val="2"/>
            <w:shd w:val="clear" w:color="auto" w:fill="CFF0FC"/>
          </w:tcPr>
          <w:p>
            <w:pPr>
              <w:ind w:left="260"/>
              <w:spacing w:after="0"/>
              <w:rPr>
                <w:sz w:val="20"/>
                <w:szCs w:val="20"/>
                <w:color w:val="auto"/>
              </w:rPr>
            </w:pPr>
            <w:r>
              <w:rPr>
                <w:rFonts w:ascii="Arial" w:cs="Arial" w:eastAsia="Arial" w:hAnsi="Arial"/>
                <w:sz w:val="12"/>
                <w:szCs w:val="12"/>
                <w:color w:val="auto"/>
              </w:rPr>
              <w:t>$</w:t>
            </w: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660" w:type="dxa"/>
            <w:vAlign w:val="bottom"/>
            <w:vMerge w:val="restart"/>
          </w:tcPr>
          <w:p>
            <w:pPr>
              <w:spacing w:after="0"/>
              <w:rPr>
                <w:sz w:val="20"/>
                <w:szCs w:val="20"/>
                <w:color w:val="auto"/>
              </w:rPr>
            </w:pPr>
            <w:r>
              <w:rPr>
                <w:rFonts w:ascii="Arial" w:cs="Arial" w:eastAsia="Arial" w:hAnsi="Arial"/>
                <w:sz w:val="12"/>
                <w:szCs w:val="12"/>
                <w:color w:val="auto"/>
              </w:rPr>
              <w:t>Total</w:t>
            </w:r>
          </w:p>
        </w:tc>
        <w:tc>
          <w:tcPr>
            <w:tcW w:w="1200" w:type="dxa"/>
            <w:vAlign w:val="bottom"/>
            <w:gridSpan w:val="2"/>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660" w:type="dxa"/>
            <w:vAlign w:val="bottom"/>
            <w:vMerge w:val="continue"/>
          </w:tcPr>
          <w:p>
            <w:pPr>
              <w:spacing w:after="0"/>
              <w:rPr>
                <w:sz w:val="12"/>
                <w:szCs w:val="12"/>
                <w:color w:val="auto"/>
              </w:rPr>
            </w:pPr>
          </w:p>
        </w:tc>
        <w:tc>
          <w:tcPr>
            <w:tcW w:w="1960" w:type="dxa"/>
            <w:vAlign w:val="bottom"/>
            <w:gridSpan w:val="3"/>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rPr>
              <w:t>6,793</w:t>
            </w:r>
          </w:p>
        </w:tc>
        <w:tc>
          <w:tcPr>
            <w:tcW w:w="260" w:type="dxa"/>
            <w:vAlign w:val="bottom"/>
          </w:tcPr>
          <w:p>
            <w:pPr>
              <w:spacing w:after="0"/>
              <w:rPr>
                <w:sz w:val="12"/>
                <w:szCs w:val="12"/>
                <w:color w:val="auto"/>
              </w:rPr>
            </w:pPr>
          </w:p>
        </w:tc>
        <w:tc>
          <w:tcPr>
            <w:tcW w:w="980" w:type="dxa"/>
            <w:vAlign w:val="bottom"/>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tcPr>
          <w:p>
            <w:pPr>
              <w:jc w:val="right"/>
              <w:spacing w:after="0"/>
              <w:rPr>
                <w:sz w:val="20"/>
                <w:szCs w:val="20"/>
                <w:color w:val="auto"/>
              </w:rPr>
            </w:pPr>
            <w:r>
              <w:rPr>
                <w:rFonts w:ascii="Arial" w:cs="Arial" w:eastAsia="Arial" w:hAnsi="Arial"/>
                <w:sz w:val="12"/>
                <w:szCs w:val="12"/>
                <w:color w:val="auto"/>
              </w:rPr>
              <w:t>6,793</w:t>
            </w:r>
          </w:p>
        </w:tc>
        <w:tc>
          <w:tcPr>
            <w:tcW w:w="400" w:type="dxa"/>
            <w:vAlign w:val="bottom"/>
            <w:gridSpan w:val="2"/>
          </w:tcPr>
          <w:p>
            <w:pPr>
              <w:ind w:left="260"/>
              <w:spacing w:after="0"/>
              <w:rPr>
                <w:sz w:val="20"/>
                <w:szCs w:val="20"/>
                <w:color w:val="auto"/>
              </w:rPr>
            </w:pPr>
            <w:r>
              <w:rPr>
                <w:rFonts w:ascii="Arial" w:cs="Arial" w:eastAsia="Arial" w:hAnsi="Arial"/>
                <w:sz w:val="12"/>
                <w:szCs w:val="12"/>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660" w:type="dxa"/>
            <w:vAlign w:val="bottom"/>
            <w:tcBorders>
              <w:top w:val="single" w:sz="8" w:color="CFF0FC"/>
            </w:tcBorders>
            <w:shd w:val="clear" w:color="auto" w:fill="CFF0FC"/>
          </w:tcPr>
          <w:p>
            <w:pPr>
              <w:spacing w:after="0"/>
              <w:rPr>
                <w:sz w:val="13"/>
                <w:szCs w:val="13"/>
                <w:color w:val="auto"/>
              </w:rPr>
            </w:pPr>
          </w:p>
        </w:tc>
        <w:tc>
          <w:tcPr>
            <w:tcW w:w="10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50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98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110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92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46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spacing w:after="0"/>
              <w:rPr>
                <w:sz w:val="20"/>
                <w:szCs w:val="20"/>
                <w:color w:val="auto"/>
              </w:rPr>
            </w:pPr>
            <w:r>
              <w:rPr>
                <w:rFonts w:ascii="Arial" w:cs="Arial" w:eastAsia="Arial" w:hAnsi="Arial"/>
                <w:sz w:val="12"/>
                <w:szCs w:val="12"/>
                <w:color w:val="auto"/>
              </w:rPr>
              <w:t>Liabilities</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5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1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9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tcPr>
          <w:p>
            <w:pPr>
              <w:ind w:left="160"/>
              <w:spacing w:after="0"/>
              <w:rPr>
                <w:sz w:val="20"/>
                <w:szCs w:val="20"/>
                <w:color w:val="auto"/>
              </w:rPr>
            </w:pPr>
            <w:r>
              <w:rPr>
                <w:rFonts w:ascii="Arial" w:cs="Arial" w:eastAsia="Arial" w:hAnsi="Arial"/>
                <w:sz w:val="12"/>
                <w:szCs w:val="12"/>
                <w:color w:val="auto"/>
              </w:rPr>
              <w:t>Senior secured term loan B - variable rate, due October 24, 2022</w:t>
            </w:r>
          </w:p>
        </w:tc>
        <w:tc>
          <w:tcPr>
            <w:tcW w:w="1960" w:type="dxa"/>
            <w:vAlign w:val="bottom"/>
            <w:gridSpan w:val="3"/>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w w:val="89"/>
              </w:rPr>
              <w:t>2,011,237</w:t>
            </w:r>
          </w:p>
        </w:tc>
        <w:tc>
          <w:tcPr>
            <w:tcW w:w="260" w:type="dxa"/>
            <w:vAlign w:val="bottom"/>
          </w:tcPr>
          <w:p>
            <w:pPr>
              <w:spacing w:after="0"/>
              <w:rPr>
                <w:sz w:val="13"/>
                <w:szCs w:val="13"/>
                <w:color w:val="auto"/>
              </w:rPr>
            </w:pPr>
          </w:p>
        </w:tc>
        <w:tc>
          <w:tcPr>
            <w:tcW w:w="980" w:type="dxa"/>
            <w:vAlign w:val="bottom"/>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tcPr>
          <w:p>
            <w:pPr>
              <w:jc w:val="right"/>
              <w:spacing w:after="0"/>
              <w:rPr>
                <w:sz w:val="20"/>
                <w:szCs w:val="20"/>
                <w:color w:val="auto"/>
              </w:rPr>
            </w:pPr>
            <w:r>
              <w:rPr>
                <w:rFonts w:ascii="Arial" w:cs="Arial" w:eastAsia="Arial" w:hAnsi="Arial"/>
                <w:sz w:val="12"/>
                <w:szCs w:val="12"/>
                <w:color w:val="auto"/>
              </w:rPr>
              <w:t>2,011,237</w:t>
            </w:r>
          </w:p>
        </w:tc>
        <w:tc>
          <w:tcPr>
            <w:tcW w:w="400" w:type="dxa"/>
            <w:vAlign w:val="bottom"/>
            <w:gridSpan w:val="2"/>
          </w:tcPr>
          <w:p>
            <w:pPr>
              <w:ind w:left="260"/>
              <w:spacing w:after="0"/>
              <w:rPr>
                <w:sz w:val="20"/>
                <w:szCs w:val="20"/>
                <w:color w:val="auto"/>
              </w:rPr>
            </w:pPr>
            <w:r>
              <w:rPr>
                <w:rFonts w:ascii="Arial" w:cs="Arial" w:eastAsia="Arial" w:hAnsi="Arial"/>
                <w:sz w:val="12"/>
                <w:szCs w:val="12"/>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Senior secured notes - 6.00% , due April 15, 2023</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540,375</w:t>
            </w: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80" w:type="dxa"/>
            <w:vAlign w:val="bottom"/>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540,375</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tcPr>
          <w:p>
            <w:pPr>
              <w:ind w:left="160"/>
              <w:spacing w:after="0"/>
              <w:rPr>
                <w:sz w:val="20"/>
                <w:szCs w:val="20"/>
                <w:color w:val="auto"/>
              </w:rPr>
            </w:pPr>
            <w:r>
              <w:rPr>
                <w:rFonts w:ascii="Arial" w:cs="Arial" w:eastAsia="Arial" w:hAnsi="Arial"/>
                <w:sz w:val="12"/>
                <w:szCs w:val="12"/>
                <w:color w:val="auto"/>
              </w:rPr>
              <w:t>Senior unsecured notes - 8.25%, due October 15, 2023</w:t>
            </w:r>
          </w:p>
        </w:tc>
        <w:tc>
          <w:tcPr>
            <w:tcW w:w="1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w w:val="89"/>
              </w:rPr>
              <w:t>1,073,925</w:t>
            </w: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2"/>
                <w:szCs w:val="12"/>
                <w:color w:val="auto"/>
              </w:rPr>
              <w:t>1,073,925</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Senior unsecured notes - 7.125%, due December 15, 2024</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542,250</w:t>
            </w: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80" w:type="dxa"/>
            <w:vAlign w:val="bottom"/>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542,250</w:t>
            </w:r>
          </w:p>
        </w:tc>
        <w:tc>
          <w:tcPr>
            <w:tcW w:w="2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tcPr>
          <w:p>
            <w:pPr>
              <w:ind w:left="160"/>
              <w:spacing w:after="0"/>
              <w:rPr>
                <w:sz w:val="20"/>
                <w:szCs w:val="20"/>
                <w:color w:val="auto"/>
              </w:rPr>
            </w:pPr>
            <w:r>
              <w:rPr>
                <w:rFonts w:ascii="Arial" w:cs="Arial" w:eastAsia="Arial" w:hAnsi="Arial"/>
                <w:sz w:val="12"/>
                <w:szCs w:val="12"/>
                <w:color w:val="auto"/>
              </w:rPr>
              <w:t>Senior secured revolving credit facility, variable rate, due April 24, 2020</w:t>
            </w:r>
          </w:p>
        </w:tc>
        <w:tc>
          <w:tcPr>
            <w:tcW w:w="1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279,972</w:t>
            </w: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2"/>
                <w:szCs w:val="12"/>
                <w:color w:val="auto"/>
              </w:rPr>
              <w:t>279,972</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6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Contingent consideration</w:t>
            </w:r>
          </w:p>
        </w:tc>
        <w:tc>
          <w:tcPr>
            <w:tcW w:w="10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60" w:type="dxa"/>
            <w:vAlign w:val="bottom"/>
            <w:tcBorders>
              <w:bottom w:val="single" w:sz="8" w:color="auto"/>
            </w:tcBorders>
            <w:shd w:val="clear" w:color="auto" w:fill="CFF0FC"/>
          </w:tcPr>
          <w:p>
            <w:pPr>
              <w:spacing w:after="0"/>
              <w:rPr>
                <w:sz w:val="13"/>
                <w:szCs w:val="13"/>
                <w:color w:val="auto"/>
              </w:rPr>
            </w:pPr>
          </w:p>
        </w:tc>
        <w:tc>
          <w:tcPr>
            <w:tcW w:w="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105,762</w:t>
            </w:r>
          </w:p>
        </w:tc>
        <w:tc>
          <w:tcPr>
            <w:tcW w:w="26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spacing w:after="0"/>
              <w:rPr>
                <w:sz w:val="13"/>
                <w:szCs w:val="13"/>
                <w:color w:val="auto"/>
              </w:rPr>
            </w:pPr>
          </w:p>
        </w:tc>
        <w:tc>
          <w:tcPr>
            <w:tcW w:w="180" w:type="dxa"/>
            <w:vAlign w:val="bottom"/>
            <w:tcBorders>
              <w:bottom w:val="single" w:sz="8" w:color="auto"/>
            </w:tcBorders>
            <w:shd w:val="clear" w:color="auto" w:fill="CFF0FC"/>
          </w:tcPr>
          <w:p>
            <w:pPr>
              <w:ind w:left="6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spacing w:after="0"/>
              <w:rPr>
                <w:sz w:val="13"/>
                <w:szCs w:val="13"/>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spacing w:after="0"/>
              <w:rPr>
                <w:sz w:val="13"/>
                <w:szCs w:val="13"/>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105,762</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660" w:type="dxa"/>
            <w:vAlign w:val="bottom"/>
          </w:tcPr>
          <w:p>
            <w:pPr>
              <w:spacing w:after="0"/>
              <w:rPr>
                <w:sz w:val="20"/>
                <w:szCs w:val="20"/>
                <w:color w:val="auto"/>
              </w:rPr>
            </w:pPr>
            <w:r>
              <w:rPr>
                <w:rFonts w:ascii="Arial" w:cs="Arial" w:eastAsia="Arial" w:hAnsi="Arial"/>
                <w:sz w:val="12"/>
                <w:szCs w:val="12"/>
                <w:color w:val="auto"/>
              </w:rPr>
              <w:t>Total</w:t>
            </w:r>
          </w:p>
        </w:tc>
        <w:tc>
          <w:tcPr>
            <w:tcW w:w="1960" w:type="dxa"/>
            <w:vAlign w:val="bottom"/>
            <w:gridSpan w:val="3"/>
          </w:tcPr>
          <w:p>
            <w:pPr>
              <w:jc w:val="right"/>
              <w:ind w:right="652"/>
              <w:spacing w:after="0"/>
              <w:rPr>
                <w:sz w:val="20"/>
                <w:szCs w:val="20"/>
                <w:color w:val="auto"/>
              </w:rPr>
            </w:pPr>
            <w:r>
              <w:rPr>
                <w:rFonts w:ascii="Arial" w:cs="Arial" w:eastAsia="Arial" w:hAnsi="Arial"/>
                <w:sz w:val="12"/>
                <w:szCs w:val="12"/>
                <w:color w:val="auto"/>
              </w:rPr>
              <w:t>$</w:t>
            </w:r>
          </w:p>
        </w:tc>
        <w:tc>
          <w:tcPr>
            <w:tcW w:w="500" w:type="dxa"/>
            <w:vAlign w:val="bottom"/>
          </w:tcPr>
          <w:p>
            <w:pPr>
              <w:jc w:val="right"/>
              <w:spacing w:after="0"/>
              <w:rPr>
                <w:sz w:val="20"/>
                <w:szCs w:val="20"/>
                <w:color w:val="auto"/>
              </w:rPr>
            </w:pPr>
            <w:r>
              <w:rPr>
                <w:rFonts w:ascii="Arial" w:cs="Arial" w:eastAsia="Arial" w:hAnsi="Arial"/>
                <w:sz w:val="12"/>
                <w:szCs w:val="12"/>
                <w:color w:val="auto"/>
                <w:w w:val="89"/>
              </w:rPr>
              <w:t>4,553,521</w:t>
            </w:r>
          </w:p>
        </w:tc>
        <w:tc>
          <w:tcPr>
            <w:tcW w:w="260" w:type="dxa"/>
            <w:vAlign w:val="bottom"/>
          </w:tcPr>
          <w:p>
            <w:pPr>
              <w:spacing w:after="0"/>
              <w:rPr>
                <w:sz w:val="12"/>
                <w:szCs w:val="12"/>
                <w:color w:val="auto"/>
              </w:rPr>
            </w:pPr>
          </w:p>
        </w:tc>
        <w:tc>
          <w:tcPr>
            <w:tcW w:w="980" w:type="dxa"/>
            <w:vAlign w:val="bottom"/>
          </w:tcPr>
          <w:p>
            <w:pPr>
              <w:jc w:val="right"/>
              <w:ind w:right="871"/>
              <w:spacing w:after="0"/>
              <w:rPr>
                <w:sz w:val="20"/>
                <w:szCs w:val="20"/>
                <w:color w:val="auto"/>
              </w:rPr>
            </w:pPr>
            <w:r>
              <w:rPr>
                <w:rFonts w:ascii="Arial" w:cs="Arial" w:eastAsia="Arial" w:hAnsi="Arial"/>
                <w:sz w:val="10"/>
                <w:szCs w:val="10"/>
                <w:color w:val="auto"/>
                <w:w w:val="71"/>
              </w:rPr>
              <w:t>$</w:t>
            </w:r>
          </w:p>
        </w:tc>
        <w:tc>
          <w:tcPr>
            <w:tcW w:w="180" w:type="dxa"/>
            <w:vAlign w:val="bottom"/>
          </w:tcPr>
          <w:p>
            <w:pPr>
              <w:ind w:left="60"/>
              <w:spacing w:after="0"/>
              <w:rPr>
                <w:sz w:val="20"/>
                <w:szCs w:val="20"/>
                <w:color w:val="auto"/>
              </w:rPr>
            </w:pPr>
            <w:r>
              <w:rPr>
                <w:rFonts w:ascii="Arial" w:cs="Arial" w:eastAsia="Arial" w:hAnsi="Arial"/>
                <w:sz w:val="12"/>
                <w:szCs w:val="12"/>
                <w:color w:val="auto"/>
                <w:w w:val="82"/>
              </w:rPr>
              <w:t>—</w:t>
            </w:r>
          </w:p>
        </w:tc>
        <w:tc>
          <w:tcPr>
            <w:tcW w:w="40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1100" w:type="dxa"/>
            <w:vAlign w:val="bottom"/>
          </w:tcPr>
          <w:p>
            <w:pPr>
              <w:jc w:val="right"/>
              <w:spacing w:after="0"/>
              <w:rPr>
                <w:sz w:val="20"/>
                <w:szCs w:val="20"/>
                <w:color w:val="auto"/>
              </w:rPr>
            </w:pPr>
            <w:r>
              <w:rPr>
                <w:rFonts w:ascii="Arial" w:cs="Arial" w:eastAsia="Arial" w:hAnsi="Arial"/>
                <w:sz w:val="12"/>
                <w:szCs w:val="12"/>
                <w:color w:val="auto"/>
              </w:rPr>
              <w:t>4,447,759</w:t>
            </w:r>
          </w:p>
        </w:tc>
        <w:tc>
          <w:tcPr>
            <w:tcW w:w="400" w:type="dxa"/>
            <w:vAlign w:val="bottom"/>
            <w:gridSpan w:val="2"/>
          </w:tcPr>
          <w:p>
            <w:pPr>
              <w:ind w:left="260"/>
              <w:spacing w:after="0"/>
              <w:rPr>
                <w:sz w:val="20"/>
                <w:szCs w:val="20"/>
                <w:color w:val="auto"/>
              </w:rPr>
            </w:pPr>
            <w:r>
              <w:rPr>
                <w:rFonts w:ascii="Arial" w:cs="Arial" w:eastAsia="Arial" w:hAnsi="Arial"/>
                <w:sz w:val="12"/>
                <w:szCs w:val="12"/>
                <w:color w:val="auto"/>
              </w:rPr>
              <w:t>$</w:t>
            </w:r>
          </w:p>
        </w:tc>
        <w:tc>
          <w:tcPr>
            <w:tcW w:w="920" w:type="dxa"/>
            <w:vAlign w:val="bottom"/>
          </w:tcPr>
          <w:p>
            <w:pPr>
              <w:jc w:val="right"/>
              <w:spacing w:after="0"/>
              <w:rPr>
                <w:sz w:val="20"/>
                <w:szCs w:val="20"/>
                <w:color w:val="auto"/>
              </w:rPr>
            </w:pPr>
            <w:r>
              <w:rPr>
                <w:rFonts w:ascii="Arial" w:cs="Arial" w:eastAsia="Arial" w:hAnsi="Arial"/>
                <w:sz w:val="12"/>
                <w:szCs w:val="12"/>
                <w:color w:val="auto"/>
              </w:rPr>
              <w:t>105,762</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2"/>
        </w:trPr>
        <w:tc>
          <w:tcPr>
            <w:tcW w:w="4660" w:type="dxa"/>
            <w:vAlign w:val="bottom"/>
          </w:tcPr>
          <w:p>
            <w:pPr>
              <w:spacing w:after="0"/>
              <w:rPr>
                <w:sz w:val="24"/>
                <w:szCs w:val="24"/>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2"/>
                <w:szCs w:val="12"/>
                <w:color w:val="auto"/>
              </w:rPr>
              <w:t>83</w:t>
            </w:r>
          </w:p>
        </w:tc>
        <w:tc>
          <w:tcPr>
            <w:tcW w:w="76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466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50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98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10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92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83" w:name="page84"/>
    <w:bookmarkEnd w:id="8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The carrying value of cash and cash equivalents, accounts and other receivables, and accounts, interest and dividends payable approximate fair values due to the short-term nature of these financial instruments.</w:t>
      </w:r>
    </w:p>
    <w:p>
      <w:pPr>
        <w:spacing w:after="0" w:line="150" w:lineRule="exact"/>
        <w:rPr>
          <w:sz w:val="20"/>
          <w:szCs w:val="20"/>
          <w:color w:val="auto"/>
        </w:rPr>
      </w:pPr>
    </w:p>
    <w:p>
      <w:pPr>
        <w:ind w:right="80"/>
        <w:spacing w:after="0" w:line="281" w:lineRule="auto"/>
        <w:rPr>
          <w:sz w:val="20"/>
          <w:szCs w:val="20"/>
          <w:color w:val="auto"/>
        </w:rPr>
      </w:pPr>
      <w:r>
        <w:rPr>
          <w:rFonts w:ascii="Arial" w:cs="Arial" w:eastAsia="Arial" w:hAnsi="Arial"/>
          <w:sz w:val="11"/>
          <w:szCs w:val="11"/>
          <w:color w:val="auto"/>
        </w:rPr>
        <w:t>The total principal balance of our Notes and other debt was $5.0 billion at December 31, 2018, with a fair value of $4.5 billion. The estimated fair value of the Notes and other debt was based on available external pricing data and current market rates for similar debt instruments, among other factors, which are classified as Level 2 inputs within the fair value hierarchy. Derivative instruments are carried at fair value. See Note 8. The fair value of our interest rate swap is determined based on the present value of expected future cash flows using observable, quoted LIBOR swap rates for the full term of the swap and also incorporate credit valuation adjustments to appropriately reflect both Uniti 's own non-performance risk and non-performance risk of the respective counterparties. The Company has determined that the majority of the inputs used to value its derivative instruments fall within Level 2 of the fair value hierarchy; however the associated credit valuation adjustments utilized Level 3 inputs, such as estimates of credit spreads, to evaluate the likelihood of default by the Company and its counterparties. As of December 31, 2018, the Company has assessed the significance of the impact of the credit valuation adjustments on the overall valuation of its derivative positions and has determined that the credit valuation adjustment is not significant to the overall value of the derivatives. As such, the Company classifies its derivative instruments valuation in Level 2 of the fair value hierarchy.</w:t>
      </w:r>
    </w:p>
    <w:p>
      <w:pPr>
        <w:spacing w:after="0" w:line="116" w:lineRule="exact"/>
        <w:rPr>
          <w:sz w:val="20"/>
          <w:szCs w:val="20"/>
          <w:color w:val="auto"/>
        </w:rPr>
      </w:pPr>
    </w:p>
    <w:p>
      <w:pPr>
        <w:ind w:right="140"/>
        <w:spacing w:after="0" w:line="290" w:lineRule="auto"/>
        <w:rPr>
          <w:sz w:val="20"/>
          <w:szCs w:val="20"/>
          <w:color w:val="auto"/>
        </w:rPr>
      </w:pPr>
      <w:r>
        <w:rPr>
          <w:rFonts w:ascii="Arial" w:cs="Arial" w:eastAsia="Arial" w:hAnsi="Arial"/>
          <w:sz w:val="11"/>
          <w:szCs w:val="11"/>
          <w:color w:val="auto"/>
        </w:rPr>
        <w:t>As part of the acquisition of Hunt on July 3, 2017, we may be obligated to pay contingent consideration (the “Hunt Contingent Consideration”) upon the achievement of certain defined revenue milestones; therefore, we have recorded the estimated fair value of contingent consideration of approximately $10.0 million as of December 31, 2018. See Note 5. In accordance with the Hunt merger agreement, Uniti common shares will be used to satisfy the contingent consideration payment. The fair value of the Hunt Contingent Consideration at December 31, 2018 was determined using the closing price of our common shares in the active market and probability estimates of future earnings and is classified as Level 3. On January 4, 2019, we settled the Hunt Contingent Consideration in full satisfaction of the obligation through the issuance of 645,385 common shares having a fair value of $11.2 million.</w:t>
      </w:r>
    </w:p>
    <w:p>
      <w:pPr>
        <w:spacing w:after="0" w:line="109" w:lineRule="exact"/>
        <w:rPr>
          <w:sz w:val="20"/>
          <w:szCs w:val="20"/>
          <w:color w:val="auto"/>
        </w:rPr>
      </w:pPr>
    </w:p>
    <w:p>
      <w:pPr>
        <w:jc w:val="both"/>
        <w:ind w:right="80"/>
        <w:spacing w:after="0" w:line="298" w:lineRule="auto"/>
        <w:rPr>
          <w:sz w:val="20"/>
          <w:szCs w:val="20"/>
          <w:color w:val="auto"/>
        </w:rPr>
      </w:pPr>
      <w:r>
        <w:rPr>
          <w:rFonts w:ascii="Arial" w:cs="Arial" w:eastAsia="Arial" w:hAnsi="Arial"/>
          <w:sz w:val="11"/>
          <w:szCs w:val="11"/>
          <w:color w:val="auto"/>
        </w:rPr>
        <w:t>As part of the acquisition of Tower Cloud on August 31, 2016, we may be obligated to pay contingent consideration upon achievement of certain defined operational and financial milestones; therefore, we recorded the estimated fair value of future contingent consideration of $73.4 million as of December 31, 2018. The fair value of the contingent consideration as of December 31, 2018, was determined using a discounted cash flow model and probability adjusted estimates of the operational milestones and is classified as Level 3. During the year ended December 31, 2018, we paid $18.6 million for the achievement of certain milestones in accordance with the Tower Cloud merger agreement.</w:t>
      </w:r>
    </w:p>
    <w:p>
      <w:pPr>
        <w:spacing w:after="0" w:line="105"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Changes in the fair value of contingent consideration will be recorded in our Consolidated Statement of Income in the period in which the change occurs. For the year ended December 31, 2018, there was a $3.7 million decrease in the fair value of the contingent consideration that was recorded in Other expense on the Consolidated Statements of Income.</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color w:val="auto"/>
        </w:rPr>
        <w:t>The following is a roll forward of our liability measured at fair value on a recurring basis using unobservable inputs (Level 3):</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0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20" w:type="dxa"/>
            <w:vAlign w:val="bottom"/>
            <w:gridSpan w:val="3"/>
          </w:tcPr>
          <w:p>
            <w:pPr>
              <w:jc w:val="center"/>
              <w:ind w:right="140"/>
              <w:spacing w:after="0"/>
              <w:rPr>
                <w:sz w:val="20"/>
                <w:szCs w:val="20"/>
                <w:color w:val="auto"/>
              </w:rPr>
            </w:pPr>
            <w:r>
              <w:rPr>
                <w:rFonts w:ascii="Arial" w:cs="Arial" w:eastAsia="Arial" w:hAnsi="Arial"/>
                <w:sz w:val="10"/>
                <w:szCs w:val="10"/>
                <w:b w:val="1"/>
                <w:bCs w:val="1"/>
                <w:color w:val="auto"/>
                <w:w w:val="86"/>
              </w:rPr>
              <w:t>(Gain)/Loss included in</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14"/>
        </w:trPr>
        <w:tc>
          <w:tcPr>
            <w:tcW w:w="504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140" w:type="dxa"/>
            <w:vAlign w:val="bottom"/>
            <w:tcBorders>
              <w:bottom w:val="single" w:sz="8" w:color="CFF0FC"/>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0" w:type="dxa"/>
            <w:vAlign w:val="bottom"/>
            <w:tcBorders>
              <w:bottom w:val="single" w:sz="8" w:color="auto"/>
            </w:tcBorders>
          </w:tcPr>
          <w:p>
            <w:pPr>
              <w:jc w:val="center"/>
              <w:ind w:right="44"/>
              <w:spacing w:after="0" w:line="114" w:lineRule="exact"/>
              <w:rPr>
                <w:sz w:val="20"/>
                <w:szCs w:val="20"/>
                <w:color w:val="auto"/>
              </w:rPr>
            </w:pPr>
            <w:r>
              <w:rPr>
                <w:rFonts w:ascii="Arial" w:cs="Arial" w:eastAsia="Arial" w:hAnsi="Arial"/>
                <w:sz w:val="10"/>
                <w:szCs w:val="10"/>
                <w:b w:val="1"/>
                <w:bCs w:val="1"/>
                <w:color w:val="auto"/>
                <w:w w:val="86"/>
              </w:rPr>
              <w:t>December 31, 2017</w:t>
            </w:r>
          </w:p>
        </w:tc>
        <w:tc>
          <w:tcPr>
            <w:tcW w:w="240" w:type="dxa"/>
            <w:vAlign w:val="bottom"/>
            <w:tcBorders>
              <w:bottom w:val="single" w:sz="8" w:color="CFF0FC"/>
            </w:tcBorders>
          </w:tcPr>
          <w:p>
            <w:pPr>
              <w:spacing w:after="0"/>
              <w:rPr>
                <w:sz w:val="9"/>
                <w:szCs w:val="9"/>
                <w:color w:val="auto"/>
              </w:rPr>
            </w:pPr>
          </w:p>
        </w:tc>
        <w:tc>
          <w:tcPr>
            <w:tcW w:w="1000" w:type="dxa"/>
            <w:vAlign w:val="bottom"/>
            <w:tcBorders>
              <w:bottom w:val="single" w:sz="8" w:color="auto"/>
            </w:tcBorders>
            <w:gridSpan w:val="2"/>
          </w:tcPr>
          <w:p>
            <w:pPr>
              <w:ind w:left="40"/>
              <w:spacing w:after="0" w:line="114" w:lineRule="exact"/>
              <w:rPr>
                <w:sz w:val="20"/>
                <w:szCs w:val="20"/>
                <w:color w:val="auto"/>
              </w:rPr>
            </w:pPr>
            <w:r>
              <w:rPr>
                <w:rFonts w:ascii="Arial" w:cs="Arial" w:eastAsia="Arial" w:hAnsi="Arial"/>
                <w:sz w:val="10"/>
                <w:szCs w:val="10"/>
                <w:b w:val="1"/>
                <w:bCs w:val="1"/>
                <w:color w:val="auto"/>
                <w:w w:val="90"/>
              </w:rPr>
              <w:t>Transfers into Level 3</w:t>
            </w:r>
          </w:p>
        </w:tc>
        <w:tc>
          <w:tcPr>
            <w:tcW w:w="240" w:type="dxa"/>
            <w:vAlign w:val="bottom"/>
            <w:tcBorders>
              <w:bottom w:val="single" w:sz="8" w:color="CFF0FC"/>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860" w:type="dxa"/>
            <w:vAlign w:val="bottom"/>
            <w:tcBorders>
              <w:bottom w:val="single" w:sz="8" w:color="auto"/>
            </w:tcBorders>
          </w:tcPr>
          <w:p>
            <w:pPr>
              <w:jc w:val="center"/>
              <w:ind w:right="166"/>
              <w:spacing w:after="0" w:line="114" w:lineRule="exact"/>
              <w:rPr>
                <w:sz w:val="20"/>
                <w:szCs w:val="20"/>
                <w:color w:val="auto"/>
              </w:rPr>
            </w:pPr>
            <w:r>
              <w:rPr>
                <w:rFonts w:ascii="Arial" w:cs="Arial" w:eastAsia="Arial" w:hAnsi="Arial"/>
                <w:sz w:val="10"/>
                <w:szCs w:val="10"/>
                <w:b w:val="1"/>
                <w:bCs w:val="1"/>
                <w:color w:val="auto"/>
                <w:w w:val="86"/>
              </w:rPr>
              <w:t>earnings</w:t>
            </w:r>
          </w:p>
        </w:tc>
        <w:tc>
          <w:tcPr>
            <w:tcW w:w="140" w:type="dxa"/>
            <w:vAlign w:val="bottom"/>
            <w:tcBorders>
              <w:bottom w:val="single" w:sz="8" w:color="CFF0FC"/>
            </w:tcBorders>
          </w:tcPr>
          <w:p>
            <w:pPr>
              <w:spacing w:after="0"/>
              <w:rPr>
                <w:sz w:val="9"/>
                <w:szCs w:val="9"/>
                <w:color w:val="auto"/>
              </w:rPr>
            </w:pPr>
          </w:p>
        </w:tc>
        <w:tc>
          <w:tcPr>
            <w:tcW w:w="100" w:type="dxa"/>
            <w:vAlign w:val="bottom"/>
            <w:tcBorders>
              <w:bottom w:val="single" w:sz="8" w:color="CFF0FC"/>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ind w:left="80"/>
              <w:spacing w:after="0" w:line="114" w:lineRule="exact"/>
              <w:rPr>
                <w:sz w:val="20"/>
                <w:szCs w:val="20"/>
                <w:color w:val="auto"/>
              </w:rPr>
            </w:pPr>
            <w:r>
              <w:rPr>
                <w:rFonts w:ascii="Arial" w:cs="Arial" w:eastAsia="Arial" w:hAnsi="Arial"/>
                <w:sz w:val="10"/>
                <w:szCs w:val="10"/>
                <w:b w:val="1"/>
                <w:bCs w:val="1"/>
                <w:color w:val="auto"/>
              </w:rPr>
              <w:t>Settlements</w:t>
            </w:r>
          </w:p>
        </w:tc>
        <w:tc>
          <w:tcPr>
            <w:tcW w:w="240" w:type="dxa"/>
            <w:vAlign w:val="bottom"/>
            <w:tcBorders>
              <w:bottom w:val="single" w:sz="8" w:color="CFF0FC"/>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0" w:type="dxa"/>
            <w:vAlign w:val="bottom"/>
            <w:tcBorders>
              <w:bottom w:val="single" w:sz="8" w:color="auto"/>
            </w:tcBorders>
          </w:tcPr>
          <w:p>
            <w:pPr>
              <w:jc w:val="right"/>
              <w:ind w:right="126"/>
              <w:spacing w:after="0" w:line="114" w:lineRule="exact"/>
              <w:rPr>
                <w:sz w:val="20"/>
                <w:szCs w:val="20"/>
                <w:color w:val="auto"/>
              </w:rPr>
            </w:pPr>
            <w:r>
              <w:rPr>
                <w:rFonts w:ascii="Arial" w:cs="Arial" w:eastAsia="Arial" w:hAnsi="Arial"/>
                <w:sz w:val="10"/>
                <w:szCs w:val="10"/>
                <w:b w:val="1"/>
                <w:bCs w:val="1"/>
                <w:color w:val="auto"/>
                <w:w w:val="88"/>
              </w:rPr>
              <w:t>December 31, 2018</w:t>
            </w:r>
          </w:p>
        </w:tc>
        <w:tc>
          <w:tcPr>
            <w:tcW w:w="120" w:type="dxa"/>
            <w:vAlign w:val="bottom"/>
            <w:tcBorders>
              <w:bottom w:val="single" w:sz="8" w:color="CFF0FC"/>
            </w:tcBorders>
          </w:tcPr>
          <w:p>
            <w:pPr>
              <w:spacing w:after="0"/>
              <w:rPr>
                <w:sz w:val="9"/>
                <w:szCs w:val="9"/>
                <w:color w:val="auto"/>
              </w:rPr>
            </w:pPr>
          </w:p>
        </w:tc>
        <w:tc>
          <w:tcPr>
            <w:tcW w:w="20" w:type="dxa"/>
            <w:vAlign w:val="bottom"/>
          </w:tcPr>
          <w:p>
            <w:pPr>
              <w:spacing w:after="0"/>
              <w:rPr>
                <w:sz w:val="9"/>
                <w:szCs w:val="9"/>
                <w:color w:val="auto"/>
              </w:rPr>
            </w:pPr>
          </w:p>
        </w:tc>
      </w:tr>
      <w:tr>
        <w:trPr>
          <w:trHeight w:val="142"/>
        </w:trPr>
        <w:tc>
          <w:tcPr>
            <w:tcW w:w="5040" w:type="dxa"/>
            <w:vAlign w:val="bottom"/>
            <w:shd w:val="clear" w:color="auto" w:fill="CFF0FC"/>
          </w:tcPr>
          <w:p>
            <w:pPr>
              <w:spacing w:after="0"/>
              <w:rPr>
                <w:sz w:val="20"/>
                <w:szCs w:val="20"/>
                <w:color w:val="auto"/>
              </w:rPr>
            </w:pPr>
            <w:r>
              <w:rPr>
                <w:rFonts w:ascii="Arial" w:cs="Arial" w:eastAsia="Arial" w:hAnsi="Arial"/>
                <w:sz w:val="12"/>
                <w:szCs w:val="12"/>
                <w:color w:val="auto"/>
              </w:rPr>
              <w:t>Contingent consideration</w:t>
            </w:r>
          </w:p>
        </w:tc>
        <w:tc>
          <w:tcPr>
            <w:tcW w:w="24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105,762</w:t>
            </w:r>
          </w:p>
        </w:tc>
        <w:tc>
          <w:tcPr>
            <w:tcW w:w="240" w:type="dxa"/>
            <w:vAlign w:val="bottom"/>
            <w:shd w:val="clear" w:color="auto" w:fill="CFF0FC"/>
          </w:tcPr>
          <w:p>
            <w:pPr>
              <w:spacing w:after="0"/>
              <w:rPr>
                <w:sz w:val="12"/>
                <w:szCs w:val="12"/>
                <w:color w:val="auto"/>
              </w:rPr>
            </w:pPr>
          </w:p>
        </w:tc>
        <w:tc>
          <w:tcPr>
            <w:tcW w:w="460" w:type="dxa"/>
            <w:vAlign w:val="bottom"/>
            <w:shd w:val="clear" w:color="auto" w:fill="CFF0FC"/>
          </w:tcPr>
          <w:p>
            <w:pPr>
              <w:jc w:val="right"/>
              <w:ind w:right="35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FF0FC"/>
          </w:tcPr>
          <w:p>
            <w:pPr>
              <w:ind w:left="420"/>
              <w:spacing w:after="0"/>
              <w:rPr>
                <w:sz w:val="20"/>
                <w:szCs w:val="20"/>
                <w:color w:val="auto"/>
              </w:rPr>
            </w:pPr>
            <w:r>
              <w:rPr>
                <w:rFonts w:ascii="Arial" w:cs="Arial" w:eastAsia="Arial" w:hAnsi="Arial"/>
                <w:sz w:val="12"/>
                <w:szCs w:val="12"/>
                <w:color w:val="auto"/>
                <w:w w:val="82"/>
              </w:rPr>
              <w:t>—</w:t>
            </w:r>
          </w:p>
        </w:tc>
        <w:tc>
          <w:tcPr>
            <w:tcW w:w="460" w:type="dxa"/>
            <w:vAlign w:val="bottom"/>
            <w:gridSpan w:val="2"/>
            <w:shd w:val="clear" w:color="auto" w:fill="CFF0FC"/>
          </w:tcPr>
          <w:p>
            <w:pPr>
              <w:jc w:val="right"/>
              <w:ind w:right="112"/>
              <w:spacing w:after="0"/>
              <w:rPr>
                <w:sz w:val="20"/>
                <w:szCs w:val="20"/>
                <w:color w:val="auto"/>
              </w:rPr>
            </w:pPr>
            <w:r>
              <w:rPr>
                <w:rFonts w:ascii="Arial" w:cs="Arial" w:eastAsia="Arial" w:hAnsi="Arial"/>
                <w:sz w:val="12"/>
                <w:szCs w:val="12"/>
                <w:color w:val="auto"/>
              </w:rPr>
              <w:t>$</w:t>
            </w:r>
          </w:p>
        </w:tc>
        <w:tc>
          <w:tcPr>
            <w:tcW w:w="100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(3,721)</w:t>
            </w: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w:t>
            </w:r>
          </w:p>
        </w:tc>
        <w:tc>
          <w:tcPr>
            <w:tcW w:w="102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(18,640)</w:t>
            </w:r>
          </w:p>
        </w:tc>
        <w:tc>
          <w:tcPr>
            <w:tcW w:w="120" w:type="dxa"/>
            <w:vAlign w:val="bottom"/>
            <w:shd w:val="clear" w:color="auto" w:fill="CFF0FC"/>
          </w:tcPr>
          <w:p>
            <w:pPr>
              <w:jc w:val="right"/>
              <w:ind w:right="10"/>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83,401</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432"/>
        </w:trPr>
        <w:tc>
          <w:tcPr>
            <w:tcW w:w="5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jc w:val="right"/>
              <w:ind w:right="424"/>
              <w:spacing w:after="0"/>
              <w:rPr>
                <w:sz w:val="20"/>
                <w:szCs w:val="20"/>
                <w:color w:val="auto"/>
              </w:rPr>
            </w:pPr>
            <w:r>
              <w:rPr>
                <w:rFonts w:ascii="Arial" w:cs="Arial" w:eastAsia="Arial" w:hAnsi="Arial"/>
                <w:sz w:val="12"/>
                <w:szCs w:val="12"/>
                <w:color w:val="auto"/>
              </w:rPr>
              <w:t>84</w:t>
            </w: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50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46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78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84" w:name="page85"/>
    <w:bookmarkEnd w:id="8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7. Property, Plant and Equipment</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The carrying value of property, plant and equipment is as follows: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62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80" w:type="dxa"/>
            <w:vAlign w:val="bottom"/>
            <w:tcBorders>
              <w:bottom w:val="single" w:sz="8" w:color="CFF0FC"/>
            </w:tcBorders>
          </w:tcPr>
          <w:p>
            <w:pPr>
              <w:spacing w:after="0"/>
              <w:rPr>
                <w:sz w:val="10"/>
                <w:szCs w:val="10"/>
                <w:color w:val="auto"/>
              </w:rPr>
            </w:pPr>
          </w:p>
        </w:tc>
        <w:tc>
          <w:tcPr>
            <w:tcW w:w="1780" w:type="dxa"/>
            <w:vAlign w:val="bottom"/>
            <w:tcBorders>
              <w:bottom w:val="single" w:sz="8" w:color="auto"/>
            </w:tcBorders>
          </w:tcPr>
          <w:p>
            <w:pPr>
              <w:jc w:val="right"/>
              <w:ind w:right="481"/>
              <w:spacing w:after="0"/>
              <w:rPr>
                <w:sz w:val="20"/>
                <w:szCs w:val="20"/>
                <w:color w:val="auto"/>
              </w:rPr>
            </w:pPr>
            <w:r>
              <w:rPr>
                <w:rFonts w:ascii="Arial" w:cs="Arial" w:eastAsia="Arial" w:hAnsi="Arial"/>
                <w:sz w:val="10"/>
                <w:szCs w:val="10"/>
                <w:b w:val="1"/>
                <w:bCs w:val="1"/>
                <w:color w:val="auto"/>
              </w:rPr>
              <w:t>Depreciable Lives</w:t>
            </w:r>
          </w:p>
        </w:tc>
        <w:tc>
          <w:tcPr>
            <w:tcW w:w="180" w:type="dxa"/>
            <w:vAlign w:val="bottom"/>
            <w:tcBorders>
              <w:bottom w:val="single" w:sz="8" w:color="CFF0FC"/>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jc w:val="right"/>
              <w:ind w:right="381"/>
              <w:spacing w:after="0"/>
              <w:rPr>
                <w:sz w:val="20"/>
                <w:szCs w:val="20"/>
                <w:color w:val="auto"/>
              </w:rPr>
            </w:pPr>
            <w:r>
              <w:rPr>
                <w:rFonts w:ascii="Arial" w:cs="Arial" w:eastAsia="Arial" w:hAnsi="Arial"/>
                <w:sz w:val="10"/>
                <w:szCs w:val="10"/>
                <w:b w:val="1"/>
                <w:bCs w:val="1"/>
                <w:color w:val="auto"/>
              </w:rPr>
              <w:t>December 31, 2018</w:t>
            </w:r>
          </w:p>
        </w:tc>
        <w:tc>
          <w:tcPr>
            <w:tcW w:w="300" w:type="dxa"/>
            <w:vAlign w:val="bottom"/>
            <w:tcBorders>
              <w:bottom w:val="single" w:sz="8" w:color="CFF0FC"/>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jc w:val="right"/>
              <w:ind w:right="381"/>
              <w:spacing w:after="0"/>
              <w:rPr>
                <w:sz w:val="20"/>
                <w:szCs w:val="20"/>
                <w:color w:val="auto"/>
              </w:rPr>
            </w:pPr>
            <w:r>
              <w:rPr>
                <w:rFonts w:ascii="Arial" w:cs="Arial" w:eastAsia="Arial" w:hAnsi="Arial"/>
                <w:sz w:val="10"/>
                <w:szCs w:val="10"/>
                <w:b w:val="1"/>
                <w:bCs w:val="1"/>
                <w:color w:val="auto"/>
              </w:rPr>
              <w:t>December 31, 2017</w:t>
            </w:r>
          </w:p>
        </w:tc>
        <w:tc>
          <w:tcPr>
            <w:tcW w:w="120" w:type="dxa"/>
            <w:vAlign w:val="bottom"/>
            <w:tcBorders>
              <w:bottom w:val="single" w:sz="8" w:color="CFF0FC"/>
            </w:tcBorders>
          </w:tcPr>
          <w:p>
            <w:pPr>
              <w:spacing w:after="0"/>
              <w:rPr>
                <w:sz w:val="10"/>
                <w:szCs w:val="10"/>
                <w:color w:val="auto"/>
              </w:rPr>
            </w:pPr>
          </w:p>
        </w:tc>
      </w:tr>
      <w:tr>
        <w:trPr>
          <w:trHeight w:val="142"/>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Land</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Indefinite</w:t>
            </w:r>
          </w:p>
        </w:tc>
        <w:tc>
          <w:tcPr>
            <w:tcW w:w="440" w:type="dxa"/>
            <w:vAlign w:val="bottom"/>
            <w:gridSpan w:val="2"/>
            <w:shd w:val="clear" w:color="auto" w:fill="CFF0FC"/>
          </w:tcPr>
          <w:p>
            <w:pPr>
              <w:jc w:val="right"/>
              <w:ind w:right="150"/>
              <w:spacing w:after="0"/>
              <w:rPr>
                <w:sz w:val="20"/>
                <w:szCs w:val="20"/>
                <w:color w:val="auto"/>
              </w:rPr>
            </w:pPr>
            <w:r>
              <w:rPr>
                <w:rFonts w:ascii="Arial" w:cs="Arial" w:eastAsia="Arial" w:hAnsi="Arial"/>
                <w:sz w:val="12"/>
                <w:szCs w:val="12"/>
                <w:color w:val="auto"/>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29,304</w:t>
            </w:r>
          </w:p>
        </w:tc>
        <w:tc>
          <w:tcPr>
            <w:tcW w:w="300" w:type="dxa"/>
            <w:vAlign w:val="bottom"/>
            <w:shd w:val="clear" w:color="auto" w:fill="CFF0FC"/>
          </w:tcPr>
          <w:p>
            <w:pPr>
              <w:spacing w:after="0"/>
              <w:rPr>
                <w:sz w:val="12"/>
                <w:szCs w:val="12"/>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27,110</w:t>
            </w:r>
          </w:p>
        </w:tc>
        <w:tc>
          <w:tcPr>
            <w:tcW w:w="120" w:type="dxa"/>
            <w:vAlign w:val="bottom"/>
            <w:shd w:val="clear" w:color="auto" w:fill="CFF0FC"/>
          </w:tcPr>
          <w:p>
            <w:pPr>
              <w:spacing w:after="0"/>
              <w:rPr>
                <w:sz w:val="12"/>
                <w:szCs w:val="12"/>
                <w:color w:val="auto"/>
              </w:rPr>
            </w:pPr>
          </w:p>
        </w:tc>
      </w:tr>
      <w:tr>
        <w:trPr>
          <w:trHeight w:val="153"/>
        </w:trPr>
        <w:tc>
          <w:tcPr>
            <w:tcW w:w="5800" w:type="dxa"/>
            <w:vAlign w:val="bottom"/>
            <w:gridSpan w:val="2"/>
          </w:tcPr>
          <w:p>
            <w:pPr>
              <w:spacing w:after="0"/>
              <w:rPr>
                <w:sz w:val="20"/>
                <w:szCs w:val="20"/>
                <w:color w:val="auto"/>
              </w:rPr>
            </w:pPr>
            <w:r>
              <w:rPr>
                <w:rFonts w:ascii="Arial" w:cs="Arial" w:eastAsia="Arial" w:hAnsi="Arial"/>
                <w:sz w:val="12"/>
                <w:szCs w:val="12"/>
                <w:color w:val="auto"/>
              </w:rPr>
              <w:t>Building and improvements</w:t>
            </w:r>
          </w:p>
        </w:tc>
        <w:tc>
          <w:tcPr>
            <w:tcW w:w="1780" w:type="dxa"/>
            <w:vAlign w:val="bottom"/>
          </w:tcPr>
          <w:p>
            <w:pPr>
              <w:jc w:val="right"/>
              <w:spacing w:after="0"/>
              <w:rPr>
                <w:sz w:val="20"/>
                <w:szCs w:val="20"/>
                <w:color w:val="auto"/>
              </w:rPr>
            </w:pPr>
            <w:r>
              <w:rPr>
                <w:rFonts w:ascii="Arial" w:cs="Arial" w:eastAsia="Arial" w:hAnsi="Arial"/>
                <w:sz w:val="12"/>
                <w:szCs w:val="12"/>
                <w:color w:val="auto"/>
              </w:rPr>
              <w:t>3 - 40 years</w:t>
            </w: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340,238</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333,121</w:t>
            </w:r>
          </w:p>
        </w:tc>
        <w:tc>
          <w:tcPr>
            <w:tcW w:w="120" w:type="dxa"/>
            <w:vAlign w:val="bottom"/>
          </w:tcPr>
          <w:p>
            <w:pPr>
              <w:spacing w:after="0"/>
              <w:rPr>
                <w:sz w:val="13"/>
                <w:szCs w:val="13"/>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Real property interests</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See Note 3</w:t>
            </w: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34,878</w:t>
            </w:r>
          </w:p>
        </w:tc>
        <w:tc>
          <w:tcPr>
            <w:tcW w:w="3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34,580</w:t>
            </w:r>
          </w:p>
        </w:tc>
        <w:tc>
          <w:tcPr>
            <w:tcW w:w="120" w:type="dxa"/>
            <w:vAlign w:val="bottom"/>
            <w:shd w:val="clear" w:color="auto" w:fill="CFF0FC"/>
          </w:tcPr>
          <w:p>
            <w:pPr>
              <w:spacing w:after="0"/>
              <w:rPr>
                <w:sz w:val="13"/>
                <w:szCs w:val="13"/>
                <w:color w:val="auto"/>
              </w:rPr>
            </w:pPr>
          </w:p>
        </w:tc>
      </w:tr>
      <w:tr>
        <w:trPr>
          <w:trHeight w:val="153"/>
        </w:trPr>
        <w:tc>
          <w:tcPr>
            <w:tcW w:w="5800" w:type="dxa"/>
            <w:vAlign w:val="bottom"/>
            <w:gridSpan w:val="2"/>
          </w:tcPr>
          <w:p>
            <w:pPr>
              <w:spacing w:after="0"/>
              <w:rPr>
                <w:sz w:val="20"/>
                <w:szCs w:val="20"/>
                <w:color w:val="auto"/>
              </w:rPr>
            </w:pPr>
            <w:r>
              <w:rPr>
                <w:rFonts w:ascii="Arial" w:cs="Arial" w:eastAsia="Arial" w:hAnsi="Arial"/>
                <w:sz w:val="12"/>
                <w:szCs w:val="12"/>
                <w:color w:val="auto"/>
              </w:rPr>
              <w:t>Poles</w:t>
            </w:r>
          </w:p>
        </w:tc>
        <w:tc>
          <w:tcPr>
            <w:tcW w:w="1780" w:type="dxa"/>
            <w:vAlign w:val="bottom"/>
          </w:tcPr>
          <w:p>
            <w:pPr>
              <w:jc w:val="right"/>
              <w:spacing w:after="0"/>
              <w:rPr>
                <w:sz w:val="20"/>
                <w:szCs w:val="20"/>
                <w:color w:val="auto"/>
              </w:rPr>
            </w:pPr>
            <w:r>
              <w:rPr>
                <w:rFonts w:ascii="Arial" w:cs="Arial" w:eastAsia="Arial" w:hAnsi="Arial"/>
                <w:sz w:val="12"/>
                <w:szCs w:val="12"/>
                <w:color w:val="auto"/>
              </w:rPr>
              <w:t>30 years</w:t>
            </w: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248,989</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243,710</w:t>
            </w:r>
          </w:p>
        </w:tc>
        <w:tc>
          <w:tcPr>
            <w:tcW w:w="120" w:type="dxa"/>
            <w:vAlign w:val="bottom"/>
          </w:tcPr>
          <w:p>
            <w:pPr>
              <w:spacing w:after="0"/>
              <w:rPr>
                <w:sz w:val="13"/>
                <w:szCs w:val="13"/>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Fiber</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 years</w:t>
            </w: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3,005,304</w:t>
            </w:r>
          </w:p>
        </w:tc>
        <w:tc>
          <w:tcPr>
            <w:tcW w:w="3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2,671,216</w:t>
            </w:r>
          </w:p>
        </w:tc>
        <w:tc>
          <w:tcPr>
            <w:tcW w:w="120" w:type="dxa"/>
            <w:vAlign w:val="bottom"/>
            <w:shd w:val="clear" w:color="auto" w:fill="CFF0FC"/>
          </w:tcPr>
          <w:p>
            <w:pPr>
              <w:spacing w:after="0"/>
              <w:rPr>
                <w:sz w:val="13"/>
                <w:szCs w:val="13"/>
                <w:color w:val="auto"/>
              </w:rPr>
            </w:pPr>
          </w:p>
        </w:tc>
      </w:tr>
      <w:tr>
        <w:trPr>
          <w:trHeight w:val="153"/>
        </w:trPr>
        <w:tc>
          <w:tcPr>
            <w:tcW w:w="5800" w:type="dxa"/>
            <w:vAlign w:val="bottom"/>
            <w:gridSpan w:val="2"/>
          </w:tcPr>
          <w:p>
            <w:pPr>
              <w:spacing w:after="0"/>
              <w:rPr>
                <w:sz w:val="20"/>
                <w:szCs w:val="20"/>
                <w:color w:val="auto"/>
              </w:rPr>
            </w:pPr>
            <w:r>
              <w:rPr>
                <w:rFonts w:ascii="Arial" w:cs="Arial" w:eastAsia="Arial" w:hAnsi="Arial"/>
                <w:sz w:val="12"/>
                <w:szCs w:val="12"/>
                <w:color w:val="auto"/>
              </w:rPr>
              <w:t>Equipment</w:t>
            </w:r>
          </w:p>
        </w:tc>
        <w:tc>
          <w:tcPr>
            <w:tcW w:w="1780" w:type="dxa"/>
            <w:vAlign w:val="bottom"/>
          </w:tcPr>
          <w:p>
            <w:pPr>
              <w:jc w:val="right"/>
              <w:spacing w:after="0"/>
              <w:rPr>
                <w:sz w:val="20"/>
                <w:szCs w:val="20"/>
                <w:color w:val="auto"/>
              </w:rPr>
            </w:pPr>
            <w:r>
              <w:rPr>
                <w:rFonts w:ascii="Arial" w:cs="Arial" w:eastAsia="Arial" w:hAnsi="Arial"/>
                <w:sz w:val="12"/>
                <w:szCs w:val="12"/>
                <w:color w:val="auto"/>
              </w:rPr>
              <w:t>5 - 7 years</w:t>
            </w: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256,838</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201,490</w:t>
            </w:r>
          </w:p>
        </w:tc>
        <w:tc>
          <w:tcPr>
            <w:tcW w:w="120" w:type="dxa"/>
            <w:vAlign w:val="bottom"/>
          </w:tcPr>
          <w:p>
            <w:pPr>
              <w:spacing w:after="0"/>
              <w:rPr>
                <w:sz w:val="13"/>
                <w:szCs w:val="13"/>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Copper</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 years</w:t>
            </w: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3,721,649</w:t>
            </w:r>
          </w:p>
        </w:tc>
        <w:tc>
          <w:tcPr>
            <w:tcW w:w="3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3,656,384</w:t>
            </w:r>
          </w:p>
        </w:tc>
        <w:tc>
          <w:tcPr>
            <w:tcW w:w="120" w:type="dxa"/>
            <w:vAlign w:val="bottom"/>
            <w:shd w:val="clear" w:color="auto" w:fill="CFF0FC"/>
          </w:tcPr>
          <w:p>
            <w:pPr>
              <w:spacing w:after="0"/>
              <w:rPr>
                <w:sz w:val="13"/>
                <w:szCs w:val="13"/>
                <w:color w:val="auto"/>
              </w:rPr>
            </w:pPr>
          </w:p>
        </w:tc>
      </w:tr>
      <w:tr>
        <w:trPr>
          <w:trHeight w:val="153"/>
        </w:trPr>
        <w:tc>
          <w:tcPr>
            <w:tcW w:w="5800" w:type="dxa"/>
            <w:vAlign w:val="bottom"/>
            <w:gridSpan w:val="2"/>
          </w:tcPr>
          <w:p>
            <w:pPr>
              <w:spacing w:after="0"/>
              <w:rPr>
                <w:sz w:val="20"/>
                <w:szCs w:val="20"/>
                <w:color w:val="auto"/>
              </w:rPr>
            </w:pPr>
            <w:r>
              <w:rPr>
                <w:rFonts w:ascii="Arial" w:cs="Arial" w:eastAsia="Arial" w:hAnsi="Arial"/>
                <w:sz w:val="12"/>
                <w:szCs w:val="12"/>
                <w:color w:val="auto"/>
              </w:rPr>
              <w:t>Conduit</w:t>
            </w:r>
          </w:p>
        </w:tc>
        <w:tc>
          <w:tcPr>
            <w:tcW w:w="1780" w:type="dxa"/>
            <w:vAlign w:val="bottom"/>
          </w:tcPr>
          <w:p>
            <w:pPr>
              <w:jc w:val="right"/>
              <w:spacing w:after="0"/>
              <w:rPr>
                <w:sz w:val="20"/>
                <w:szCs w:val="20"/>
                <w:color w:val="auto"/>
              </w:rPr>
            </w:pPr>
            <w:r>
              <w:rPr>
                <w:rFonts w:ascii="Arial" w:cs="Arial" w:eastAsia="Arial" w:hAnsi="Arial"/>
                <w:sz w:val="12"/>
                <w:szCs w:val="12"/>
                <w:color w:val="auto"/>
              </w:rPr>
              <w:t>30 years</w:t>
            </w: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89,692</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91,210</w:t>
            </w:r>
          </w:p>
        </w:tc>
        <w:tc>
          <w:tcPr>
            <w:tcW w:w="120" w:type="dxa"/>
            <w:vAlign w:val="bottom"/>
          </w:tcPr>
          <w:p>
            <w:pPr>
              <w:spacing w:after="0"/>
              <w:rPr>
                <w:sz w:val="13"/>
                <w:szCs w:val="13"/>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Tower assets</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 years</w:t>
            </w: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120,073</w:t>
            </w:r>
          </w:p>
        </w:tc>
        <w:tc>
          <w:tcPr>
            <w:tcW w:w="3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59,610</w:t>
            </w:r>
          </w:p>
        </w:tc>
        <w:tc>
          <w:tcPr>
            <w:tcW w:w="120" w:type="dxa"/>
            <w:vAlign w:val="bottom"/>
            <w:shd w:val="clear" w:color="auto" w:fill="CFF0FC"/>
          </w:tcPr>
          <w:p>
            <w:pPr>
              <w:spacing w:after="0"/>
              <w:rPr>
                <w:sz w:val="13"/>
                <w:szCs w:val="13"/>
                <w:color w:val="auto"/>
              </w:rPr>
            </w:pPr>
          </w:p>
        </w:tc>
      </w:tr>
      <w:tr>
        <w:trPr>
          <w:trHeight w:val="153"/>
        </w:trPr>
        <w:tc>
          <w:tcPr>
            <w:tcW w:w="5800" w:type="dxa"/>
            <w:vAlign w:val="bottom"/>
            <w:gridSpan w:val="2"/>
          </w:tcPr>
          <w:p>
            <w:pPr>
              <w:spacing w:after="0"/>
              <w:rPr>
                <w:sz w:val="20"/>
                <w:szCs w:val="20"/>
                <w:color w:val="auto"/>
              </w:rPr>
            </w:pPr>
            <w:r>
              <w:rPr>
                <w:rFonts w:ascii="Arial" w:cs="Arial" w:eastAsia="Arial" w:hAnsi="Arial"/>
                <w:sz w:val="12"/>
                <w:szCs w:val="12"/>
                <w:color w:val="auto"/>
              </w:rPr>
              <w:t>Capital lease assets</w:t>
            </w:r>
          </w:p>
        </w:tc>
        <w:tc>
          <w:tcPr>
            <w:tcW w:w="1780" w:type="dxa"/>
            <w:vAlign w:val="bottom"/>
          </w:tcPr>
          <w:p>
            <w:pPr>
              <w:jc w:val="right"/>
              <w:spacing w:after="0"/>
              <w:rPr>
                <w:sz w:val="20"/>
                <w:szCs w:val="20"/>
                <w:color w:val="auto"/>
              </w:rPr>
            </w:pPr>
            <w:r>
              <w:rPr>
                <w:rFonts w:ascii="Arial" w:cs="Arial" w:eastAsia="Arial" w:hAnsi="Arial"/>
                <w:sz w:val="12"/>
                <w:szCs w:val="12"/>
                <w:color w:val="auto"/>
              </w:rPr>
              <w:t>See Note 3</w:t>
            </w: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123,017</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93,465</w:t>
            </w:r>
          </w:p>
        </w:tc>
        <w:tc>
          <w:tcPr>
            <w:tcW w:w="120" w:type="dxa"/>
            <w:vAlign w:val="bottom"/>
          </w:tcPr>
          <w:p>
            <w:pPr>
              <w:spacing w:after="0"/>
              <w:rPr>
                <w:sz w:val="13"/>
                <w:szCs w:val="13"/>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Construction in progress</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See Note 3</w:t>
            </w: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137,585</w:t>
            </w:r>
          </w:p>
        </w:tc>
        <w:tc>
          <w:tcPr>
            <w:tcW w:w="3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112,489</w:t>
            </w:r>
          </w:p>
        </w:tc>
        <w:tc>
          <w:tcPr>
            <w:tcW w:w="120" w:type="dxa"/>
            <w:vAlign w:val="bottom"/>
            <w:shd w:val="clear" w:color="auto" w:fill="CFF0FC"/>
          </w:tcPr>
          <w:p>
            <w:pPr>
              <w:spacing w:after="0"/>
              <w:rPr>
                <w:sz w:val="13"/>
                <w:szCs w:val="13"/>
                <w:color w:val="auto"/>
              </w:rPr>
            </w:pPr>
          </w:p>
        </w:tc>
      </w:tr>
      <w:tr>
        <w:trPr>
          <w:trHeight w:val="153"/>
        </w:trPr>
        <w:tc>
          <w:tcPr>
            <w:tcW w:w="5800" w:type="dxa"/>
            <w:vAlign w:val="bottom"/>
            <w:gridSpan w:val="2"/>
          </w:tcPr>
          <w:p>
            <w:pPr>
              <w:spacing w:after="0"/>
              <w:rPr>
                <w:sz w:val="20"/>
                <w:szCs w:val="20"/>
                <w:color w:val="auto"/>
              </w:rPr>
            </w:pPr>
            <w:r>
              <w:rPr>
                <w:rFonts w:ascii="Arial" w:cs="Arial" w:eastAsia="Arial" w:hAnsi="Arial"/>
                <w:sz w:val="12"/>
                <w:szCs w:val="12"/>
                <w:color w:val="auto"/>
              </w:rPr>
              <w:t>Other assets</w:t>
            </w:r>
          </w:p>
        </w:tc>
        <w:tc>
          <w:tcPr>
            <w:tcW w:w="1780" w:type="dxa"/>
            <w:vAlign w:val="bottom"/>
          </w:tcPr>
          <w:p>
            <w:pPr>
              <w:jc w:val="right"/>
              <w:spacing w:after="0"/>
              <w:rPr>
                <w:sz w:val="20"/>
                <w:szCs w:val="20"/>
                <w:color w:val="auto"/>
              </w:rPr>
            </w:pPr>
            <w:r>
              <w:rPr>
                <w:rFonts w:ascii="Arial" w:cs="Arial" w:eastAsia="Arial" w:hAnsi="Arial"/>
                <w:sz w:val="12"/>
                <w:szCs w:val="12"/>
                <w:color w:val="auto"/>
              </w:rPr>
              <w:t>15 - 20 years</w:t>
            </w: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11,524</w:t>
            </w: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10,232</w:t>
            </w:r>
          </w:p>
        </w:tc>
        <w:tc>
          <w:tcPr>
            <w:tcW w:w="120" w:type="dxa"/>
            <w:vAlign w:val="bottom"/>
          </w:tcPr>
          <w:p>
            <w:pPr>
              <w:spacing w:after="0"/>
              <w:rPr>
                <w:sz w:val="13"/>
                <w:szCs w:val="13"/>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Corporate assets</w:t>
            </w:r>
          </w:p>
        </w:tc>
        <w:tc>
          <w:tcPr>
            <w:tcW w:w="17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3 - 7 years</w:t>
            </w:r>
          </w:p>
        </w:tc>
        <w:tc>
          <w:tcPr>
            <w:tcW w:w="180" w:type="dxa"/>
            <w:vAlign w:val="bottom"/>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4,214</w:t>
            </w:r>
          </w:p>
        </w:tc>
        <w:tc>
          <w:tcPr>
            <w:tcW w:w="300" w:type="dxa"/>
            <w:vAlign w:val="bottom"/>
            <w:shd w:val="clear" w:color="auto" w:fill="CFF0FC"/>
          </w:tcPr>
          <w:p>
            <w:pPr>
              <w:spacing w:after="0"/>
              <w:rPr>
                <w:sz w:val="13"/>
                <w:szCs w:val="13"/>
                <w:color w:val="auto"/>
              </w:rPr>
            </w:pPr>
          </w:p>
        </w:tc>
        <w:tc>
          <w:tcPr>
            <w:tcW w:w="240" w:type="dxa"/>
            <w:vAlign w:val="bottom"/>
            <w:tcBorders>
              <w:bottom w:val="single" w:sz="8" w:color="auto"/>
            </w:tcBorders>
            <w:shd w:val="clear" w:color="auto" w:fill="CFF0FC"/>
          </w:tcPr>
          <w:p>
            <w:pPr>
              <w:spacing w:after="0"/>
              <w:rPr>
                <w:sz w:val="13"/>
                <w:szCs w:val="13"/>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7,970</w:t>
            </w:r>
          </w:p>
        </w:tc>
        <w:tc>
          <w:tcPr>
            <w:tcW w:w="120" w:type="dxa"/>
            <w:vAlign w:val="bottom"/>
            <w:shd w:val="clear" w:color="auto" w:fill="CFF0FC"/>
          </w:tcPr>
          <w:p>
            <w:pPr>
              <w:spacing w:after="0"/>
              <w:rPr>
                <w:sz w:val="13"/>
                <w:szCs w:val="13"/>
                <w:color w:val="auto"/>
              </w:rPr>
            </w:pPr>
          </w:p>
        </w:tc>
      </w:tr>
      <w:tr>
        <w:trPr>
          <w:trHeight w:val="142"/>
        </w:trPr>
        <w:tc>
          <w:tcPr>
            <w:tcW w:w="5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8,123,305</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7,542,587</w:t>
            </w:r>
          </w:p>
        </w:tc>
        <w:tc>
          <w:tcPr>
            <w:tcW w:w="120" w:type="dxa"/>
            <w:vAlign w:val="bottom"/>
          </w:tcPr>
          <w:p>
            <w:pPr>
              <w:spacing w:after="0"/>
              <w:rPr>
                <w:sz w:val="12"/>
                <w:szCs w:val="12"/>
                <w:color w:val="auto"/>
              </w:rPr>
            </w:pPr>
          </w:p>
        </w:tc>
      </w:tr>
      <w:tr>
        <w:trPr>
          <w:trHeight w:val="153"/>
        </w:trPr>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Less accumulated depreciation</w:t>
            </w:r>
          </w:p>
        </w:tc>
        <w:tc>
          <w:tcPr>
            <w:tcW w:w="178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700" w:type="dxa"/>
            <w:vAlign w:val="bottom"/>
            <w:gridSpan w:val="2"/>
            <w:shd w:val="clear" w:color="auto" w:fill="CFF0FC"/>
          </w:tcPr>
          <w:p>
            <w:pPr>
              <w:jc w:val="right"/>
              <w:ind w:right="260"/>
              <w:spacing w:after="0"/>
              <w:rPr>
                <w:sz w:val="20"/>
                <w:szCs w:val="20"/>
                <w:color w:val="auto"/>
              </w:rPr>
            </w:pPr>
            <w:r>
              <w:rPr>
                <w:rFonts w:ascii="Arial" w:cs="Arial" w:eastAsia="Arial" w:hAnsi="Arial"/>
                <w:sz w:val="12"/>
                <w:szCs w:val="12"/>
                <w:color w:val="auto"/>
              </w:rPr>
              <w:t>(4,914,299)</w:t>
            </w:r>
          </w:p>
        </w:tc>
        <w:tc>
          <w:tcPr>
            <w:tcW w:w="240" w:type="dxa"/>
            <w:vAlign w:val="bottom"/>
            <w:shd w:val="clear" w:color="auto" w:fill="CFF0FC"/>
          </w:tcPr>
          <w:p>
            <w:pPr>
              <w:spacing w:after="0"/>
              <w:rPr>
                <w:sz w:val="13"/>
                <w:szCs w:val="13"/>
                <w:color w:val="auto"/>
              </w:rPr>
            </w:pPr>
          </w:p>
        </w:tc>
        <w:tc>
          <w:tcPr>
            <w:tcW w:w="15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(4,488,698)</w:t>
            </w:r>
          </w:p>
        </w:tc>
      </w:tr>
      <w:tr>
        <w:trPr>
          <w:trHeight w:val="149"/>
        </w:trPr>
        <w:tc>
          <w:tcPr>
            <w:tcW w:w="5800" w:type="dxa"/>
            <w:vAlign w:val="bottom"/>
            <w:gridSpan w:val="2"/>
          </w:tcPr>
          <w:p>
            <w:pPr>
              <w:spacing w:after="0"/>
              <w:rPr>
                <w:sz w:val="20"/>
                <w:szCs w:val="20"/>
                <w:color w:val="auto"/>
              </w:rPr>
            </w:pPr>
            <w:r>
              <w:rPr>
                <w:rFonts w:ascii="Arial" w:cs="Arial" w:eastAsia="Arial" w:hAnsi="Arial"/>
                <w:sz w:val="12"/>
                <w:szCs w:val="12"/>
                <w:color w:val="auto"/>
              </w:rPr>
              <w:t>Property, plant and equipment, net</w:t>
            </w:r>
          </w:p>
        </w:tc>
        <w:tc>
          <w:tcPr>
            <w:tcW w:w="1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3,209,006</w:t>
            </w:r>
          </w:p>
        </w:tc>
        <w:tc>
          <w:tcPr>
            <w:tcW w:w="30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3,053,889</w:t>
            </w:r>
          </w:p>
        </w:tc>
        <w:tc>
          <w:tcPr>
            <w:tcW w:w="120" w:type="dxa"/>
            <w:vAlign w:val="bottom"/>
          </w:tcPr>
          <w:p>
            <w:pPr>
              <w:spacing w:after="0"/>
              <w:rPr>
                <w:sz w:val="12"/>
                <w:szCs w:val="12"/>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2"/>
          <w:szCs w:val="12"/>
          <w:color w:val="auto"/>
        </w:rPr>
        <w:t>Capital lease assets above represent fiber leases, where we have the exclusive, unrestricted, and indefeasible right to use one, a pair, or more strands of fiber of a fiber cable.</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Depreciation expense for the years ended December 31, 2018, 2017, and 2016 was $425.2 million, $415.9 million and $369.9 million, respectively.</w:t>
      </w:r>
    </w:p>
    <w:p>
      <w:pPr>
        <w:spacing w:after="0" w:line="14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8. Derivative Instruments and Hedging Activities</w:t>
      </w:r>
    </w:p>
    <w:p>
      <w:pPr>
        <w:spacing w:after="0" w:line="154" w:lineRule="exact"/>
        <w:rPr>
          <w:sz w:val="20"/>
          <w:szCs w:val="20"/>
          <w:color w:val="auto"/>
        </w:rPr>
      </w:pPr>
    </w:p>
    <w:p>
      <w:pPr>
        <w:ind w:right="420"/>
        <w:spacing w:after="0" w:line="276" w:lineRule="auto"/>
        <w:rPr>
          <w:sz w:val="20"/>
          <w:szCs w:val="20"/>
          <w:color w:val="auto"/>
        </w:rPr>
      </w:pPr>
      <w:r>
        <w:rPr>
          <w:rFonts w:ascii="Arial" w:cs="Arial" w:eastAsia="Arial" w:hAnsi="Arial"/>
          <w:sz w:val="12"/>
          <w:szCs w:val="12"/>
          <w:color w:val="auto"/>
        </w:rPr>
        <w:t>The Company uses derivative instruments to mitigate the effects of interest rate volatility inherent in our variable rate debt, which could unfavorably impact our future earnings and forecasted cash flows. The Company does not use derivative instruments for speculative or trading purposes.</w:t>
      </w:r>
    </w:p>
    <w:p>
      <w:pPr>
        <w:spacing w:after="0" w:line="115" w:lineRule="exact"/>
        <w:rPr>
          <w:sz w:val="20"/>
          <w:szCs w:val="20"/>
          <w:color w:val="auto"/>
        </w:rPr>
      </w:pPr>
    </w:p>
    <w:p>
      <w:pPr>
        <w:ind w:right="160"/>
        <w:spacing w:after="0" w:line="263" w:lineRule="auto"/>
        <w:rPr>
          <w:sz w:val="20"/>
          <w:szCs w:val="20"/>
          <w:color w:val="auto"/>
        </w:rPr>
      </w:pPr>
      <w:r>
        <w:rPr>
          <w:rFonts w:ascii="Arial" w:cs="Arial" w:eastAsia="Arial" w:hAnsi="Arial"/>
          <w:sz w:val="12"/>
          <w:szCs w:val="12"/>
          <w:color w:val="auto"/>
        </w:rPr>
        <w:t>We are party to interest rate swap agreements to mitigate the interest rate risk inherent in our variable rate Senior Secured Term Loan B facility. These interest rate swaps are designated as cash flow hedges and have a notional value of $2.07 billion and mature on October 24, 2022. The weighted average fixed rate paid is 2.105%, and the variable rate received resets monthly to the one-month LIBOR subject to a minimum rate of 1.0%. The Company does not currently have any master netting arrangements related to its derivative contracts.</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 summarizes the fair value and the presentation in our Consolidated Balance Sheet:</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35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440" w:type="dxa"/>
            <w:vAlign w:val="bottom"/>
            <w:gridSpan w:val="2"/>
          </w:tcPr>
          <w:p>
            <w:pPr>
              <w:jc w:val="center"/>
              <w:ind w:right="220"/>
              <w:spacing w:after="0"/>
              <w:rPr>
                <w:sz w:val="20"/>
                <w:szCs w:val="20"/>
                <w:color w:val="auto"/>
              </w:rPr>
            </w:pPr>
            <w:r>
              <w:rPr>
                <w:rFonts w:ascii="Arial" w:cs="Arial" w:eastAsia="Arial" w:hAnsi="Arial"/>
                <w:sz w:val="10"/>
                <w:szCs w:val="10"/>
                <w:b w:val="1"/>
                <w:bCs w:val="1"/>
                <w:color w:val="auto"/>
                <w:w w:val="86"/>
              </w:rPr>
              <w:t>Location on Consolidated</w:t>
            </w:r>
          </w:p>
        </w:tc>
        <w:tc>
          <w:tcPr>
            <w:tcW w:w="3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120" w:type="dxa"/>
            <w:vAlign w:val="bottom"/>
          </w:tcPr>
          <w:p>
            <w:pPr>
              <w:spacing w:after="0"/>
              <w:rPr>
                <w:sz w:val="10"/>
                <w:szCs w:val="10"/>
                <w:color w:val="auto"/>
              </w:rPr>
            </w:pPr>
          </w:p>
        </w:tc>
      </w:tr>
      <w:tr>
        <w:trPr>
          <w:trHeight w:val="114"/>
        </w:trPr>
        <w:tc>
          <w:tcPr>
            <w:tcW w:w="350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200" w:type="dxa"/>
            <w:vAlign w:val="bottom"/>
            <w:tcBorders>
              <w:bottom w:val="single" w:sz="8" w:color="CFF0FC"/>
            </w:tcBorders>
          </w:tcPr>
          <w:p>
            <w:pPr>
              <w:spacing w:after="0"/>
              <w:rPr>
                <w:sz w:val="9"/>
                <w:szCs w:val="9"/>
                <w:color w:val="auto"/>
              </w:rPr>
            </w:pPr>
          </w:p>
        </w:tc>
        <w:tc>
          <w:tcPr>
            <w:tcW w:w="3240" w:type="dxa"/>
            <w:vAlign w:val="bottom"/>
            <w:tcBorders>
              <w:bottom w:val="single" w:sz="8" w:color="auto"/>
            </w:tcBorders>
          </w:tcPr>
          <w:p>
            <w:pPr>
              <w:jc w:val="center"/>
              <w:spacing w:after="0" w:line="114" w:lineRule="exact"/>
              <w:rPr>
                <w:sz w:val="20"/>
                <w:szCs w:val="20"/>
                <w:color w:val="auto"/>
              </w:rPr>
            </w:pPr>
            <w:r>
              <w:rPr>
                <w:rFonts w:ascii="Arial" w:cs="Arial" w:eastAsia="Arial" w:hAnsi="Arial"/>
                <w:sz w:val="10"/>
                <w:szCs w:val="10"/>
                <w:b w:val="1"/>
                <w:bCs w:val="1"/>
                <w:color w:val="auto"/>
                <w:w w:val="84"/>
              </w:rPr>
              <w:t>Balance Sheet</w:t>
            </w:r>
          </w:p>
        </w:tc>
        <w:tc>
          <w:tcPr>
            <w:tcW w:w="200" w:type="dxa"/>
            <w:vAlign w:val="bottom"/>
            <w:tcBorders>
              <w:bottom w:val="single" w:sz="8" w:color="CFF0FC"/>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jc w:val="right"/>
              <w:ind w:right="546"/>
              <w:spacing w:after="0" w:line="114" w:lineRule="exact"/>
              <w:rPr>
                <w:sz w:val="20"/>
                <w:szCs w:val="20"/>
                <w:color w:val="auto"/>
              </w:rPr>
            </w:pPr>
            <w:r>
              <w:rPr>
                <w:rFonts w:ascii="Arial" w:cs="Arial" w:eastAsia="Arial" w:hAnsi="Arial"/>
                <w:sz w:val="10"/>
                <w:szCs w:val="10"/>
                <w:b w:val="1"/>
                <w:bCs w:val="1"/>
                <w:color w:val="auto"/>
              </w:rPr>
              <w:t>December 31, 2018</w:t>
            </w:r>
          </w:p>
        </w:tc>
        <w:tc>
          <w:tcPr>
            <w:tcW w:w="300" w:type="dxa"/>
            <w:vAlign w:val="bottom"/>
            <w:tcBorders>
              <w:bottom w:val="single" w:sz="8" w:color="CFF0FC"/>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jc w:val="right"/>
              <w:ind w:right="546"/>
              <w:spacing w:after="0" w:line="114" w:lineRule="exact"/>
              <w:rPr>
                <w:sz w:val="20"/>
                <w:szCs w:val="20"/>
                <w:color w:val="auto"/>
              </w:rPr>
            </w:pPr>
            <w:r>
              <w:rPr>
                <w:rFonts w:ascii="Arial" w:cs="Arial" w:eastAsia="Arial" w:hAnsi="Arial"/>
                <w:sz w:val="10"/>
                <w:szCs w:val="10"/>
                <w:b w:val="1"/>
                <w:bCs w:val="1"/>
                <w:color w:val="auto"/>
              </w:rPr>
              <w:t>December 31, 2017</w:t>
            </w:r>
          </w:p>
        </w:tc>
        <w:tc>
          <w:tcPr>
            <w:tcW w:w="120" w:type="dxa"/>
            <w:vAlign w:val="bottom"/>
            <w:tcBorders>
              <w:bottom w:val="single" w:sz="8" w:color="CFF0FC"/>
            </w:tcBorders>
          </w:tcPr>
          <w:p>
            <w:pPr>
              <w:spacing w:after="0"/>
              <w:rPr>
                <w:sz w:val="9"/>
                <w:szCs w:val="9"/>
                <w:color w:val="auto"/>
              </w:rPr>
            </w:pPr>
          </w:p>
        </w:tc>
      </w:tr>
      <w:tr>
        <w:trPr>
          <w:trHeight w:val="142"/>
        </w:trPr>
        <w:tc>
          <w:tcPr>
            <w:tcW w:w="3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Interest rate swaps</w:t>
            </w:r>
          </w:p>
        </w:tc>
        <w:tc>
          <w:tcPr>
            <w:tcW w:w="3440" w:type="dxa"/>
            <w:vAlign w:val="bottom"/>
            <w:gridSpan w:val="2"/>
            <w:shd w:val="clear" w:color="auto" w:fill="CFF0FC"/>
          </w:tcPr>
          <w:p>
            <w:pPr>
              <w:jc w:val="center"/>
              <w:ind w:right="200"/>
              <w:spacing w:after="0"/>
              <w:rPr>
                <w:sz w:val="20"/>
                <w:szCs w:val="20"/>
                <w:color w:val="auto"/>
              </w:rPr>
            </w:pPr>
            <w:r>
              <w:rPr>
                <w:rFonts w:ascii="Arial" w:cs="Arial" w:eastAsia="Arial" w:hAnsi="Arial"/>
                <w:sz w:val="12"/>
                <w:szCs w:val="12"/>
                <w:color w:val="auto"/>
                <w:w w:val="88"/>
              </w:rPr>
              <w:t>Derivative asset</w:t>
            </w: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31,043</w:t>
            </w:r>
          </w:p>
        </w:tc>
        <w:tc>
          <w:tcPr>
            <w:tcW w:w="30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210"/>
              <w:spacing w:after="0"/>
              <w:rPr>
                <w:sz w:val="20"/>
                <w:szCs w:val="20"/>
                <w:color w:val="auto"/>
              </w:rPr>
            </w:pPr>
            <w:r>
              <w:rPr>
                <w:rFonts w:ascii="Arial" w:cs="Arial" w:eastAsia="Arial" w:hAnsi="Arial"/>
                <w:sz w:val="10"/>
                <w:szCs w:val="10"/>
                <w:color w:val="auto"/>
                <w:w w:val="71"/>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6,793</w:t>
            </w:r>
          </w:p>
        </w:tc>
        <w:tc>
          <w:tcPr>
            <w:tcW w:w="120" w:type="dxa"/>
            <w:vAlign w:val="bottom"/>
            <w:shd w:val="clear" w:color="auto" w:fill="CFF0FC"/>
          </w:tcPr>
          <w:p>
            <w:pPr>
              <w:spacing w:after="0"/>
              <w:rPr>
                <w:sz w:val="12"/>
                <w:szCs w:val="12"/>
                <w:color w:val="auto"/>
              </w:rPr>
            </w:pPr>
          </w:p>
        </w:tc>
      </w:tr>
    </w:tbl>
    <w:p>
      <w:pPr>
        <w:spacing w:after="0" w:line="279" w:lineRule="exact"/>
        <w:rPr>
          <w:sz w:val="20"/>
          <w:szCs w:val="20"/>
          <w:color w:val="auto"/>
        </w:rPr>
      </w:pPr>
    </w:p>
    <w:p>
      <w:pPr>
        <w:jc w:val="both"/>
        <w:ind w:right="60"/>
        <w:spacing w:after="0" w:line="298" w:lineRule="auto"/>
        <w:rPr>
          <w:sz w:val="20"/>
          <w:szCs w:val="20"/>
          <w:color w:val="auto"/>
        </w:rPr>
      </w:pPr>
      <w:r>
        <w:rPr>
          <w:rFonts w:ascii="Arial" w:cs="Arial" w:eastAsia="Arial" w:hAnsi="Arial"/>
          <w:sz w:val="11"/>
          <w:szCs w:val="11"/>
          <w:color w:val="auto"/>
        </w:rPr>
        <w:t>As of December 31, 2018 and 2017, all of the interest rate swaps were valued in net unrealized gain positions and recognized as an asset balance within the derivative asset balance on the Consolidated Balance Sheets. For the years ended December 31, 2018, 2017 and 2016, the amount recorded in other comprehensive income related to the unrealized gain on derivative instruments was $21.6 million, $7.7 million and $24.5 million, respectively. The amount reclassified out of other comprehensive income into interest expense on our Consolidated Statement of Income for the years ended December 31, 2018, 2017 and 2016 was $2.6 million, $20.6 million and $23.8 million,</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85" w:name="page86"/>
    <w:bookmarkEnd w:id="8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respectively. For the years ended December 31, 2018, 2017 and 2016, there were no ineffective portions of the change in fair value derivatives.</w:t>
      </w:r>
    </w:p>
    <w:p>
      <w:pPr>
        <w:spacing w:after="0" w:line="150"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color w:val="auto"/>
        </w:rPr>
        <w:t>Amounts reported in accumulated other comprehensive income related to derivatives will be reclassified to interest expense as interest payments are made on our variable-rate debt. During the next twelve months, ending December 31, 2019, we estimate that $4.1 million will be reclassified as a decrease to interest expense.</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9. Goodwill and Intangible Assets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Changes in the carrying amount of goodwill occurring during the year ended December 31, 2018 and 2017, are as follows: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39"/>
        </w:trPr>
        <w:tc>
          <w:tcPr>
            <w:tcW w:w="4000" w:type="dxa"/>
            <w:vAlign w:val="bottom"/>
            <w:tcBorders>
              <w:bottom w:val="single" w:sz="8" w:color="auto"/>
            </w:tcBorders>
            <w:gridSpan w:val="2"/>
          </w:tcPr>
          <w:p>
            <w:pPr>
              <w:spacing w:after="0"/>
              <w:rPr>
                <w:sz w:val="20"/>
                <w:szCs w:val="20"/>
                <w:color w:val="auto"/>
              </w:rPr>
            </w:pPr>
            <w:r>
              <w:rPr>
                <w:rFonts w:ascii="Arial" w:cs="Arial" w:eastAsia="Arial" w:hAnsi="Arial"/>
                <w:sz w:val="10"/>
                <w:szCs w:val="10"/>
                <w:color w:val="auto"/>
              </w:rPr>
              <w:t>(Thousands)</w:t>
            </w:r>
          </w:p>
        </w:tc>
        <w:tc>
          <w:tcPr>
            <w:tcW w:w="6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200" w:type="dxa"/>
            <w:vAlign w:val="bottom"/>
            <w:tcBorders>
              <w:bottom w:val="single" w:sz="8" w:color="CFF0FC"/>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gridSpan w:val="4"/>
          </w:tcPr>
          <w:p>
            <w:pPr>
              <w:jc w:val="right"/>
              <w:ind w:right="440"/>
              <w:spacing w:after="0"/>
              <w:rPr>
                <w:sz w:val="20"/>
                <w:szCs w:val="20"/>
                <w:color w:val="auto"/>
              </w:rPr>
            </w:pPr>
            <w:r>
              <w:rPr>
                <w:rFonts w:ascii="Arial" w:cs="Arial" w:eastAsia="Arial" w:hAnsi="Arial"/>
                <w:sz w:val="10"/>
                <w:szCs w:val="10"/>
                <w:b w:val="1"/>
                <w:bCs w:val="1"/>
                <w:color w:val="auto"/>
                <w:w w:val="93"/>
              </w:rPr>
              <w:t>Fiber Infrastructure</w:t>
            </w:r>
          </w:p>
        </w:tc>
        <w:tc>
          <w:tcPr>
            <w:tcW w:w="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0" w:type="dxa"/>
            <w:vAlign w:val="bottom"/>
            <w:tcBorders>
              <w:bottom w:val="single" w:sz="8" w:color="CFF0FC"/>
            </w:tcBorders>
          </w:tcPr>
          <w:p>
            <w:pPr>
              <w:spacing w:after="0"/>
              <w:rPr>
                <w:sz w:val="12"/>
                <w:szCs w:val="12"/>
                <w:color w:val="auto"/>
              </w:rPr>
            </w:pPr>
          </w:p>
        </w:tc>
        <w:tc>
          <w:tcPr>
            <w:tcW w:w="260" w:type="dxa"/>
            <w:vAlign w:val="bottom"/>
            <w:tcBorders>
              <w:bottom w:val="single" w:sz="8" w:color="CFF0FC"/>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0"/>
                <w:szCs w:val="10"/>
                <w:b w:val="1"/>
                <w:bCs w:val="1"/>
                <w:color w:val="auto"/>
              </w:rPr>
              <w:t>Total</w:t>
            </w:r>
          </w:p>
        </w:tc>
        <w:tc>
          <w:tcPr>
            <w:tcW w:w="840" w:type="dxa"/>
            <w:vAlign w:val="bottom"/>
            <w:tcBorders>
              <w:bottom w:val="single" w:sz="8" w:color="auto"/>
            </w:tcBorders>
          </w:tcPr>
          <w:p>
            <w:pPr>
              <w:spacing w:after="0"/>
              <w:rPr>
                <w:sz w:val="12"/>
                <w:szCs w:val="12"/>
                <w:color w:val="auto"/>
              </w:rPr>
            </w:pPr>
          </w:p>
        </w:tc>
        <w:tc>
          <w:tcPr>
            <w:tcW w:w="120" w:type="dxa"/>
            <w:vAlign w:val="bottom"/>
            <w:tcBorders>
              <w:bottom w:val="single" w:sz="8" w:color="CFF0FC"/>
            </w:tcBorders>
          </w:tcPr>
          <w:p>
            <w:pPr>
              <w:spacing w:after="0"/>
              <w:rPr>
                <w:sz w:val="12"/>
                <w:szCs w:val="12"/>
                <w:color w:val="auto"/>
              </w:rPr>
            </w:pPr>
          </w:p>
        </w:tc>
        <w:tc>
          <w:tcPr>
            <w:tcW w:w="20" w:type="dxa"/>
            <w:vAlign w:val="bottom"/>
          </w:tcPr>
          <w:p>
            <w:pPr>
              <w:spacing w:after="0"/>
              <w:rPr>
                <w:sz w:val="12"/>
                <w:szCs w:val="12"/>
                <w:color w:val="auto"/>
              </w:rPr>
            </w:pPr>
          </w:p>
        </w:tc>
      </w:tr>
      <w:tr>
        <w:trPr>
          <w:trHeight w:val="142"/>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 at December 31, 2016</w:t>
            </w:r>
          </w:p>
        </w:tc>
        <w:tc>
          <w:tcPr>
            <w:tcW w:w="6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9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880" w:type="dxa"/>
            <w:vAlign w:val="bottom"/>
            <w:gridSpan w:val="3"/>
            <w:shd w:val="clear" w:color="auto" w:fill="CFF0FC"/>
          </w:tcPr>
          <w:p>
            <w:pPr>
              <w:jc w:val="right"/>
              <w:ind w:right="380"/>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1080" w:type="dxa"/>
            <w:vAlign w:val="bottom"/>
            <w:gridSpan w:val="4"/>
            <w:shd w:val="clear" w:color="auto" w:fill="CFF0FC"/>
          </w:tcPr>
          <w:p>
            <w:pPr>
              <w:jc w:val="right"/>
              <w:spacing w:after="0"/>
              <w:rPr>
                <w:sz w:val="20"/>
                <w:szCs w:val="20"/>
                <w:color w:val="auto"/>
              </w:rPr>
            </w:pPr>
            <w:r>
              <w:rPr>
                <w:rFonts w:ascii="Arial" w:cs="Arial" w:eastAsia="Arial" w:hAnsi="Arial"/>
                <w:sz w:val="12"/>
                <w:szCs w:val="12"/>
                <w:color w:val="auto"/>
              </w:rPr>
              <w:t>262,334</w:t>
            </w:r>
          </w:p>
        </w:tc>
        <w:tc>
          <w:tcPr>
            <w:tcW w:w="60" w:type="dxa"/>
            <w:vAlign w:val="bottom"/>
            <w:shd w:val="clear" w:color="auto" w:fill="CFF0FC"/>
          </w:tcPr>
          <w:p>
            <w:pPr>
              <w:spacing w:after="0"/>
              <w:rPr>
                <w:sz w:val="12"/>
                <w:szCs w:val="12"/>
                <w:color w:val="auto"/>
              </w:rPr>
            </w:pPr>
          </w:p>
        </w:tc>
        <w:tc>
          <w:tcPr>
            <w:tcW w:w="940" w:type="dxa"/>
            <w:vAlign w:val="bottom"/>
            <w:gridSpan w:val="2"/>
            <w:shd w:val="clear" w:color="auto" w:fill="CFF0FC"/>
          </w:tcPr>
          <w:p>
            <w:pPr>
              <w:jc w:val="right"/>
              <w:ind w:right="620"/>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262,334</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4000" w:type="dxa"/>
            <w:vAlign w:val="bottom"/>
            <w:gridSpan w:val="2"/>
          </w:tcPr>
          <w:p>
            <w:pPr>
              <w:spacing w:after="0"/>
              <w:rPr>
                <w:sz w:val="20"/>
                <w:szCs w:val="20"/>
                <w:color w:val="auto"/>
              </w:rPr>
            </w:pPr>
            <w:r>
              <w:rPr>
                <w:rFonts w:ascii="Arial" w:cs="Arial" w:eastAsia="Arial" w:hAnsi="Arial"/>
                <w:sz w:val="12"/>
                <w:szCs w:val="12"/>
                <w:color w:val="auto"/>
              </w:rPr>
              <w:t>Goodwill purchase accounting adjustments</w:t>
            </w: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gridSpan w:val="5"/>
          </w:tcPr>
          <w:p>
            <w:pPr>
              <w:jc w:val="right"/>
              <w:ind w:right="20"/>
              <w:spacing w:after="0"/>
              <w:rPr>
                <w:sz w:val="20"/>
                <w:szCs w:val="20"/>
                <w:color w:val="auto"/>
              </w:rPr>
            </w:pPr>
            <w:r>
              <w:rPr>
                <w:rFonts w:ascii="Arial" w:cs="Arial" w:eastAsia="Arial" w:hAnsi="Arial"/>
                <w:sz w:val="12"/>
                <w:szCs w:val="12"/>
                <w:color w:val="auto"/>
              </w:rPr>
              <w:t>(248)</w:t>
            </w: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2"/>
                <w:szCs w:val="12"/>
                <w:color w:val="auto"/>
              </w:rPr>
              <w:t>(248)</w:t>
            </w:r>
          </w:p>
        </w:tc>
        <w:tc>
          <w:tcPr>
            <w:tcW w:w="20" w:type="dxa"/>
            <w:vAlign w:val="bottom"/>
          </w:tcPr>
          <w:p>
            <w:pPr>
              <w:spacing w:after="0"/>
              <w:rPr>
                <w:sz w:val="13"/>
                <w:szCs w:val="13"/>
                <w:color w:val="auto"/>
              </w:rPr>
            </w:pPr>
          </w:p>
        </w:tc>
      </w:tr>
      <w:tr>
        <w:trPr>
          <w:trHeight w:val="153"/>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 associated with 2017 acquisitions</w:t>
            </w:r>
          </w:p>
        </w:tc>
        <w:tc>
          <w:tcPr>
            <w:tcW w:w="6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9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440" w:type="dxa"/>
            <w:vAlign w:val="bottom"/>
            <w:tcBorders>
              <w:bottom w:val="single" w:sz="8" w:color="auto"/>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spacing w:after="0"/>
              <w:rPr>
                <w:sz w:val="13"/>
                <w:szCs w:val="13"/>
                <w:color w:val="auto"/>
              </w:rPr>
            </w:pPr>
          </w:p>
        </w:tc>
        <w:tc>
          <w:tcPr>
            <w:tcW w:w="240" w:type="dxa"/>
            <w:vAlign w:val="bottom"/>
            <w:tcBorders>
              <w:bottom w:val="single" w:sz="8" w:color="auto"/>
            </w:tcBorders>
            <w:shd w:val="clear" w:color="auto" w:fill="CFF0FC"/>
          </w:tcPr>
          <w:p>
            <w:pPr>
              <w:spacing w:after="0"/>
              <w:rPr>
                <w:sz w:val="13"/>
                <w:szCs w:val="13"/>
                <w:color w:val="auto"/>
              </w:rPr>
            </w:pPr>
          </w:p>
        </w:tc>
        <w:tc>
          <w:tcPr>
            <w:tcW w:w="1080" w:type="dxa"/>
            <w:vAlign w:val="bottom"/>
            <w:tcBorders>
              <w:bottom w:val="single" w:sz="8" w:color="auto"/>
            </w:tcBorders>
            <w:gridSpan w:val="4"/>
            <w:shd w:val="clear" w:color="auto" w:fill="CFF0FC"/>
          </w:tcPr>
          <w:p>
            <w:pPr>
              <w:jc w:val="right"/>
              <w:spacing w:after="0"/>
              <w:rPr>
                <w:sz w:val="20"/>
                <w:szCs w:val="20"/>
                <w:color w:val="auto"/>
              </w:rPr>
            </w:pPr>
            <w:r>
              <w:rPr>
                <w:rFonts w:ascii="Arial" w:cs="Arial" w:eastAsia="Arial" w:hAnsi="Arial"/>
                <w:sz w:val="12"/>
                <w:szCs w:val="12"/>
                <w:color w:val="auto"/>
              </w:rPr>
              <w:t>411,643</w:t>
            </w:r>
          </w:p>
        </w:tc>
        <w:tc>
          <w:tcPr>
            <w:tcW w:w="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80" w:type="dxa"/>
            <w:vAlign w:val="bottom"/>
            <w:tcBorders>
              <w:bottom w:val="single" w:sz="8" w:color="auto"/>
            </w:tcBorders>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411,643</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4000" w:type="dxa"/>
            <w:vAlign w:val="bottom"/>
            <w:gridSpan w:val="2"/>
          </w:tcPr>
          <w:p>
            <w:pPr>
              <w:spacing w:after="0"/>
              <w:rPr>
                <w:sz w:val="20"/>
                <w:szCs w:val="20"/>
                <w:color w:val="auto"/>
              </w:rPr>
            </w:pPr>
            <w:r>
              <w:rPr>
                <w:rFonts w:ascii="Arial" w:cs="Arial" w:eastAsia="Arial" w:hAnsi="Arial"/>
                <w:sz w:val="12"/>
                <w:szCs w:val="12"/>
                <w:color w:val="auto"/>
              </w:rPr>
              <w:t>Goodwill at December 31, 2017</w:t>
            </w:r>
          </w:p>
        </w:tc>
        <w:tc>
          <w:tcPr>
            <w:tcW w:w="6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80" w:type="dxa"/>
            <w:vAlign w:val="bottom"/>
            <w:gridSpan w:val="4"/>
          </w:tcPr>
          <w:p>
            <w:pPr>
              <w:jc w:val="right"/>
              <w:spacing w:after="0"/>
              <w:rPr>
                <w:sz w:val="20"/>
                <w:szCs w:val="20"/>
                <w:color w:val="auto"/>
              </w:rPr>
            </w:pPr>
            <w:r>
              <w:rPr>
                <w:rFonts w:ascii="Arial" w:cs="Arial" w:eastAsia="Arial" w:hAnsi="Arial"/>
                <w:sz w:val="12"/>
                <w:szCs w:val="12"/>
                <w:color w:val="auto"/>
              </w:rPr>
              <w:t>673,729</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673,729</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Goodwill purchase accounting adjustments</w:t>
            </w:r>
          </w:p>
        </w:tc>
        <w:tc>
          <w:tcPr>
            <w:tcW w:w="6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9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080" w:type="dxa"/>
            <w:vAlign w:val="bottom"/>
            <w:gridSpan w:val="4"/>
            <w:shd w:val="clear" w:color="auto" w:fill="CFF0FC"/>
          </w:tcPr>
          <w:p>
            <w:pPr>
              <w:jc w:val="right"/>
              <w:spacing w:after="0"/>
              <w:rPr>
                <w:sz w:val="20"/>
                <w:szCs w:val="20"/>
                <w:color w:val="auto"/>
              </w:rPr>
            </w:pPr>
            <w:r>
              <w:rPr>
                <w:rFonts w:ascii="Arial" w:cs="Arial" w:eastAsia="Arial" w:hAnsi="Arial"/>
                <w:sz w:val="12"/>
                <w:szCs w:val="12"/>
                <w:color w:val="auto"/>
              </w:rPr>
              <w:t>7,446</w:t>
            </w:r>
          </w:p>
        </w:tc>
        <w:tc>
          <w:tcPr>
            <w:tcW w:w="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8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7,446</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000" w:type="dxa"/>
            <w:vAlign w:val="bottom"/>
            <w:tcBorders>
              <w:bottom w:val="single" w:sz="8" w:color="CFF0FC"/>
            </w:tcBorders>
            <w:gridSpan w:val="2"/>
          </w:tcPr>
          <w:p>
            <w:pPr>
              <w:spacing w:after="0"/>
              <w:rPr>
                <w:sz w:val="20"/>
                <w:szCs w:val="20"/>
                <w:color w:val="auto"/>
              </w:rPr>
            </w:pPr>
            <w:r>
              <w:rPr>
                <w:rFonts w:ascii="Arial" w:cs="Arial" w:eastAsia="Arial" w:hAnsi="Arial"/>
                <w:sz w:val="12"/>
                <w:szCs w:val="12"/>
                <w:color w:val="auto"/>
              </w:rPr>
              <w:t>Goodwill associated with 2018 acquisitions</w:t>
            </w:r>
          </w:p>
        </w:tc>
        <w:tc>
          <w:tcPr>
            <w:tcW w:w="620" w:type="dxa"/>
            <w:vAlign w:val="bottom"/>
            <w:tcBorders>
              <w:bottom w:val="single" w:sz="8" w:color="CFF0FC"/>
            </w:tcBorders>
          </w:tcPr>
          <w:p>
            <w:pPr>
              <w:spacing w:after="0"/>
              <w:rPr>
                <w:sz w:val="13"/>
                <w:szCs w:val="13"/>
                <w:color w:val="auto"/>
              </w:rPr>
            </w:pPr>
          </w:p>
        </w:tc>
        <w:tc>
          <w:tcPr>
            <w:tcW w:w="42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94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240" w:type="dxa"/>
            <w:vAlign w:val="bottom"/>
            <w:tcBorders>
              <w:bottom w:val="single" w:sz="8" w:color="CFF0FC"/>
            </w:tcBorders>
          </w:tcPr>
          <w:p>
            <w:pPr>
              <w:spacing w:after="0"/>
              <w:rPr>
                <w:sz w:val="13"/>
                <w:szCs w:val="13"/>
                <w:color w:val="auto"/>
              </w:rPr>
            </w:pPr>
          </w:p>
        </w:tc>
        <w:tc>
          <w:tcPr>
            <w:tcW w:w="200" w:type="dxa"/>
            <w:vAlign w:val="bottom"/>
            <w:tcBorders>
              <w:bottom w:val="single" w:sz="8" w:color="CFF0FC"/>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gridSpan w:val="4"/>
          </w:tcPr>
          <w:p>
            <w:pPr>
              <w:jc w:val="right"/>
              <w:spacing w:after="0"/>
              <w:rPr>
                <w:sz w:val="20"/>
                <w:szCs w:val="20"/>
                <w:color w:val="auto"/>
              </w:rPr>
            </w:pPr>
            <w:r>
              <w:rPr>
                <w:rFonts w:ascii="Arial" w:cs="Arial" w:eastAsia="Arial" w:hAnsi="Arial"/>
                <w:sz w:val="12"/>
                <w:szCs w:val="12"/>
                <w:color w:val="auto"/>
              </w:rPr>
              <w:t>11,210</w:t>
            </w:r>
          </w:p>
        </w:tc>
        <w:tc>
          <w:tcPr>
            <w:tcW w:w="60" w:type="dxa"/>
            <w:vAlign w:val="bottom"/>
            <w:tcBorders>
              <w:bottom w:val="single" w:sz="8" w:color="CFF0FC"/>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68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11,210</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r>
      <w:tr>
        <w:trPr>
          <w:trHeight w:val="162"/>
        </w:trPr>
        <w:tc>
          <w:tcPr>
            <w:tcW w:w="40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Goodwill at December 31, 2018</w:t>
            </w:r>
          </w:p>
        </w:tc>
        <w:tc>
          <w:tcPr>
            <w:tcW w:w="620" w:type="dxa"/>
            <w:vAlign w:val="bottom"/>
            <w:tcBorders>
              <w:bottom w:val="single" w:sz="8" w:color="CFF0FC"/>
            </w:tcBorders>
            <w:shd w:val="clear" w:color="auto" w:fill="CFF0FC"/>
          </w:tcPr>
          <w:p>
            <w:pPr>
              <w:spacing w:after="0"/>
              <w:rPr>
                <w:sz w:val="14"/>
                <w:szCs w:val="14"/>
                <w:color w:val="auto"/>
              </w:rPr>
            </w:pPr>
          </w:p>
        </w:tc>
        <w:tc>
          <w:tcPr>
            <w:tcW w:w="420" w:type="dxa"/>
            <w:vAlign w:val="bottom"/>
            <w:tcBorders>
              <w:bottom w:val="single" w:sz="8" w:color="CFF0FC"/>
            </w:tcBorders>
            <w:shd w:val="clear" w:color="auto" w:fill="CFF0FC"/>
          </w:tcPr>
          <w:p>
            <w:pPr>
              <w:spacing w:after="0"/>
              <w:rPr>
                <w:sz w:val="14"/>
                <w:szCs w:val="14"/>
                <w:color w:val="auto"/>
              </w:rPr>
            </w:pPr>
          </w:p>
        </w:tc>
        <w:tc>
          <w:tcPr>
            <w:tcW w:w="22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CFF0FC"/>
            </w:tcBorders>
            <w:shd w:val="clear" w:color="auto" w:fill="CFF0FC"/>
          </w:tcPr>
          <w:p>
            <w:pPr>
              <w:spacing w:after="0"/>
              <w:rPr>
                <w:sz w:val="14"/>
                <w:szCs w:val="14"/>
                <w:color w:val="auto"/>
              </w:rPr>
            </w:pPr>
          </w:p>
        </w:tc>
        <w:tc>
          <w:tcPr>
            <w:tcW w:w="940" w:type="dxa"/>
            <w:vAlign w:val="bottom"/>
            <w:tcBorders>
              <w:bottom w:val="single" w:sz="8" w:color="CFF0FC"/>
            </w:tcBorders>
            <w:shd w:val="clear" w:color="auto" w:fill="CFF0FC"/>
          </w:tcPr>
          <w:p>
            <w:pPr>
              <w:spacing w:after="0"/>
              <w:rPr>
                <w:sz w:val="14"/>
                <w:szCs w:val="14"/>
                <w:color w:val="auto"/>
              </w:rPr>
            </w:pPr>
          </w:p>
        </w:tc>
        <w:tc>
          <w:tcPr>
            <w:tcW w:w="140" w:type="dxa"/>
            <w:vAlign w:val="bottom"/>
            <w:tcBorders>
              <w:bottom w:val="single" w:sz="8" w:color="CFF0FC"/>
            </w:tcBorders>
            <w:shd w:val="clear" w:color="auto" w:fill="CFF0FC"/>
          </w:tcPr>
          <w:p>
            <w:pPr>
              <w:spacing w:after="0"/>
              <w:rPr>
                <w:sz w:val="14"/>
                <w:szCs w:val="14"/>
                <w:color w:val="auto"/>
              </w:rPr>
            </w:pPr>
          </w:p>
        </w:tc>
        <w:tc>
          <w:tcPr>
            <w:tcW w:w="80" w:type="dxa"/>
            <w:vAlign w:val="bottom"/>
            <w:tcBorders>
              <w:bottom w:val="single" w:sz="8" w:color="CFF0FC"/>
            </w:tcBorders>
            <w:shd w:val="clear" w:color="auto" w:fill="CFF0FC"/>
          </w:tcPr>
          <w:p>
            <w:pPr>
              <w:spacing w:after="0"/>
              <w:rPr>
                <w:sz w:val="14"/>
                <w:szCs w:val="14"/>
                <w:color w:val="auto"/>
              </w:rPr>
            </w:pPr>
          </w:p>
        </w:tc>
        <w:tc>
          <w:tcPr>
            <w:tcW w:w="160" w:type="dxa"/>
            <w:vAlign w:val="bottom"/>
            <w:tcBorders>
              <w:bottom w:val="single" w:sz="8" w:color="CFF0FC"/>
            </w:tcBorders>
            <w:shd w:val="clear" w:color="auto" w:fill="CFF0FC"/>
          </w:tcPr>
          <w:p>
            <w:pPr>
              <w:spacing w:after="0"/>
              <w:rPr>
                <w:sz w:val="14"/>
                <w:szCs w:val="14"/>
                <w:color w:val="auto"/>
              </w:rPr>
            </w:pPr>
          </w:p>
        </w:tc>
        <w:tc>
          <w:tcPr>
            <w:tcW w:w="240" w:type="dxa"/>
            <w:vAlign w:val="bottom"/>
            <w:tcBorders>
              <w:bottom w:val="single" w:sz="8" w:color="CFF0FC"/>
            </w:tcBorders>
            <w:shd w:val="clear" w:color="auto" w:fill="CFF0FC"/>
          </w:tcPr>
          <w:p>
            <w:pPr>
              <w:spacing w:after="0"/>
              <w:rPr>
                <w:sz w:val="14"/>
                <w:szCs w:val="14"/>
                <w:color w:val="auto"/>
              </w:rPr>
            </w:pPr>
          </w:p>
        </w:tc>
        <w:tc>
          <w:tcPr>
            <w:tcW w:w="200" w:type="dxa"/>
            <w:vAlign w:val="bottom"/>
            <w:tcBorders>
              <w:bottom w:val="single" w:sz="8" w:color="CFF0FC"/>
            </w:tcBorders>
            <w:shd w:val="clear" w:color="auto" w:fill="CFF0FC"/>
          </w:tcPr>
          <w:p>
            <w:pPr>
              <w:spacing w:after="0"/>
              <w:rPr>
                <w:sz w:val="14"/>
                <w:szCs w:val="14"/>
                <w:color w:val="auto"/>
              </w:rPr>
            </w:pPr>
          </w:p>
        </w:tc>
        <w:tc>
          <w:tcPr>
            <w:tcW w:w="440" w:type="dxa"/>
            <w:vAlign w:val="bottom"/>
            <w:tcBorders>
              <w:bottom w:val="single" w:sz="8" w:color="auto"/>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240" w:type="dxa"/>
            <w:vAlign w:val="bottom"/>
            <w:tcBorders>
              <w:bottom w:val="single" w:sz="8" w:color="auto"/>
            </w:tcBorders>
            <w:shd w:val="clear" w:color="auto" w:fill="CFF0FC"/>
          </w:tcPr>
          <w:p>
            <w:pPr>
              <w:spacing w:after="0"/>
              <w:rPr>
                <w:sz w:val="14"/>
                <w:szCs w:val="14"/>
                <w:color w:val="auto"/>
              </w:rPr>
            </w:pPr>
          </w:p>
        </w:tc>
        <w:tc>
          <w:tcPr>
            <w:tcW w:w="1080" w:type="dxa"/>
            <w:vAlign w:val="bottom"/>
            <w:tcBorders>
              <w:bottom w:val="single" w:sz="8" w:color="auto"/>
            </w:tcBorders>
            <w:gridSpan w:val="4"/>
            <w:shd w:val="clear" w:color="auto" w:fill="CFF0FC"/>
          </w:tcPr>
          <w:p>
            <w:pPr>
              <w:jc w:val="right"/>
              <w:spacing w:after="0"/>
              <w:rPr>
                <w:sz w:val="20"/>
                <w:szCs w:val="20"/>
                <w:color w:val="auto"/>
              </w:rPr>
            </w:pPr>
            <w:r>
              <w:rPr>
                <w:rFonts w:ascii="Arial" w:cs="Arial" w:eastAsia="Arial" w:hAnsi="Arial"/>
                <w:sz w:val="12"/>
                <w:szCs w:val="12"/>
                <w:color w:val="auto"/>
              </w:rPr>
              <w:t>692,385</w:t>
            </w:r>
          </w:p>
        </w:tc>
        <w:tc>
          <w:tcPr>
            <w:tcW w:w="60" w:type="dxa"/>
            <w:vAlign w:val="bottom"/>
            <w:tcBorders>
              <w:bottom w:val="single" w:sz="8" w:color="CFF0FC"/>
            </w:tcBorders>
            <w:shd w:val="clear" w:color="auto" w:fill="CFF0FC"/>
          </w:tcPr>
          <w:p>
            <w:pPr>
              <w:spacing w:after="0"/>
              <w:rPr>
                <w:sz w:val="14"/>
                <w:szCs w:val="14"/>
                <w:color w:val="auto"/>
              </w:rPr>
            </w:pPr>
          </w:p>
        </w:tc>
        <w:tc>
          <w:tcPr>
            <w:tcW w:w="260" w:type="dxa"/>
            <w:vAlign w:val="bottom"/>
            <w:tcBorders>
              <w:bottom w:val="single" w:sz="8" w:color="CFF0FC"/>
            </w:tcBorders>
            <w:shd w:val="clear" w:color="auto" w:fill="CFF0FC"/>
          </w:tcPr>
          <w:p>
            <w:pPr>
              <w:spacing w:after="0"/>
              <w:rPr>
                <w:sz w:val="14"/>
                <w:szCs w:val="14"/>
                <w:color w:val="auto"/>
              </w:rPr>
            </w:pPr>
          </w:p>
        </w:tc>
        <w:tc>
          <w:tcPr>
            <w:tcW w:w="680" w:type="dxa"/>
            <w:vAlign w:val="bottom"/>
            <w:tcBorders>
              <w:bottom w:val="single" w:sz="8" w:color="auto"/>
            </w:tcBorders>
            <w:shd w:val="clear" w:color="auto" w:fill="CFF0FC"/>
          </w:tcPr>
          <w:p>
            <w:pPr>
              <w:spacing w:after="0"/>
              <w:rPr>
                <w:sz w:val="14"/>
                <w:szCs w:val="14"/>
                <w:color w:val="auto"/>
              </w:rPr>
            </w:pPr>
          </w:p>
        </w:tc>
        <w:tc>
          <w:tcPr>
            <w:tcW w:w="220" w:type="dxa"/>
            <w:vAlign w:val="bottom"/>
            <w:tcBorders>
              <w:bottom w:val="single" w:sz="8" w:color="auto"/>
            </w:tcBorders>
            <w:shd w:val="clear" w:color="auto" w:fill="CFF0FC"/>
          </w:tcPr>
          <w:p>
            <w:pPr>
              <w:spacing w:after="0"/>
              <w:rPr>
                <w:sz w:val="14"/>
                <w:szCs w:val="14"/>
                <w:color w:val="auto"/>
              </w:rPr>
            </w:pPr>
          </w:p>
        </w:tc>
        <w:tc>
          <w:tcPr>
            <w:tcW w:w="220" w:type="dxa"/>
            <w:vAlign w:val="bottom"/>
            <w:tcBorders>
              <w:bottom w:val="single" w:sz="8" w:color="auto"/>
            </w:tcBorders>
            <w:shd w:val="clear" w:color="auto" w:fill="CFF0FC"/>
          </w:tcPr>
          <w:p>
            <w:pPr>
              <w:spacing w:after="0"/>
              <w:rPr>
                <w:sz w:val="14"/>
                <w:szCs w:val="14"/>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692,385</w:t>
            </w:r>
          </w:p>
        </w:tc>
        <w:tc>
          <w:tcPr>
            <w:tcW w:w="120" w:type="dxa"/>
            <w:vAlign w:val="bottom"/>
            <w:tcBorders>
              <w:bottom w:val="single" w:sz="8" w:color="CFF0FC"/>
            </w:tcBorders>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275"/>
        </w:trPr>
        <w:tc>
          <w:tcPr>
            <w:tcW w:w="4000" w:type="dxa"/>
            <w:vAlign w:val="bottom"/>
            <w:gridSpan w:val="2"/>
          </w:tcPr>
          <w:p>
            <w:pPr>
              <w:spacing w:after="0"/>
              <w:rPr>
                <w:sz w:val="20"/>
                <w:szCs w:val="20"/>
                <w:color w:val="auto"/>
              </w:rPr>
            </w:pPr>
            <w:r>
              <w:rPr>
                <w:rFonts w:ascii="Arial" w:cs="Arial" w:eastAsia="Arial" w:hAnsi="Arial"/>
                <w:sz w:val="12"/>
                <w:szCs w:val="12"/>
                <w:color w:val="auto"/>
              </w:rPr>
              <w:t>The carrying value of our other intangible assets is as follows:</w:t>
            </w:r>
          </w:p>
        </w:tc>
        <w:tc>
          <w:tcPr>
            <w:tcW w:w="6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06"/>
        </w:trPr>
        <w:tc>
          <w:tcPr>
            <w:tcW w:w="4000" w:type="dxa"/>
            <w:vAlign w:val="bottom"/>
            <w:gridSpan w:val="2"/>
          </w:tcPr>
          <w:p>
            <w:pPr>
              <w:spacing w:after="0"/>
              <w:rPr>
                <w:sz w:val="20"/>
                <w:szCs w:val="20"/>
                <w:color w:val="auto"/>
              </w:rPr>
            </w:pPr>
            <w:r>
              <w:rPr>
                <w:rFonts w:ascii="Arial" w:cs="Arial" w:eastAsia="Arial" w:hAnsi="Arial"/>
                <w:sz w:val="10"/>
                <w:szCs w:val="10"/>
                <w:color w:val="auto"/>
              </w:rPr>
              <w:t>(Thousands)</w:t>
            </w: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0"/>
                <w:szCs w:val="10"/>
                <w:b w:val="1"/>
                <w:bCs w:val="1"/>
                <w:color w:val="auto"/>
                <w:w w:val="86"/>
              </w:rPr>
              <w:t>December 31, 2018</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40" w:type="dxa"/>
            <w:vAlign w:val="bottom"/>
            <w:gridSpan w:val="2"/>
          </w:tcPr>
          <w:p>
            <w:pPr>
              <w:jc w:val="center"/>
              <w:ind w:right="120"/>
              <w:spacing w:after="0"/>
              <w:rPr>
                <w:sz w:val="20"/>
                <w:szCs w:val="20"/>
                <w:color w:val="auto"/>
              </w:rPr>
            </w:pPr>
            <w:r>
              <w:rPr>
                <w:rFonts w:ascii="Arial" w:cs="Arial" w:eastAsia="Arial" w:hAnsi="Arial"/>
                <w:sz w:val="10"/>
                <w:szCs w:val="10"/>
                <w:b w:val="1"/>
                <w:bCs w:val="1"/>
                <w:color w:val="auto"/>
                <w:w w:val="86"/>
              </w:rPr>
              <w:t>December 31, 2017</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83"/>
        </w:trPr>
        <w:tc>
          <w:tcPr>
            <w:tcW w:w="390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top w:val="single" w:sz="8" w:color="auto"/>
            </w:tcBorders>
          </w:tcPr>
          <w:p>
            <w:pPr>
              <w:spacing w:after="0"/>
              <w:rPr>
                <w:sz w:val="7"/>
                <w:szCs w:val="7"/>
                <w:color w:val="auto"/>
              </w:rPr>
            </w:pPr>
          </w:p>
        </w:tc>
        <w:tc>
          <w:tcPr>
            <w:tcW w:w="420" w:type="dxa"/>
            <w:vAlign w:val="bottom"/>
            <w:tcBorders>
              <w:top w:val="single" w:sz="8" w:color="auto"/>
            </w:tcBorders>
          </w:tcPr>
          <w:p>
            <w:pPr>
              <w:spacing w:after="0"/>
              <w:rPr>
                <w:sz w:val="7"/>
                <w:szCs w:val="7"/>
                <w:color w:val="auto"/>
              </w:rPr>
            </w:pPr>
          </w:p>
        </w:tc>
        <w:tc>
          <w:tcPr>
            <w:tcW w:w="220" w:type="dxa"/>
            <w:vAlign w:val="bottom"/>
            <w:tcBorders>
              <w:top w:val="single" w:sz="8" w:color="auto"/>
            </w:tcBorders>
          </w:tcPr>
          <w:p>
            <w:pPr>
              <w:spacing w:after="0"/>
              <w:rPr>
                <w:sz w:val="7"/>
                <w:szCs w:val="7"/>
                <w:color w:val="auto"/>
              </w:rPr>
            </w:pPr>
          </w:p>
        </w:tc>
        <w:tc>
          <w:tcPr>
            <w:tcW w:w="1160" w:type="dxa"/>
            <w:vAlign w:val="bottom"/>
            <w:tcBorders>
              <w:top w:val="single" w:sz="8" w:color="auto"/>
            </w:tcBorders>
            <w:gridSpan w:val="3"/>
          </w:tcPr>
          <w:p>
            <w:pPr>
              <w:jc w:val="center"/>
              <w:ind w:right="140"/>
              <w:spacing w:after="0" w:line="83" w:lineRule="exact"/>
              <w:rPr>
                <w:sz w:val="20"/>
                <w:szCs w:val="20"/>
                <w:color w:val="auto"/>
              </w:rPr>
            </w:pPr>
            <w:r>
              <w:rPr>
                <w:rFonts w:ascii="Arial" w:cs="Arial" w:eastAsia="Arial" w:hAnsi="Arial"/>
                <w:sz w:val="8"/>
                <w:szCs w:val="8"/>
                <w:b w:val="1"/>
                <w:bCs w:val="1"/>
                <w:color w:val="auto"/>
              </w:rPr>
              <w:t>Cumulative Translation</w:t>
            </w:r>
          </w:p>
        </w:tc>
        <w:tc>
          <w:tcPr>
            <w:tcW w:w="80" w:type="dxa"/>
            <w:vAlign w:val="bottom"/>
            <w:tcBorders>
              <w:top w:val="single" w:sz="8" w:color="auto"/>
            </w:tcBorders>
          </w:tcPr>
          <w:p>
            <w:pPr>
              <w:spacing w:after="0"/>
              <w:rPr>
                <w:sz w:val="7"/>
                <w:szCs w:val="7"/>
                <w:color w:val="auto"/>
              </w:rPr>
            </w:pPr>
          </w:p>
        </w:tc>
        <w:tc>
          <w:tcPr>
            <w:tcW w:w="160" w:type="dxa"/>
            <w:vAlign w:val="bottom"/>
            <w:tcBorders>
              <w:top w:val="single" w:sz="8" w:color="auto"/>
            </w:tcBorders>
          </w:tcPr>
          <w:p>
            <w:pPr>
              <w:spacing w:after="0"/>
              <w:rPr>
                <w:sz w:val="7"/>
                <w:szCs w:val="7"/>
                <w:color w:val="auto"/>
              </w:rPr>
            </w:pPr>
          </w:p>
        </w:tc>
        <w:tc>
          <w:tcPr>
            <w:tcW w:w="880" w:type="dxa"/>
            <w:vAlign w:val="bottom"/>
            <w:tcBorders>
              <w:top w:val="single" w:sz="8" w:color="auto"/>
            </w:tcBorders>
            <w:gridSpan w:val="3"/>
          </w:tcPr>
          <w:p>
            <w:pPr>
              <w:jc w:val="right"/>
              <w:ind w:right="240"/>
              <w:spacing w:after="0" w:line="83" w:lineRule="exact"/>
              <w:rPr>
                <w:sz w:val="20"/>
                <w:szCs w:val="20"/>
                <w:color w:val="auto"/>
              </w:rPr>
            </w:pPr>
            <w:r>
              <w:rPr>
                <w:rFonts w:ascii="Arial" w:cs="Arial" w:eastAsia="Arial" w:hAnsi="Arial"/>
                <w:sz w:val="8"/>
                <w:szCs w:val="8"/>
                <w:b w:val="1"/>
                <w:bCs w:val="1"/>
                <w:color w:val="auto"/>
              </w:rPr>
              <w:t>Accumulated</w:t>
            </w: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40" w:type="dxa"/>
            <w:vAlign w:val="bottom"/>
            <w:tcBorders>
              <w:top w:val="single" w:sz="8" w:color="auto"/>
            </w:tcBorders>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14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1060" w:type="dxa"/>
            <w:vAlign w:val="bottom"/>
            <w:tcBorders>
              <w:top w:val="single" w:sz="8" w:color="auto"/>
            </w:tcBorders>
            <w:gridSpan w:val="4"/>
          </w:tcPr>
          <w:p>
            <w:pPr>
              <w:jc w:val="center"/>
              <w:spacing w:after="0" w:line="83" w:lineRule="exact"/>
              <w:rPr>
                <w:sz w:val="20"/>
                <w:szCs w:val="20"/>
                <w:color w:val="auto"/>
              </w:rPr>
            </w:pPr>
            <w:r>
              <w:rPr>
                <w:rFonts w:ascii="Arial" w:cs="Arial" w:eastAsia="Arial" w:hAnsi="Arial"/>
                <w:sz w:val="8"/>
                <w:szCs w:val="8"/>
                <w:b w:val="1"/>
                <w:bCs w:val="1"/>
                <w:color w:val="auto"/>
              </w:rPr>
              <w:t>Cumulative Translation</w:t>
            </w:r>
          </w:p>
        </w:tc>
        <w:tc>
          <w:tcPr>
            <w:tcW w:w="220" w:type="dxa"/>
            <w:vAlign w:val="bottom"/>
            <w:tcBorders>
              <w:top w:val="single" w:sz="8" w:color="auto"/>
            </w:tcBorders>
          </w:tcPr>
          <w:p>
            <w:pPr>
              <w:spacing w:after="0"/>
              <w:rPr>
                <w:sz w:val="7"/>
                <w:szCs w:val="7"/>
                <w:color w:val="auto"/>
              </w:rPr>
            </w:pPr>
          </w:p>
        </w:tc>
        <w:tc>
          <w:tcPr>
            <w:tcW w:w="220" w:type="dxa"/>
            <w:vAlign w:val="bottom"/>
            <w:tcBorders>
              <w:top w:val="single" w:sz="8" w:color="auto"/>
            </w:tcBorders>
          </w:tcPr>
          <w:p>
            <w:pPr>
              <w:spacing w:after="0"/>
              <w:rPr>
                <w:sz w:val="7"/>
                <w:szCs w:val="7"/>
                <w:color w:val="auto"/>
              </w:rPr>
            </w:pPr>
          </w:p>
        </w:tc>
        <w:tc>
          <w:tcPr>
            <w:tcW w:w="840" w:type="dxa"/>
            <w:vAlign w:val="bottom"/>
            <w:tcBorders>
              <w:top w:val="single" w:sz="8" w:color="auto"/>
            </w:tcBorders>
          </w:tcPr>
          <w:p>
            <w:pPr>
              <w:jc w:val="right"/>
              <w:ind w:right="202"/>
              <w:spacing w:after="0" w:line="83" w:lineRule="exact"/>
              <w:rPr>
                <w:sz w:val="20"/>
                <w:szCs w:val="20"/>
                <w:color w:val="auto"/>
              </w:rPr>
            </w:pPr>
            <w:r>
              <w:rPr>
                <w:rFonts w:ascii="Arial" w:cs="Arial" w:eastAsia="Arial" w:hAnsi="Arial"/>
                <w:sz w:val="8"/>
                <w:szCs w:val="8"/>
                <w:b w:val="1"/>
                <w:bCs w:val="1"/>
                <w:color w:val="auto"/>
              </w:rPr>
              <w:t>Accumulated</w:t>
            </w: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114"/>
        </w:trPr>
        <w:tc>
          <w:tcPr>
            <w:tcW w:w="3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jc w:val="right"/>
              <w:spacing w:after="0" w:line="114" w:lineRule="exact"/>
              <w:rPr>
                <w:sz w:val="20"/>
                <w:szCs w:val="20"/>
                <w:color w:val="auto"/>
              </w:rPr>
            </w:pPr>
            <w:r>
              <w:rPr>
                <w:rFonts w:ascii="Arial" w:cs="Arial" w:eastAsia="Arial" w:hAnsi="Arial"/>
                <w:sz w:val="10"/>
                <w:szCs w:val="10"/>
                <w:b w:val="1"/>
                <w:bCs w:val="1"/>
                <w:color w:val="auto"/>
              </w:rPr>
              <w:t>Cost</w:t>
            </w: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80" w:type="dxa"/>
            <w:vAlign w:val="bottom"/>
            <w:gridSpan w:val="2"/>
          </w:tcPr>
          <w:p>
            <w:pPr>
              <w:jc w:val="center"/>
              <w:ind w:right="240"/>
              <w:spacing w:after="0" w:line="114" w:lineRule="exact"/>
              <w:rPr>
                <w:sz w:val="20"/>
                <w:szCs w:val="20"/>
                <w:color w:val="auto"/>
              </w:rPr>
            </w:pPr>
            <w:r>
              <w:rPr>
                <w:rFonts w:ascii="Arial" w:cs="Arial" w:eastAsia="Arial" w:hAnsi="Arial"/>
                <w:sz w:val="10"/>
                <w:szCs w:val="10"/>
                <w:b w:val="1"/>
                <w:bCs w:val="1"/>
                <w:color w:val="auto"/>
                <w:w w:val="87"/>
              </w:rPr>
              <w:t>Adjustment</w:t>
            </w: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gridSpan w:val="4"/>
          </w:tcPr>
          <w:p>
            <w:pPr>
              <w:jc w:val="right"/>
              <w:ind w:right="320"/>
              <w:spacing w:after="0" w:line="114" w:lineRule="exact"/>
              <w:rPr>
                <w:sz w:val="20"/>
                <w:szCs w:val="20"/>
                <w:color w:val="auto"/>
              </w:rPr>
            </w:pPr>
            <w:r>
              <w:rPr>
                <w:rFonts w:ascii="Arial" w:cs="Arial" w:eastAsia="Arial" w:hAnsi="Arial"/>
                <w:sz w:val="10"/>
                <w:szCs w:val="10"/>
                <w:b w:val="1"/>
                <w:bCs w:val="1"/>
                <w:color w:val="auto"/>
              </w:rPr>
              <w:t>Amortization</w:t>
            </w:r>
          </w:p>
        </w:tc>
        <w:tc>
          <w:tcPr>
            <w:tcW w:w="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940" w:type="dxa"/>
            <w:vAlign w:val="bottom"/>
            <w:gridSpan w:val="2"/>
          </w:tcPr>
          <w:p>
            <w:pPr>
              <w:jc w:val="right"/>
              <w:ind w:right="560"/>
              <w:spacing w:after="0" w:line="114" w:lineRule="exact"/>
              <w:rPr>
                <w:sz w:val="20"/>
                <w:szCs w:val="20"/>
                <w:color w:val="auto"/>
              </w:rPr>
            </w:pPr>
            <w:r>
              <w:rPr>
                <w:rFonts w:ascii="Arial" w:cs="Arial" w:eastAsia="Arial" w:hAnsi="Arial"/>
                <w:sz w:val="10"/>
                <w:szCs w:val="10"/>
                <w:b w:val="1"/>
                <w:bCs w:val="1"/>
                <w:color w:val="auto"/>
              </w:rPr>
              <w:t>Cost</w:t>
            </w: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gridSpan w:val="2"/>
          </w:tcPr>
          <w:p>
            <w:pPr>
              <w:jc w:val="center"/>
              <w:ind w:right="120"/>
              <w:spacing w:after="0" w:line="114" w:lineRule="exact"/>
              <w:rPr>
                <w:sz w:val="20"/>
                <w:szCs w:val="20"/>
                <w:color w:val="auto"/>
              </w:rPr>
            </w:pPr>
            <w:r>
              <w:rPr>
                <w:rFonts w:ascii="Arial" w:cs="Arial" w:eastAsia="Arial" w:hAnsi="Arial"/>
                <w:sz w:val="10"/>
                <w:szCs w:val="10"/>
                <w:b w:val="1"/>
                <w:bCs w:val="1"/>
                <w:color w:val="auto"/>
                <w:w w:val="90"/>
              </w:rPr>
              <w:t>Adjustment</w:t>
            </w: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gridSpan w:val="2"/>
          </w:tcPr>
          <w:p>
            <w:pPr>
              <w:jc w:val="right"/>
              <w:ind w:right="380"/>
              <w:spacing w:after="0" w:line="114" w:lineRule="exact"/>
              <w:rPr>
                <w:sz w:val="20"/>
                <w:szCs w:val="20"/>
                <w:color w:val="auto"/>
              </w:rPr>
            </w:pPr>
            <w:r>
              <w:rPr>
                <w:rFonts w:ascii="Arial" w:cs="Arial" w:eastAsia="Arial" w:hAnsi="Arial"/>
                <w:sz w:val="10"/>
                <w:szCs w:val="10"/>
                <w:b w:val="1"/>
                <w:bCs w:val="1"/>
                <w:color w:val="auto"/>
                <w:w w:val="91"/>
              </w:rPr>
              <w:t>Amortization</w:t>
            </w:r>
          </w:p>
        </w:tc>
        <w:tc>
          <w:tcPr>
            <w:tcW w:w="20" w:type="dxa"/>
            <w:vAlign w:val="bottom"/>
          </w:tcPr>
          <w:p>
            <w:pPr>
              <w:spacing w:after="0"/>
              <w:rPr>
                <w:sz w:val="9"/>
                <w:szCs w:val="9"/>
                <w:color w:val="auto"/>
              </w:rPr>
            </w:pPr>
          </w:p>
        </w:tc>
      </w:tr>
      <w:tr>
        <w:trPr>
          <w:trHeight w:val="151"/>
        </w:trPr>
        <w:tc>
          <w:tcPr>
            <w:tcW w:w="400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Indefinite life intangible assets:</w:t>
            </w:r>
          </w:p>
        </w:tc>
        <w:tc>
          <w:tcPr>
            <w:tcW w:w="620" w:type="dxa"/>
            <w:vAlign w:val="bottom"/>
            <w:tcBorders>
              <w:top w:val="single" w:sz="8" w:color="auto"/>
            </w:tcBorders>
            <w:shd w:val="clear" w:color="auto" w:fill="CFF0FC"/>
          </w:tcPr>
          <w:p>
            <w:pPr>
              <w:spacing w:after="0"/>
              <w:rPr>
                <w:sz w:val="13"/>
                <w:szCs w:val="13"/>
                <w:color w:val="auto"/>
              </w:rPr>
            </w:pPr>
          </w:p>
        </w:tc>
        <w:tc>
          <w:tcPr>
            <w:tcW w:w="42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9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4000" w:type="dxa"/>
            <w:vAlign w:val="bottom"/>
            <w:gridSpan w:val="2"/>
          </w:tcPr>
          <w:p>
            <w:pPr>
              <w:spacing w:after="0"/>
              <w:rPr>
                <w:sz w:val="20"/>
                <w:szCs w:val="20"/>
                <w:color w:val="auto"/>
              </w:rPr>
            </w:pPr>
            <w:r>
              <w:rPr>
                <w:rFonts w:ascii="Arial" w:cs="Arial" w:eastAsia="Arial" w:hAnsi="Arial"/>
                <w:sz w:val="12"/>
                <w:szCs w:val="12"/>
                <w:color w:val="auto"/>
              </w:rPr>
              <w:t>Trade name</w:t>
            </w:r>
          </w:p>
        </w:tc>
        <w:tc>
          <w:tcPr>
            <w:tcW w:w="620" w:type="dxa"/>
            <w:vAlign w:val="bottom"/>
          </w:tcPr>
          <w:p>
            <w:pPr>
              <w:jc w:val="right"/>
              <w:ind w:right="510"/>
              <w:spacing w:after="0"/>
              <w:rPr>
                <w:sz w:val="20"/>
                <w:szCs w:val="20"/>
                <w:color w:val="auto"/>
              </w:rPr>
            </w:pPr>
            <w:r>
              <w:rPr>
                <w:rFonts w:ascii="Arial" w:cs="Arial" w:eastAsia="Arial" w:hAnsi="Arial"/>
                <w:sz w:val="10"/>
                <w:szCs w:val="10"/>
                <w:color w:val="auto"/>
                <w:w w:val="71"/>
              </w:rPr>
              <w:t>$</w:t>
            </w:r>
          </w:p>
        </w:tc>
        <w:tc>
          <w:tcPr>
            <w:tcW w:w="420" w:type="dxa"/>
            <w:vAlign w:val="bottom"/>
          </w:tcPr>
          <w:p>
            <w:pPr>
              <w:jc w:val="right"/>
              <w:spacing w:after="0"/>
              <w:rPr>
                <w:sz w:val="20"/>
                <w:szCs w:val="20"/>
                <w:color w:val="auto"/>
              </w:rPr>
            </w:pPr>
            <w:r>
              <w:rPr>
                <w:rFonts w:ascii="Arial" w:cs="Arial" w:eastAsia="Arial" w:hAnsi="Arial"/>
                <w:sz w:val="12"/>
                <w:szCs w:val="12"/>
                <w:color w:val="auto"/>
              </w:rPr>
              <w:t>2,000</w:t>
            </w:r>
          </w:p>
        </w:tc>
        <w:tc>
          <w:tcPr>
            <w:tcW w:w="220" w:type="dxa"/>
            <w:vAlign w:val="bottom"/>
          </w:tcPr>
          <w:p>
            <w:pPr>
              <w:spacing w:after="0"/>
              <w:rPr>
                <w:sz w:val="13"/>
                <w:szCs w:val="13"/>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3"/>
                <w:szCs w:val="13"/>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2"/>
                <w:szCs w:val="12"/>
                <w:color w:val="auto"/>
              </w:rPr>
              <w:t>$</w:t>
            </w:r>
          </w:p>
        </w:tc>
        <w:tc>
          <w:tcPr>
            <w:tcW w:w="880" w:type="dxa"/>
            <w:vAlign w:val="bottom"/>
            <w:gridSpan w:val="3"/>
          </w:tcPr>
          <w:p>
            <w:pPr>
              <w:jc w:val="right"/>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3"/>
                <w:szCs w:val="13"/>
                <w:color w:val="auto"/>
              </w:rPr>
            </w:pPr>
          </w:p>
        </w:tc>
        <w:tc>
          <w:tcPr>
            <w:tcW w:w="380" w:type="dxa"/>
            <w:vAlign w:val="bottom"/>
            <w:gridSpan w:val="2"/>
          </w:tcPr>
          <w:p>
            <w:pPr>
              <w:jc w:val="right"/>
              <w:ind w:right="130"/>
              <w:spacing w:after="0"/>
              <w:rPr>
                <w:sz w:val="20"/>
                <w:szCs w:val="20"/>
                <w:color w:val="auto"/>
              </w:rPr>
            </w:pPr>
            <w:r>
              <w:rPr>
                <w:rFonts w:ascii="Arial" w:cs="Arial" w:eastAsia="Arial" w:hAnsi="Arial"/>
                <w:sz w:val="12"/>
                <w:szCs w:val="12"/>
                <w:color w:val="auto"/>
              </w:rPr>
              <w:t>$</w:t>
            </w:r>
          </w:p>
        </w:tc>
        <w:tc>
          <w:tcPr>
            <w:tcW w:w="800" w:type="dxa"/>
            <w:vAlign w:val="bottom"/>
          </w:tcPr>
          <w:p>
            <w:pPr>
              <w:jc w:val="right"/>
              <w:spacing w:after="0"/>
              <w:rPr>
                <w:sz w:val="20"/>
                <w:szCs w:val="20"/>
                <w:color w:val="auto"/>
              </w:rPr>
            </w:pPr>
            <w:r>
              <w:rPr>
                <w:rFonts w:ascii="Arial" w:cs="Arial" w:eastAsia="Arial" w:hAnsi="Arial"/>
                <w:sz w:val="12"/>
                <w:szCs w:val="12"/>
                <w:color w:val="auto"/>
              </w:rPr>
              <w:t>2,000</w:t>
            </w:r>
          </w:p>
        </w:tc>
        <w:tc>
          <w:tcPr>
            <w:tcW w:w="140" w:type="dxa"/>
            <w:vAlign w:val="bottom"/>
          </w:tcPr>
          <w:p>
            <w:pPr>
              <w:spacing w:after="0"/>
              <w:rPr>
                <w:sz w:val="13"/>
                <w:szCs w:val="13"/>
                <w:color w:val="auto"/>
              </w:rPr>
            </w:pPr>
          </w:p>
        </w:tc>
        <w:tc>
          <w:tcPr>
            <w:tcW w:w="200" w:type="dxa"/>
            <w:vAlign w:val="bottom"/>
            <w:gridSpan w:val="3"/>
          </w:tcPr>
          <w:p>
            <w:pPr>
              <w:jc w:val="right"/>
              <w:ind w:right="60"/>
              <w:spacing w:after="0"/>
              <w:rPr>
                <w:sz w:val="20"/>
                <w:szCs w:val="20"/>
                <w:color w:val="auto"/>
              </w:rPr>
            </w:pPr>
            <w:r>
              <w:rPr>
                <w:rFonts w:ascii="Arial" w:cs="Arial" w:eastAsia="Arial" w:hAnsi="Arial"/>
                <w:sz w:val="12"/>
                <w:szCs w:val="12"/>
                <w:color w:val="auto"/>
              </w:rPr>
              <w:t>$</w:t>
            </w:r>
          </w:p>
        </w:tc>
        <w:tc>
          <w:tcPr>
            <w:tcW w:w="94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84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1"/>
        </w:trPr>
        <w:tc>
          <w:tcPr>
            <w:tcW w:w="390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spacing w:after="0"/>
              <w:rPr>
                <w:sz w:val="13"/>
                <w:szCs w:val="13"/>
                <w:color w:val="auto"/>
              </w:rPr>
            </w:pPr>
          </w:p>
        </w:tc>
        <w:tc>
          <w:tcPr>
            <w:tcW w:w="42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9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8"/>
        </w:trPr>
        <w:tc>
          <w:tcPr>
            <w:tcW w:w="4000" w:type="dxa"/>
            <w:vAlign w:val="bottom"/>
            <w:gridSpan w:val="2"/>
          </w:tcPr>
          <w:p>
            <w:pPr>
              <w:spacing w:after="0"/>
              <w:rPr>
                <w:sz w:val="20"/>
                <w:szCs w:val="20"/>
                <w:color w:val="auto"/>
              </w:rPr>
            </w:pPr>
            <w:r>
              <w:rPr>
                <w:rFonts w:ascii="Arial" w:cs="Arial" w:eastAsia="Arial" w:hAnsi="Arial"/>
                <w:sz w:val="12"/>
                <w:szCs w:val="12"/>
                <w:color w:val="auto"/>
              </w:rPr>
              <w:t>Finite life intangible assets:</w:t>
            </w: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8"/>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Customer lists</w:t>
            </w:r>
          </w:p>
        </w:tc>
        <w:tc>
          <w:tcPr>
            <w:tcW w:w="620" w:type="dxa"/>
            <w:vAlign w:val="bottom"/>
            <w:shd w:val="clear" w:color="auto" w:fill="CFF0FC"/>
          </w:tcPr>
          <w:p>
            <w:pPr>
              <w:spacing w:after="0"/>
              <w:rPr>
                <w:sz w:val="13"/>
                <w:szCs w:val="13"/>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2"/>
                <w:szCs w:val="12"/>
                <w:color w:val="auto"/>
                <w:w w:val="87"/>
              </w:rPr>
              <w:t>451,997</w:t>
            </w:r>
          </w:p>
        </w:tc>
        <w:tc>
          <w:tcPr>
            <w:tcW w:w="22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960" w:type="dxa"/>
            <w:vAlign w:val="bottom"/>
            <w:gridSpan w:val="4"/>
            <w:shd w:val="clear" w:color="auto" w:fill="CFF0FC"/>
          </w:tcPr>
          <w:p>
            <w:pPr>
              <w:jc w:val="right"/>
              <w:ind w:right="40"/>
              <w:spacing w:after="0"/>
              <w:rPr>
                <w:sz w:val="20"/>
                <w:szCs w:val="20"/>
                <w:color w:val="auto"/>
              </w:rPr>
            </w:pPr>
            <w:r>
              <w:rPr>
                <w:rFonts w:ascii="Arial" w:cs="Arial" w:eastAsia="Arial" w:hAnsi="Arial"/>
                <w:sz w:val="12"/>
                <w:szCs w:val="12"/>
                <w:color w:val="auto"/>
              </w:rPr>
              <w:t>(69,393)</w:t>
            </w:r>
          </w:p>
        </w:tc>
        <w:tc>
          <w:tcPr>
            <w:tcW w:w="1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421,743</w:t>
            </w:r>
          </w:p>
        </w:tc>
        <w:tc>
          <w:tcPr>
            <w:tcW w:w="14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(46,049)</w:t>
            </w:r>
          </w:p>
        </w:tc>
        <w:tc>
          <w:tcPr>
            <w:tcW w:w="20" w:type="dxa"/>
            <w:vAlign w:val="bottom"/>
          </w:tcPr>
          <w:p>
            <w:pPr>
              <w:spacing w:after="0"/>
              <w:rPr>
                <w:sz w:val="13"/>
                <w:szCs w:val="13"/>
                <w:color w:val="auto"/>
              </w:rPr>
            </w:pPr>
          </w:p>
        </w:tc>
      </w:tr>
      <w:tr>
        <w:trPr>
          <w:trHeight w:val="162"/>
        </w:trPr>
        <w:tc>
          <w:tcPr>
            <w:tcW w:w="4000" w:type="dxa"/>
            <w:vAlign w:val="bottom"/>
            <w:gridSpan w:val="2"/>
          </w:tcPr>
          <w:p>
            <w:pPr>
              <w:spacing w:after="0"/>
              <w:rPr>
                <w:sz w:val="20"/>
                <w:szCs w:val="20"/>
                <w:color w:val="auto"/>
              </w:rPr>
            </w:pPr>
            <w:r>
              <w:rPr>
                <w:rFonts w:ascii="Arial" w:cs="Arial" w:eastAsia="Arial" w:hAnsi="Arial"/>
                <w:sz w:val="12"/>
                <w:szCs w:val="12"/>
                <w:color w:val="auto"/>
              </w:rPr>
              <w:t>Tenant contracts</w:t>
            </w:r>
          </w:p>
        </w:tc>
        <w:tc>
          <w:tcPr>
            <w:tcW w:w="62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2"/>
                <w:szCs w:val="12"/>
                <w:color w:val="auto"/>
              </w:rPr>
              <w:t>37,386</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411</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4"/>
          </w:tcPr>
          <w:p>
            <w:pPr>
              <w:jc w:val="right"/>
              <w:ind w:right="40"/>
              <w:spacing w:after="0"/>
              <w:rPr>
                <w:sz w:val="20"/>
                <w:szCs w:val="20"/>
                <w:color w:val="auto"/>
              </w:rPr>
            </w:pPr>
            <w:r>
              <w:rPr>
                <w:rFonts w:ascii="Arial" w:cs="Arial" w:eastAsia="Arial" w:hAnsi="Arial"/>
                <w:sz w:val="12"/>
                <w:szCs w:val="12"/>
                <w:color w:val="auto"/>
              </w:rPr>
              <w:t>(3,293)</w:t>
            </w: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37,386</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2"/>
                <w:szCs w:val="12"/>
                <w:color w:val="auto"/>
              </w:rPr>
              <w:t>1,141</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2"/>
                <w:szCs w:val="12"/>
                <w:color w:val="auto"/>
              </w:rPr>
              <w:t>(1,605)</w:t>
            </w:r>
          </w:p>
        </w:tc>
        <w:tc>
          <w:tcPr>
            <w:tcW w:w="20" w:type="dxa"/>
            <w:vAlign w:val="bottom"/>
          </w:tcPr>
          <w:p>
            <w:pPr>
              <w:spacing w:after="0"/>
              <w:rPr>
                <w:sz w:val="14"/>
                <w:szCs w:val="14"/>
                <w:color w:val="auto"/>
              </w:rPr>
            </w:pPr>
          </w:p>
        </w:tc>
      </w:tr>
      <w:tr>
        <w:trPr>
          <w:trHeight w:val="162"/>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Network</w:t>
            </w:r>
            <w:r>
              <w:rPr>
                <w:rFonts w:ascii="Arial" w:cs="Arial" w:eastAsia="Arial" w:hAnsi="Arial"/>
                <w:sz w:val="10"/>
                <w:szCs w:val="10"/>
                <w:color w:val="auto"/>
              </w:rPr>
              <w:t>(1)</w:t>
            </w:r>
          </w:p>
        </w:tc>
        <w:tc>
          <w:tcPr>
            <w:tcW w:w="620" w:type="dxa"/>
            <w:vAlign w:val="bottom"/>
            <w:shd w:val="clear" w:color="auto" w:fill="CFF0FC"/>
          </w:tcPr>
          <w:p>
            <w:pPr>
              <w:spacing w:after="0"/>
              <w:rPr>
                <w:sz w:val="14"/>
                <w:szCs w:val="14"/>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13,541</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144</w:t>
            </w: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60" w:type="dxa"/>
            <w:vAlign w:val="bottom"/>
            <w:gridSpan w:val="4"/>
            <w:shd w:val="clear" w:color="auto" w:fill="CFF0FC"/>
          </w:tcPr>
          <w:p>
            <w:pPr>
              <w:jc w:val="right"/>
              <w:ind w:right="40"/>
              <w:spacing w:after="0"/>
              <w:rPr>
                <w:sz w:val="20"/>
                <w:szCs w:val="20"/>
                <w:color w:val="auto"/>
              </w:rPr>
            </w:pPr>
            <w:r>
              <w:rPr>
                <w:rFonts w:ascii="Arial" w:cs="Arial" w:eastAsia="Arial" w:hAnsi="Arial"/>
                <w:sz w:val="12"/>
                <w:szCs w:val="12"/>
                <w:color w:val="auto"/>
              </w:rPr>
              <w:t>(1,192)</w:t>
            </w:r>
          </w:p>
        </w:tc>
        <w:tc>
          <w:tcPr>
            <w:tcW w:w="1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13,541</w:t>
            </w: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410</w:t>
            </w:r>
          </w:p>
        </w:tc>
        <w:tc>
          <w:tcPr>
            <w:tcW w:w="2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(581)</w:t>
            </w:r>
          </w:p>
        </w:tc>
        <w:tc>
          <w:tcPr>
            <w:tcW w:w="20" w:type="dxa"/>
            <w:vAlign w:val="bottom"/>
          </w:tcPr>
          <w:p>
            <w:pPr>
              <w:spacing w:after="0"/>
              <w:rPr>
                <w:sz w:val="14"/>
                <w:szCs w:val="14"/>
                <w:color w:val="auto"/>
              </w:rPr>
            </w:pPr>
          </w:p>
        </w:tc>
      </w:tr>
      <w:tr>
        <w:trPr>
          <w:trHeight w:val="153"/>
        </w:trPr>
        <w:tc>
          <w:tcPr>
            <w:tcW w:w="4000" w:type="dxa"/>
            <w:vAlign w:val="bottom"/>
            <w:gridSpan w:val="2"/>
          </w:tcPr>
          <w:p>
            <w:pPr>
              <w:spacing w:after="0"/>
              <w:rPr>
                <w:sz w:val="20"/>
                <w:szCs w:val="20"/>
                <w:color w:val="auto"/>
              </w:rPr>
            </w:pPr>
            <w:r>
              <w:rPr>
                <w:rFonts w:ascii="Arial" w:cs="Arial" w:eastAsia="Arial" w:hAnsi="Arial"/>
                <w:sz w:val="12"/>
                <w:szCs w:val="12"/>
                <w:color w:val="auto"/>
              </w:rPr>
              <w:t>Acquired below-market leases</w:t>
            </w:r>
          </w:p>
        </w:tc>
        <w:tc>
          <w:tcPr>
            <w:tcW w:w="620" w:type="dxa"/>
            <w:vAlign w:val="bottom"/>
          </w:tcPr>
          <w:p>
            <w:pPr>
              <w:spacing w:after="0"/>
              <w:rPr>
                <w:sz w:val="13"/>
                <w:szCs w:val="13"/>
                <w:color w:val="auto"/>
              </w:rPr>
            </w:pPr>
          </w:p>
        </w:tc>
        <w:tc>
          <w:tcPr>
            <w:tcW w:w="420" w:type="dxa"/>
            <w:vAlign w:val="bottom"/>
          </w:tcPr>
          <w:p>
            <w:pPr>
              <w:jc w:val="right"/>
              <w:spacing w:after="0"/>
              <w:rPr>
                <w:sz w:val="20"/>
                <w:szCs w:val="20"/>
                <w:color w:val="auto"/>
              </w:rPr>
            </w:pPr>
            <w:r>
              <w:rPr>
                <w:rFonts w:ascii="Arial" w:cs="Arial" w:eastAsia="Arial" w:hAnsi="Arial"/>
                <w:sz w:val="12"/>
                <w:szCs w:val="12"/>
                <w:color w:val="auto"/>
              </w:rPr>
              <w:t>1,509</w:t>
            </w: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gridSpan w:val="4"/>
          </w:tcPr>
          <w:p>
            <w:pPr>
              <w:jc w:val="right"/>
              <w:ind w:right="40"/>
              <w:spacing w:after="0"/>
              <w:rPr>
                <w:sz w:val="20"/>
                <w:szCs w:val="20"/>
                <w:color w:val="auto"/>
              </w:rPr>
            </w:pPr>
            <w:r>
              <w:rPr>
                <w:rFonts w:ascii="Arial" w:cs="Arial" w:eastAsia="Arial" w:hAnsi="Arial"/>
                <w:sz w:val="12"/>
                <w:szCs w:val="12"/>
                <w:color w:val="auto"/>
              </w:rPr>
              <w:t>(289)</w:t>
            </w: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1,509</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4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2"/>
                <w:szCs w:val="12"/>
                <w:color w:val="auto"/>
              </w:rPr>
              <w:t>(138)</w:t>
            </w:r>
          </w:p>
        </w:tc>
        <w:tc>
          <w:tcPr>
            <w:tcW w:w="20" w:type="dxa"/>
            <w:vAlign w:val="bottom"/>
          </w:tcPr>
          <w:p>
            <w:pPr>
              <w:spacing w:after="0"/>
              <w:rPr>
                <w:sz w:val="13"/>
                <w:szCs w:val="13"/>
                <w:color w:val="auto"/>
              </w:rPr>
            </w:pPr>
          </w:p>
        </w:tc>
      </w:tr>
      <w:tr>
        <w:trPr>
          <w:trHeight w:val="151"/>
        </w:trPr>
        <w:tc>
          <w:tcPr>
            <w:tcW w:w="390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spacing w:after="0"/>
              <w:rPr>
                <w:sz w:val="13"/>
                <w:szCs w:val="13"/>
                <w:color w:val="auto"/>
              </w:rPr>
            </w:pPr>
          </w:p>
        </w:tc>
        <w:tc>
          <w:tcPr>
            <w:tcW w:w="42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9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26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62"/>
        </w:trPr>
        <w:tc>
          <w:tcPr>
            <w:tcW w:w="4000" w:type="dxa"/>
            <w:vAlign w:val="bottom"/>
            <w:gridSpan w:val="2"/>
          </w:tcPr>
          <w:p>
            <w:pPr>
              <w:spacing w:after="0"/>
              <w:rPr>
                <w:sz w:val="20"/>
                <w:szCs w:val="20"/>
                <w:color w:val="auto"/>
              </w:rPr>
            </w:pPr>
            <w:r>
              <w:rPr>
                <w:rFonts w:ascii="Arial" w:cs="Arial" w:eastAsia="Arial" w:hAnsi="Arial"/>
                <w:sz w:val="12"/>
                <w:szCs w:val="12"/>
                <w:color w:val="auto"/>
              </w:rPr>
              <w:t>Total intangible assets</w:t>
            </w:r>
          </w:p>
        </w:tc>
        <w:tc>
          <w:tcPr>
            <w:tcW w:w="62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2"/>
                <w:szCs w:val="12"/>
                <w:color w:val="auto"/>
                <w:w w:val="87"/>
              </w:rPr>
              <w:t>506,988</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477,730</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Less: Accumulated amortization</w:t>
            </w:r>
          </w:p>
        </w:tc>
        <w:tc>
          <w:tcPr>
            <w:tcW w:w="620" w:type="dxa"/>
            <w:vAlign w:val="bottom"/>
            <w:shd w:val="clear" w:color="auto" w:fill="CFF0FC"/>
          </w:tcPr>
          <w:p>
            <w:pPr>
              <w:spacing w:after="0"/>
              <w:rPr>
                <w:sz w:val="14"/>
                <w:szCs w:val="14"/>
                <w:color w:val="auto"/>
              </w:rPr>
            </w:pPr>
          </w:p>
        </w:tc>
        <w:tc>
          <w:tcPr>
            <w:tcW w:w="6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w w:val="98"/>
              </w:rPr>
              <w:t>(74,167)</w:t>
            </w:r>
          </w:p>
        </w:tc>
        <w:tc>
          <w:tcPr>
            <w:tcW w:w="80" w:type="dxa"/>
            <w:vAlign w:val="bottom"/>
            <w:shd w:val="clear" w:color="auto" w:fill="CFF0FC"/>
          </w:tcPr>
          <w:p>
            <w:pPr>
              <w:spacing w:after="0"/>
              <w:rPr>
                <w:sz w:val="14"/>
                <w:szCs w:val="14"/>
                <w:color w:val="auto"/>
              </w:rPr>
            </w:pPr>
          </w:p>
        </w:tc>
        <w:tc>
          <w:tcPr>
            <w:tcW w:w="9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9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(48,373)</w:t>
            </w:r>
          </w:p>
        </w:tc>
        <w:tc>
          <w:tcPr>
            <w:tcW w:w="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158"/>
        </w:trPr>
        <w:tc>
          <w:tcPr>
            <w:tcW w:w="4000" w:type="dxa"/>
            <w:vAlign w:val="bottom"/>
            <w:tcBorders>
              <w:bottom w:val="single" w:sz="8" w:color="CFF0FC"/>
            </w:tcBorders>
            <w:gridSpan w:val="2"/>
          </w:tcPr>
          <w:p>
            <w:pPr>
              <w:spacing w:after="0"/>
              <w:rPr>
                <w:sz w:val="20"/>
                <w:szCs w:val="20"/>
                <w:color w:val="auto"/>
              </w:rPr>
            </w:pPr>
            <w:r>
              <w:rPr>
                <w:rFonts w:ascii="Arial" w:cs="Arial" w:eastAsia="Arial" w:hAnsi="Arial"/>
                <w:sz w:val="12"/>
                <w:szCs w:val="12"/>
                <w:color w:val="auto"/>
              </w:rPr>
              <w:t>Total intangible assets, net</w:t>
            </w:r>
          </w:p>
        </w:tc>
        <w:tc>
          <w:tcPr>
            <w:tcW w:w="62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w w:val="87"/>
              </w:rPr>
              <w:t>432,821</w:t>
            </w:r>
          </w:p>
        </w:tc>
        <w:tc>
          <w:tcPr>
            <w:tcW w:w="22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94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240" w:type="dxa"/>
            <w:vAlign w:val="bottom"/>
            <w:tcBorders>
              <w:bottom w:val="single" w:sz="8" w:color="CFF0FC"/>
            </w:tcBorders>
          </w:tcPr>
          <w:p>
            <w:pPr>
              <w:spacing w:after="0"/>
              <w:rPr>
                <w:sz w:val="13"/>
                <w:szCs w:val="13"/>
                <w:color w:val="auto"/>
              </w:rPr>
            </w:pPr>
          </w:p>
        </w:tc>
        <w:tc>
          <w:tcPr>
            <w:tcW w:w="200" w:type="dxa"/>
            <w:vAlign w:val="bottom"/>
            <w:tcBorders>
              <w:bottom w:val="single" w:sz="8" w:color="CFF0FC"/>
            </w:tcBorders>
          </w:tcPr>
          <w:p>
            <w:pPr>
              <w:spacing w:after="0"/>
              <w:rPr>
                <w:sz w:val="13"/>
                <w:szCs w:val="13"/>
                <w:color w:val="auto"/>
              </w:rPr>
            </w:pPr>
          </w:p>
        </w:tc>
        <w:tc>
          <w:tcPr>
            <w:tcW w:w="44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429,357</w:t>
            </w:r>
          </w:p>
        </w:tc>
        <w:tc>
          <w:tcPr>
            <w:tcW w:w="14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60" w:type="dxa"/>
            <w:vAlign w:val="bottom"/>
            <w:tcBorders>
              <w:bottom w:val="single" w:sz="8" w:color="CFF0FC"/>
            </w:tcBorders>
          </w:tcPr>
          <w:p>
            <w:pPr>
              <w:spacing w:after="0"/>
              <w:rPr>
                <w:sz w:val="13"/>
                <w:szCs w:val="13"/>
                <w:color w:val="auto"/>
              </w:rPr>
            </w:pPr>
          </w:p>
        </w:tc>
        <w:tc>
          <w:tcPr>
            <w:tcW w:w="60" w:type="dxa"/>
            <w:vAlign w:val="bottom"/>
            <w:tcBorders>
              <w:bottom w:val="single" w:sz="8" w:color="CFF0FC"/>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68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84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r>
      <w:tr>
        <w:trPr>
          <w:trHeight w:val="162"/>
        </w:trPr>
        <w:tc>
          <w:tcPr>
            <w:tcW w:w="39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158"/>
        </w:trPr>
        <w:tc>
          <w:tcPr>
            <w:tcW w:w="4000" w:type="dxa"/>
            <w:vAlign w:val="bottom"/>
            <w:gridSpan w:val="2"/>
          </w:tcPr>
          <w:p>
            <w:pPr>
              <w:spacing w:after="0"/>
              <w:rPr>
                <w:sz w:val="20"/>
                <w:szCs w:val="20"/>
                <w:color w:val="auto"/>
              </w:rPr>
            </w:pPr>
            <w:r>
              <w:rPr>
                <w:rFonts w:ascii="Arial" w:cs="Arial" w:eastAsia="Arial" w:hAnsi="Arial"/>
                <w:sz w:val="12"/>
                <w:szCs w:val="12"/>
                <w:color w:val="auto"/>
              </w:rPr>
              <w:t>Finite life intangible liabilities:</w:t>
            </w: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67"/>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Acquired above-market leases</w:t>
            </w:r>
          </w:p>
        </w:tc>
        <w:tc>
          <w:tcPr>
            <w:tcW w:w="620" w:type="dxa"/>
            <w:vAlign w:val="bottom"/>
            <w:shd w:val="clear" w:color="auto" w:fill="CFF0FC"/>
          </w:tcPr>
          <w:p>
            <w:pPr>
              <w:jc w:val="right"/>
              <w:ind w:right="510"/>
              <w:spacing w:after="0"/>
              <w:rPr>
                <w:sz w:val="20"/>
                <w:szCs w:val="20"/>
                <w:color w:val="auto"/>
              </w:rPr>
            </w:pPr>
            <w:r>
              <w:rPr>
                <w:rFonts w:ascii="Arial" w:cs="Arial" w:eastAsia="Arial" w:hAnsi="Arial"/>
                <w:sz w:val="10"/>
                <w:szCs w:val="10"/>
                <w:color w:val="auto"/>
                <w:w w:val="71"/>
              </w:rPr>
              <w:t>$</w:t>
            </w:r>
          </w:p>
        </w:tc>
        <w:tc>
          <w:tcPr>
            <w:tcW w:w="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3,440</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(182)</w:t>
            </w:r>
          </w:p>
        </w:tc>
        <w:tc>
          <w:tcPr>
            <w:tcW w:w="2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960" w:type="dxa"/>
            <w:vAlign w:val="bottom"/>
            <w:gridSpan w:val="4"/>
            <w:shd w:val="clear" w:color="auto" w:fill="CFF0FC"/>
          </w:tcPr>
          <w:p>
            <w:pPr>
              <w:jc w:val="right"/>
              <w:ind w:right="40"/>
              <w:spacing w:after="0"/>
              <w:rPr>
                <w:sz w:val="20"/>
                <w:szCs w:val="20"/>
                <w:color w:val="auto"/>
              </w:rPr>
            </w:pPr>
            <w:r>
              <w:rPr>
                <w:rFonts w:ascii="Arial" w:cs="Arial" w:eastAsia="Arial" w:hAnsi="Arial"/>
                <w:sz w:val="12"/>
                <w:szCs w:val="12"/>
                <w:color w:val="auto"/>
              </w:rPr>
              <w:t>(624)</w:t>
            </w:r>
          </w:p>
        </w:tc>
        <w:tc>
          <w:tcPr>
            <w:tcW w:w="380" w:type="dxa"/>
            <w:vAlign w:val="bottom"/>
            <w:gridSpan w:val="2"/>
            <w:shd w:val="clear" w:color="auto" w:fill="CFF0FC"/>
          </w:tcPr>
          <w:p>
            <w:pPr>
              <w:jc w:val="right"/>
              <w:ind w:right="130"/>
              <w:spacing w:after="0"/>
              <w:rPr>
                <w:sz w:val="20"/>
                <w:szCs w:val="20"/>
                <w:color w:val="auto"/>
              </w:rPr>
            </w:pPr>
            <w:r>
              <w:rPr>
                <w:rFonts w:ascii="Arial" w:cs="Arial" w:eastAsia="Arial" w:hAnsi="Arial"/>
                <w:sz w:val="12"/>
                <w:szCs w:val="12"/>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3,440</w:t>
            </w:r>
          </w:p>
        </w:tc>
        <w:tc>
          <w:tcPr>
            <w:tcW w:w="140" w:type="dxa"/>
            <w:vAlign w:val="bottom"/>
            <w:shd w:val="clear" w:color="auto" w:fill="CFF0FC"/>
          </w:tcPr>
          <w:p>
            <w:pPr>
              <w:spacing w:after="0"/>
              <w:rPr>
                <w:sz w:val="14"/>
                <w:szCs w:val="14"/>
                <w:color w:val="auto"/>
              </w:rPr>
            </w:pPr>
          </w:p>
        </w:tc>
        <w:tc>
          <w:tcPr>
            <w:tcW w:w="200" w:type="dxa"/>
            <w:vAlign w:val="bottom"/>
            <w:gridSpan w:val="3"/>
            <w:shd w:val="clear" w:color="auto" w:fill="CFF0FC"/>
          </w:tcPr>
          <w:p>
            <w:pPr>
              <w:jc w:val="right"/>
              <w:ind w:right="60"/>
              <w:spacing w:after="0"/>
              <w:rPr>
                <w:sz w:val="20"/>
                <w:szCs w:val="20"/>
                <w:color w:val="auto"/>
              </w:rPr>
            </w:pPr>
            <w:r>
              <w:rPr>
                <w:rFonts w:ascii="Arial" w:cs="Arial" w:eastAsia="Arial" w:hAnsi="Arial"/>
                <w:sz w:val="12"/>
                <w:szCs w:val="12"/>
                <w:color w:val="auto"/>
              </w:rPr>
              <w:t>$</w:t>
            </w: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15</w:t>
            </w:r>
          </w:p>
        </w:tc>
        <w:tc>
          <w:tcPr>
            <w:tcW w:w="44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(317)</w:t>
            </w:r>
          </w:p>
        </w:tc>
        <w:tc>
          <w:tcPr>
            <w:tcW w:w="20" w:type="dxa"/>
            <w:vAlign w:val="bottom"/>
          </w:tcPr>
          <w:p>
            <w:pPr>
              <w:spacing w:after="0"/>
              <w:rPr>
                <w:sz w:val="14"/>
                <w:szCs w:val="14"/>
                <w:color w:val="auto"/>
              </w:rPr>
            </w:pPr>
          </w:p>
        </w:tc>
      </w:tr>
      <w:tr>
        <w:trPr>
          <w:trHeight w:val="151"/>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top w:val="single" w:sz="8" w:color="auto"/>
            </w:tcBorders>
          </w:tcPr>
          <w:p>
            <w:pPr>
              <w:spacing w:after="0"/>
              <w:rPr>
                <w:sz w:val="13"/>
                <w:szCs w:val="13"/>
                <w:color w:val="auto"/>
              </w:rPr>
            </w:pPr>
          </w:p>
        </w:tc>
        <w:tc>
          <w:tcPr>
            <w:tcW w:w="420" w:type="dxa"/>
            <w:vAlign w:val="bottom"/>
            <w:tcBorders>
              <w:top w:val="single" w:sz="8" w:color="auto"/>
            </w:tcBorders>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940" w:type="dxa"/>
            <w:vAlign w:val="bottom"/>
            <w:tcBorders>
              <w:top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800" w:type="dxa"/>
            <w:vAlign w:val="bottom"/>
            <w:tcBorders>
              <w:top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84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62"/>
        </w:trPr>
        <w:tc>
          <w:tcPr>
            <w:tcW w:w="4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Total intangible liabilities</w:t>
            </w:r>
          </w:p>
        </w:tc>
        <w:tc>
          <w:tcPr>
            <w:tcW w:w="620" w:type="dxa"/>
            <w:vAlign w:val="bottom"/>
            <w:shd w:val="clear" w:color="auto" w:fill="CFF0FC"/>
          </w:tcPr>
          <w:p>
            <w:pPr>
              <w:spacing w:after="0"/>
              <w:rPr>
                <w:sz w:val="14"/>
                <w:szCs w:val="14"/>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3,258</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3,455</w:t>
            </w: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000" w:type="dxa"/>
            <w:vAlign w:val="bottom"/>
            <w:gridSpan w:val="2"/>
          </w:tcPr>
          <w:p>
            <w:pPr>
              <w:spacing w:after="0"/>
              <w:rPr>
                <w:sz w:val="20"/>
                <w:szCs w:val="20"/>
                <w:color w:val="auto"/>
              </w:rPr>
            </w:pPr>
            <w:r>
              <w:rPr>
                <w:rFonts w:ascii="Arial" w:cs="Arial" w:eastAsia="Arial" w:hAnsi="Arial"/>
                <w:sz w:val="12"/>
                <w:szCs w:val="12"/>
                <w:color w:val="auto"/>
              </w:rPr>
              <w:t>Less: Accumulated amortization</w:t>
            </w:r>
          </w:p>
        </w:tc>
        <w:tc>
          <w:tcPr>
            <w:tcW w:w="620" w:type="dxa"/>
            <w:vAlign w:val="bottom"/>
          </w:tcPr>
          <w:p>
            <w:pPr>
              <w:spacing w:after="0"/>
              <w:rPr>
                <w:sz w:val="14"/>
                <w:szCs w:val="14"/>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2"/>
                <w:szCs w:val="12"/>
                <w:color w:val="auto"/>
              </w:rPr>
              <w:t>(624)</w:t>
            </w:r>
          </w:p>
        </w:tc>
        <w:tc>
          <w:tcPr>
            <w:tcW w:w="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2"/>
                <w:szCs w:val="12"/>
                <w:color w:val="auto"/>
              </w:rPr>
              <w:t>(317)</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71"/>
        </w:trPr>
        <w:tc>
          <w:tcPr>
            <w:tcW w:w="400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intangible liabilities, net</w:t>
            </w:r>
            <w:r>
              <w:rPr>
                <w:rFonts w:ascii="Arial" w:cs="Arial" w:eastAsia="Arial" w:hAnsi="Arial"/>
                <w:sz w:val="10"/>
                <w:szCs w:val="10"/>
                <w:color w:val="auto"/>
              </w:rPr>
              <w:t>(2)</w:t>
            </w:r>
          </w:p>
        </w:tc>
        <w:tc>
          <w:tcPr>
            <w:tcW w:w="620" w:type="dxa"/>
            <w:vAlign w:val="bottom"/>
            <w:tcBorders>
              <w:top w:val="single" w:sz="8" w:color="auto"/>
              <w:bottom w:val="single" w:sz="8" w:color="auto"/>
            </w:tcBorders>
            <w:shd w:val="clear" w:color="auto" w:fill="CFF0FC"/>
          </w:tcPr>
          <w:p>
            <w:pPr>
              <w:jc w:val="right"/>
              <w:ind w:right="510"/>
              <w:spacing w:after="0"/>
              <w:rPr>
                <w:sz w:val="20"/>
                <w:szCs w:val="20"/>
                <w:color w:val="auto"/>
              </w:rPr>
            </w:pPr>
            <w:r>
              <w:rPr>
                <w:rFonts w:ascii="Arial" w:cs="Arial" w:eastAsia="Arial" w:hAnsi="Arial"/>
                <w:sz w:val="10"/>
                <w:szCs w:val="10"/>
                <w:color w:val="auto"/>
                <w:w w:val="71"/>
              </w:rPr>
              <w:t>$</w:t>
            </w:r>
          </w:p>
        </w:tc>
        <w:tc>
          <w:tcPr>
            <w:tcW w:w="4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2,634</w:t>
            </w:r>
          </w:p>
        </w:tc>
        <w:tc>
          <w:tcPr>
            <w:tcW w:w="220" w:type="dxa"/>
            <w:vAlign w:val="bottom"/>
            <w:tcBorders>
              <w:top w:val="single" w:sz="8" w:color="CFF0FC"/>
              <w:bottom w:val="single" w:sz="8" w:color="CFF0FC"/>
            </w:tcBorders>
            <w:shd w:val="clear" w:color="auto" w:fill="CFF0FC"/>
          </w:tcPr>
          <w:p>
            <w:pPr>
              <w:spacing w:after="0"/>
              <w:rPr>
                <w:sz w:val="14"/>
                <w:szCs w:val="14"/>
                <w:color w:val="auto"/>
              </w:rPr>
            </w:pPr>
          </w:p>
        </w:tc>
        <w:tc>
          <w:tcPr>
            <w:tcW w:w="80" w:type="dxa"/>
            <w:vAlign w:val="bottom"/>
            <w:tcBorders>
              <w:top w:val="single" w:sz="8" w:color="CFF0FC"/>
              <w:bottom w:val="single" w:sz="8" w:color="CFF0FC"/>
            </w:tcBorders>
            <w:shd w:val="clear" w:color="auto" w:fill="CFF0FC"/>
          </w:tcPr>
          <w:p>
            <w:pPr>
              <w:spacing w:after="0"/>
              <w:rPr>
                <w:sz w:val="14"/>
                <w:szCs w:val="14"/>
                <w:color w:val="auto"/>
              </w:rPr>
            </w:pPr>
          </w:p>
        </w:tc>
        <w:tc>
          <w:tcPr>
            <w:tcW w:w="940" w:type="dxa"/>
            <w:vAlign w:val="bottom"/>
            <w:tcBorders>
              <w:top w:val="single" w:sz="8" w:color="CFF0FC"/>
              <w:bottom w:val="single" w:sz="8" w:color="CFF0FC"/>
            </w:tcBorders>
            <w:shd w:val="clear" w:color="auto" w:fill="CFF0FC"/>
          </w:tcPr>
          <w:p>
            <w:pPr>
              <w:spacing w:after="0"/>
              <w:rPr>
                <w:sz w:val="14"/>
                <w:szCs w:val="14"/>
                <w:color w:val="auto"/>
              </w:rPr>
            </w:pPr>
          </w:p>
        </w:tc>
        <w:tc>
          <w:tcPr>
            <w:tcW w:w="140" w:type="dxa"/>
            <w:vAlign w:val="bottom"/>
            <w:tcBorders>
              <w:top w:val="single" w:sz="8" w:color="CFF0FC"/>
              <w:bottom w:val="single" w:sz="8" w:color="CFF0FC"/>
            </w:tcBorders>
            <w:shd w:val="clear" w:color="auto" w:fill="CFF0FC"/>
          </w:tcPr>
          <w:p>
            <w:pPr>
              <w:spacing w:after="0"/>
              <w:rPr>
                <w:sz w:val="14"/>
                <w:szCs w:val="14"/>
                <w:color w:val="auto"/>
              </w:rPr>
            </w:pPr>
          </w:p>
        </w:tc>
        <w:tc>
          <w:tcPr>
            <w:tcW w:w="80" w:type="dxa"/>
            <w:vAlign w:val="bottom"/>
            <w:tcBorders>
              <w:top w:val="single" w:sz="8" w:color="CFF0FC"/>
              <w:bottom w:val="single" w:sz="8" w:color="CFF0FC"/>
            </w:tcBorders>
            <w:shd w:val="clear" w:color="auto" w:fill="CFF0FC"/>
          </w:tcPr>
          <w:p>
            <w:pPr>
              <w:spacing w:after="0"/>
              <w:rPr>
                <w:sz w:val="14"/>
                <w:szCs w:val="14"/>
                <w:color w:val="auto"/>
              </w:rPr>
            </w:pPr>
          </w:p>
        </w:tc>
        <w:tc>
          <w:tcPr>
            <w:tcW w:w="160" w:type="dxa"/>
            <w:vAlign w:val="bottom"/>
            <w:tcBorders>
              <w:top w:val="single" w:sz="8" w:color="CFF0FC"/>
              <w:bottom w:val="single" w:sz="8" w:color="CFF0FC"/>
            </w:tcBorders>
            <w:shd w:val="clear" w:color="auto" w:fill="CFF0FC"/>
          </w:tcPr>
          <w:p>
            <w:pPr>
              <w:spacing w:after="0"/>
              <w:rPr>
                <w:sz w:val="14"/>
                <w:szCs w:val="14"/>
                <w:color w:val="auto"/>
              </w:rPr>
            </w:pPr>
          </w:p>
        </w:tc>
        <w:tc>
          <w:tcPr>
            <w:tcW w:w="240" w:type="dxa"/>
            <w:vAlign w:val="bottom"/>
            <w:tcBorders>
              <w:top w:val="single" w:sz="8" w:color="CFF0FC"/>
              <w:bottom w:val="single" w:sz="8" w:color="CFF0FC"/>
            </w:tcBorders>
            <w:shd w:val="clear" w:color="auto" w:fill="CFF0FC"/>
          </w:tcPr>
          <w:p>
            <w:pPr>
              <w:spacing w:after="0"/>
              <w:rPr>
                <w:sz w:val="14"/>
                <w:szCs w:val="14"/>
                <w:color w:val="auto"/>
              </w:rPr>
            </w:pPr>
          </w:p>
        </w:tc>
        <w:tc>
          <w:tcPr>
            <w:tcW w:w="200" w:type="dxa"/>
            <w:vAlign w:val="bottom"/>
            <w:tcBorders>
              <w:top w:val="single" w:sz="8" w:color="CFF0FC"/>
              <w:bottom w:val="single" w:sz="8" w:color="CFF0FC"/>
            </w:tcBorders>
            <w:shd w:val="clear" w:color="auto" w:fill="CFF0FC"/>
          </w:tcPr>
          <w:p>
            <w:pPr>
              <w:spacing w:after="0"/>
              <w:rPr>
                <w:sz w:val="14"/>
                <w:szCs w:val="14"/>
                <w:color w:val="auto"/>
              </w:rPr>
            </w:pPr>
          </w:p>
        </w:tc>
        <w:tc>
          <w:tcPr>
            <w:tcW w:w="440" w:type="dxa"/>
            <w:vAlign w:val="bottom"/>
            <w:tcBorders>
              <w:top w:val="single" w:sz="8" w:color="CFF0FC"/>
              <w:bottom w:val="single" w:sz="8" w:color="CFF0FC"/>
            </w:tcBorders>
            <w:shd w:val="clear" w:color="auto" w:fill="CFF0FC"/>
          </w:tcPr>
          <w:p>
            <w:pPr>
              <w:spacing w:after="0"/>
              <w:rPr>
                <w:sz w:val="14"/>
                <w:szCs w:val="14"/>
                <w:color w:val="auto"/>
              </w:rPr>
            </w:pPr>
          </w:p>
        </w:tc>
        <w:tc>
          <w:tcPr>
            <w:tcW w:w="80" w:type="dxa"/>
            <w:vAlign w:val="bottom"/>
            <w:tcBorders>
              <w:top w:val="single" w:sz="8" w:color="CFF0FC"/>
              <w:bottom w:val="single" w:sz="8" w:color="CFF0FC"/>
            </w:tcBorders>
            <w:shd w:val="clear" w:color="auto" w:fill="CFF0FC"/>
          </w:tcPr>
          <w:p>
            <w:pPr>
              <w:spacing w:after="0"/>
              <w:rPr>
                <w:sz w:val="14"/>
                <w:szCs w:val="14"/>
                <w:color w:val="auto"/>
              </w:rPr>
            </w:pPr>
          </w:p>
        </w:tc>
        <w:tc>
          <w:tcPr>
            <w:tcW w:w="140" w:type="dxa"/>
            <w:vAlign w:val="bottom"/>
            <w:tcBorders>
              <w:top w:val="single" w:sz="8" w:color="CFF0FC"/>
              <w:bottom w:val="single" w:sz="8" w:color="CFF0FC"/>
            </w:tcBorders>
            <w:shd w:val="clear" w:color="auto" w:fill="CFF0FC"/>
          </w:tcPr>
          <w:p>
            <w:pPr>
              <w:spacing w:after="0"/>
              <w:rPr>
                <w:sz w:val="14"/>
                <w:szCs w:val="14"/>
                <w:color w:val="auto"/>
              </w:rPr>
            </w:pPr>
          </w:p>
        </w:tc>
        <w:tc>
          <w:tcPr>
            <w:tcW w:w="24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3,138</w:t>
            </w:r>
          </w:p>
        </w:tc>
        <w:tc>
          <w:tcPr>
            <w:tcW w:w="140" w:type="dxa"/>
            <w:vAlign w:val="bottom"/>
            <w:tcBorders>
              <w:top w:val="single" w:sz="8" w:color="CFF0FC"/>
              <w:bottom w:val="single" w:sz="8" w:color="CFF0FC"/>
            </w:tcBorders>
            <w:shd w:val="clear" w:color="auto" w:fill="CFF0FC"/>
          </w:tcPr>
          <w:p>
            <w:pPr>
              <w:spacing w:after="0"/>
              <w:rPr>
                <w:sz w:val="14"/>
                <w:szCs w:val="14"/>
                <w:color w:val="auto"/>
              </w:rPr>
            </w:pPr>
          </w:p>
        </w:tc>
        <w:tc>
          <w:tcPr>
            <w:tcW w:w="80" w:type="dxa"/>
            <w:vAlign w:val="bottom"/>
            <w:tcBorders>
              <w:top w:val="single" w:sz="8" w:color="CFF0FC"/>
              <w:bottom w:val="single" w:sz="8" w:color="CFF0FC"/>
            </w:tcBorders>
            <w:shd w:val="clear" w:color="auto" w:fill="CFF0FC"/>
          </w:tcPr>
          <w:p>
            <w:pPr>
              <w:spacing w:after="0"/>
              <w:rPr>
                <w:sz w:val="14"/>
                <w:szCs w:val="14"/>
                <w:color w:val="auto"/>
              </w:rPr>
            </w:pPr>
          </w:p>
        </w:tc>
        <w:tc>
          <w:tcPr>
            <w:tcW w:w="60" w:type="dxa"/>
            <w:vAlign w:val="bottom"/>
            <w:tcBorders>
              <w:top w:val="single" w:sz="8" w:color="CFF0FC"/>
              <w:bottom w:val="single" w:sz="8" w:color="CFF0FC"/>
            </w:tcBorders>
            <w:shd w:val="clear" w:color="auto" w:fill="CFF0FC"/>
          </w:tcPr>
          <w:p>
            <w:pPr>
              <w:spacing w:after="0"/>
              <w:rPr>
                <w:sz w:val="14"/>
                <w:szCs w:val="14"/>
                <w:color w:val="auto"/>
              </w:rPr>
            </w:pPr>
          </w:p>
        </w:tc>
        <w:tc>
          <w:tcPr>
            <w:tcW w:w="60" w:type="dxa"/>
            <w:vAlign w:val="bottom"/>
            <w:tcBorders>
              <w:top w:val="single" w:sz="8" w:color="CFF0FC"/>
              <w:bottom w:val="single" w:sz="8" w:color="CFF0FC"/>
            </w:tcBorders>
            <w:shd w:val="clear" w:color="auto" w:fill="CFF0FC"/>
          </w:tcPr>
          <w:p>
            <w:pPr>
              <w:spacing w:after="0"/>
              <w:rPr>
                <w:sz w:val="14"/>
                <w:szCs w:val="14"/>
                <w:color w:val="auto"/>
              </w:rPr>
            </w:pPr>
          </w:p>
        </w:tc>
        <w:tc>
          <w:tcPr>
            <w:tcW w:w="260" w:type="dxa"/>
            <w:vAlign w:val="bottom"/>
            <w:tcBorders>
              <w:top w:val="single" w:sz="8" w:color="CFF0FC"/>
              <w:bottom w:val="single" w:sz="8" w:color="CFF0FC"/>
            </w:tcBorders>
            <w:shd w:val="clear" w:color="auto" w:fill="CFF0FC"/>
          </w:tcPr>
          <w:p>
            <w:pPr>
              <w:spacing w:after="0"/>
              <w:rPr>
                <w:sz w:val="14"/>
                <w:szCs w:val="14"/>
                <w:color w:val="auto"/>
              </w:rPr>
            </w:pPr>
          </w:p>
        </w:tc>
        <w:tc>
          <w:tcPr>
            <w:tcW w:w="680" w:type="dxa"/>
            <w:vAlign w:val="bottom"/>
            <w:tcBorders>
              <w:top w:val="single" w:sz="8" w:color="CFF0FC"/>
              <w:bottom w:val="single" w:sz="8" w:color="CFF0FC"/>
            </w:tcBorders>
            <w:shd w:val="clear" w:color="auto" w:fill="CFF0FC"/>
          </w:tcPr>
          <w:p>
            <w:pPr>
              <w:spacing w:after="0"/>
              <w:rPr>
                <w:sz w:val="14"/>
                <w:szCs w:val="14"/>
                <w:color w:val="auto"/>
              </w:rPr>
            </w:pPr>
          </w:p>
        </w:tc>
        <w:tc>
          <w:tcPr>
            <w:tcW w:w="220" w:type="dxa"/>
            <w:vAlign w:val="bottom"/>
            <w:tcBorders>
              <w:top w:val="single" w:sz="8" w:color="CFF0FC"/>
              <w:bottom w:val="single" w:sz="8" w:color="CFF0FC"/>
            </w:tcBorders>
            <w:shd w:val="clear" w:color="auto" w:fill="CFF0FC"/>
          </w:tcPr>
          <w:p>
            <w:pPr>
              <w:spacing w:after="0"/>
              <w:rPr>
                <w:sz w:val="14"/>
                <w:szCs w:val="14"/>
                <w:color w:val="auto"/>
              </w:rPr>
            </w:pPr>
          </w:p>
        </w:tc>
        <w:tc>
          <w:tcPr>
            <w:tcW w:w="220" w:type="dxa"/>
            <w:vAlign w:val="bottom"/>
            <w:tcBorders>
              <w:top w:val="single" w:sz="8" w:color="CFF0FC"/>
              <w:bottom w:val="single" w:sz="8" w:color="CFF0FC"/>
            </w:tcBorders>
            <w:shd w:val="clear" w:color="auto" w:fill="CFF0FC"/>
          </w:tcPr>
          <w:p>
            <w:pPr>
              <w:spacing w:after="0"/>
              <w:rPr>
                <w:sz w:val="14"/>
                <w:szCs w:val="14"/>
                <w:color w:val="auto"/>
              </w:rPr>
            </w:pPr>
          </w:p>
        </w:tc>
        <w:tc>
          <w:tcPr>
            <w:tcW w:w="840" w:type="dxa"/>
            <w:vAlign w:val="bottom"/>
            <w:tcBorders>
              <w:top w:val="single" w:sz="8" w:color="CFF0FC"/>
              <w:bottom w:val="single" w:sz="8" w:color="CFF0FC"/>
            </w:tcBorders>
            <w:shd w:val="clear" w:color="auto" w:fill="CFF0FC"/>
          </w:tcPr>
          <w:p>
            <w:pPr>
              <w:spacing w:after="0"/>
              <w:rPr>
                <w:sz w:val="14"/>
                <w:szCs w:val="14"/>
                <w:color w:val="auto"/>
              </w:rPr>
            </w:pPr>
          </w:p>
        </w:tc>
        <w:tc>
          <w:tcPr>
            <w:tcW w:w="120" w:type="dxa"/>
            <w:vAlign w:val="bottom"/>
            <w:tcBorders>
              <w:top w:val="single" w:sz="8" w:color="CFF0FC"/>
              <w:bottom w:val="single" w:sz="8" w:color="CFF0FC"/>
            </w:tcBorders>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275"/>
        </w:trPr>
        <w:tc>
          <w:tcPr>
            <w:tcW w:w="3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940" w:type="dxa"/>
            <w:vAlign w:val="bottom"/>
          </w:tcPr>
          <w:p>
            <w:pPr>
              <w:jc w:val="right"/>
              <w:ind w:right="423"/>
              <w:spacing w:after="0"/>
              <w:rPr>
                <w:sz w:val="20"/>
                <w:szCs w:val="20"/>
                <w:color w:val="auto"/>
              </w:rPr>
            </w:pPr>
            <w:r>
              <w:rPr>
                <w:rFonts w:ascii="Arial" w:cs="Arial" w:eastAsia="Arial" w:hAnsi="Arial"/>
                <w:sz w:val="12"/>
                <w:szCs w:val="12"/>
                <w:color w:val="auto"/>
              </w:rPr>
              <w:t>86</w:t>
            </w: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72"/>
        </w:trPr>
        <w:tc>
          <w:tcPr>
            <w:tcW w:w="390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9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4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0" w:right="179" w:bottom="1440" w:gutter="0" w:footer="0" w:header="0"/>
        </w:sectPr>
      </w:pPr>
    </w:p>
    <w:bookmarkStart w:id="86" w:name="page87"/>
    <w:bookmarkEnd w:id="86"/>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222" w:lineRule="exact"/>
        <w:rPr>
          <w:sz w:val="20"/>
          <w:szCs w:val="20"/>
          <w:color w:val="auto"/>
        </w:rPr>
      </w:pPr>
    </w:p>
    <w:p>
      <w:pPr>
        <w:ind w:left="448" w:hanging="448"/>
        <w:spacing w:after="0"/>
        <w:tabs>
          <w:tab w:leader="none" w:pos="448" w:val="left"/>
        </w:tabs>
        <w:numPr>
          <w:ilvl w:val="0"/>
          <w:numId w:val="12"/>
        </w:numPr>
        <w:rPr>
          <w:rFonts w:ascii="Arial" w:cs="Arial" w:eastAsia="Arial" w:hAnsi="Arial"/>
          <w:sz w:val="10"/>
          <w:szCs w:val="10"/>
          <w:color w:val="auto"/>
        </w:rPr>
      </w:pPr>
      <w:r>
        <w:rPr>
          <w:rFonts w:ascii="Arial" w:cs="Arial" w:eastAsia="Arial" w:hAnsi="Arial"/>
          <w:sz w:val="12"/>
          <w:szCs w:val="12"/>
          <w:color w:val="auto"/>
        </w:rPr>
        <w:t>Reflects the potential to lease additional tower capacity on the existing towers due to their geographical location and capacity as of the valuation date.</w:t>
      </w:r>
    </w:p>
    <w:p>
      <w:pPr>
        <w:spacing w:after="0" w:line="150" w:lineRule="exact"/>
        <w:rPr>
          <w:rFonts w:ascii="Arial" w:cs="Arial" w:eastAsia="Arial" w:hAnsi="Arial"/>
          <w:sz w:val="10"/>
          <w:szCs w:val="10"/>
          <w:color w:val="auto"/>
        </w:rPr>
      </w:pPr>
    </w:p>
    <w:p>
      <w:pPr>
        <w:ind w:left="448" w:hanging="448"/>
        <w:spacing w:after="0"/>
        <w:tabs>
          <w:tab w:leader="none" w:pos="448" w:val="left"/>
        </w:tabs>
        <w:numPr>
          <w:ilvl w:val="0"/>
          <w:numId w:val="12"/>
        </w:numPr>
        <w:rPr>
          <w:rFonts w:ascii="Arial" w:cs="Arial" w:eastAsia="Arial" w:hAnsi="Arial"/>
          <w:sz w:val="10"/>
          <w:szCs w:val="10"/>
          <w:color w:val="auto"/>
        </w:rPr>
      </w:pPr>
      <w:r>
        <w:rPr>
          <w:rFonts w:ascii="Arial" w:cs="Arial" w:eastAsia="Arial" w:hAnsi="Arial"/>
          <w:sz w:val="12"/>
          <w:szCs w:val="12"/>
          <w:color w:val="auto"/>
        </w:rPr>
        <w:t>Recorded in accounts payable, accrued expenses and other liabilities, net on the Consolidated Balance Sheet.</w:t>
      </w:r>
    </w:p>
    <w:p>
      <w:pPr>
        <w:spacing w:after="0" w:line="150" w:lineRule="exact"/>
        <w:rPr>
          <w:sz w:val="20"/>
          <w:szCs w:val="20"/>
          <w:color w:val="auto"/>
        </w:rPr>
      </w:pPr>
    </w:p>
    <w:p>
      <w:pPr>
        <w:ind w:left="8" w:right="200"/>
        <w:spacing w:after="0" w:line="323" w:lineRule="auto"/>
        <w:rPr>
          <w:sz w:val="20"/>
          <w:szCs w:val="20"/>
          <w:color w:val="auto"/>
        </w:rPr>
      </w:pPr>
      <w:r>
        <w:rPr>
          <w:rFonts w:ascii="Arial" w:cs="Arial" w:eastAsia="Arial" w:hAnsi="Arial"/>
          <w:sz w:val="11"/>
          <w:szCs w:val="11"/>
          <w:color w:val="auto"/>
        </w:rPr>
        <w:t>As of December 31, 2018, the remaining weighted average amortization period of the Company’s intangible assets was 18.3 years. Amortization expense for the years ended December 31, 2018, 2017 and 2016 was $25.5 million, $18.3 million and $6.1 million, respectively. Amortization expense is estimated to be $26.6 million in 2019, $26.1 million in 2020, $25.6 million in 2021, $25.2 million in 2022 and $25.1 million in 2023.</w:t>
      </w:r>
    </w:p>
    <w:p>
      <w:pPr>
        <w:spacing w:after="0" w:line="88" w:lineRule="exact"/>
        <w:rPr>
          <w:sz w:val="20"/>
          <w:szCs w:val="20"/>
          <w:color w:val="auto"/>
        </w:rPr>
      </w:pPr>
    </w:p>
    <w:p>
      <w:pPr>
        <w:ind w:left="8"/>
        <w:spacing w:after="0"/>
        <w:rPr>
          <w:sz w:val="20"/>
          <w:szCs w:val="20"/>
          <w:color w:val="auto"/>
        </w:rPr>
      </w:pPr>
      <w:r>
        <w:rPr>
          <w:rFonts w:ascii="Arial" w:cs="Arial" w:eastAsia="Arial" w:hAnsi="Arial"/>
          <w:sz w:val="12"/>
          <w:szCs w:val="12"/>
          <w:b w:val="1"/>
          <w:bCs w:val="1"/>
          <w:color w:val="auto"/>
        </w:rPr>
        <w:t>Note 10. Notes and Other Debt</w:t>
      </w:r>
    </w:p>
    <w:p>
      <w:pPr>
        <w:spacing w:after="0" w:line="154" w:lineRule="exact"/>
        <w:rPr>
          <w:sz w:val="20"/>
          <w:szCs w:val="20"/>
          <w:color w:val="auto"/>
        </w:rPr>
      </w:pPr>
    </w:p>
    <w:p>
      <w:pPr>
        <w:ind w:left="8"/>
        <w:spacing w:after="0"/>
        <w:rPr>
          <w:sz w:val="20"/>
          <w:szCs w:val="20"/>
          <w:color w:val="auto"/>
        </w:rPr>
      </w:pPr>
      <w:r>
        <w:rPr>
          <w:rFonts w:ascii="Arial" w:cs="Arial" w:eastAsia="Arial" w:hAnsi="Arial"/>
          <w:sz w:val="11"/>
          <w:szCs w:val="11"/>
          <w:color w:val="auto"/>
        </w:rPr>
        <w:t>All debt, including the senior secured credit facility and notes described below, are obligations of the Operating Partnership and certain of its subsidiaries as discussed below. The Company is, however, a guarantor of such debt.</w:t>
      </w:r>
    </w:p>
    <w:p>
      <w:pPr>
        <w:spacing w:after="0" w:line="90" w:lineRule="exact"/>
        <w:rPr>
          <w:sz w:val="20"/>
          <w:szCs w:val="20"/>
          <w:color w:val="auto"/>
        </w:rPr>
      </w:pPr>
    </w:p>
    <w:p>
      <w:pPr>
        <w:ind w:left="8"/>
        <w:spacing w:after="0"/>
        <w:rPr>
          <w:sz w:val="20"/>
          <w:szCs w:val="20"/>
          <w:color w:val="auto"/>
        </w:rPr>
      </w:pPr>
      <w:r>
        <w:rPr>
          <w:rFonts w:ascii="Arial" w:cs="Arial" w:eastAsia="Arial" w:hAnsi="Arial"/>
          <w:sz w:val="12"/>
          <w:szCs w:val="12"/>
          <w:color w:val="auto"/>
        </w:rPr>
        <w:t>Notes and other debt is as follows:</w:t>
      </w:r>
    </w:p>
    <w:p>
      <w:pPr>
        <w:spacing w:after="0" w:line="206"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572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4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0" w:type="dxa"/>
            <w:vAlign w:val="bottom"/>
            <w:tcBorders>
              <w:bottom w:val="single" w:sz="8" w:color="CFF0FC"/>
            </w:tcBorders>
          </w:tcPr>
          <w:p>
            <w:pPr>
              <w:spacing w:after="0"/>
              <w:rPr>
                <w:sz w:val="10"/>
                <w:szCs w:val="10"/>
                <w:color w:val="auto"/>
              </w:rPr>
            </w:pPr>
          </w:p>
        </w:tc>
        <w:tc>
          <w:tcPr>
            <w:tcW w:w="1680" w:type="dxa"/>
            <w:vAlign w:val="bottom"/>
            <w:tcBorders>
              <w:bottom w:val="single" w:sz="8" w:color="auto"/>
            </w:tcBorders>
            <w:gridSpan w:val="5"/>
          </w:tcPr>
          <w:p>
            <w:pPr>
              <w:jc w:val="right"/>
              <w:ind w:right="403"/>
              <w:spacing w:after="0"/>
              <w:rPr>
                <w:sz w:val="20"/>
                <w:szCs w:val="20"/>
                <w:color w:val="auto"/>
              </w:rPr>
            </w:pPr>
            <w:r>
              <w:rPr>
                <w:rFonts w:ascii="Arial" w:cs="Arial" w:eastAsia="Arial" w:hAnsi="Arial"/>
                <w:sz w:val="10"/>
                <w:szCs w:val="10"/>
                <w:b w:val="1"/>
                <w:bCs w:val="1"/>
                <w:color w:val="auto"/>
              </w:rPr>
              <w:t>December 31, 2018</w:t>
            </w:r>
          </w:p>
        </w:tc>
        <w:tc>
          <w:tcPr>
            <w:tcW w:w="300" w:type="dxa"/>
            <w:vAlign w:val="bottom"/>
            <w:tcBorders>
              <w:bottom w:val="single" w:sz="8" w:color="CFF0FC"/>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gridSpan w:val="3"/>
          </w:tcPr>
          <w:p>
            <w:pPr>
              <w:jc w:val="right"/>
              <w:ind w:right="361"/>
              <w:spacing w:after="0"/>
              <w:rPr>
                <w:sz w:val="20"/>
                <w:szCs w:val="20"/>
                <w:color w:val="auto"/>
              </w:rPr>
            </w:pPr>
            <w:r>
              <w:rPr>
                <w:rFonts w:ascii="Arial" w:cs="Arial" w:eastAsia="Arial" w:hAnsi="Arial"/>
                <w:sz w:val="10"/>
                <w:szCs w:val="10"/>
                <w:b w:val="1"/>
                <w:bCs w:val="1"/>
                <w:color w:val="auto"/>
              </w:rPr>
              <w:t>December 31, 2017</w:t>
            </w:r>
          </w:p>
        </w:tc>
        <w:tc>
          <w:tcPr>
            <w:tcW w:w="120" w:type="dxa"/>
            <w:vAlign w:val="bottom"/>
            <w:tcBorders>
              <w:bottom w:val="single" w:sz="8" w:color="CFF0FC"/>
            </w:tcBorders>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5720" w:type="dxa"/>
            <w:vAlign w:val="bottom"/>
            <w:shd w:val="clear" w:color="auto" w:fill="CFF0FC"/>
          </w:tcPr>
          <w:p>
            <w:pPr>
              <w:spacing w:after="0"/>
              <w:rPr>
                <w:sz w:val="20"/>
                <w:szCs w:val="20"/>
                <w:color w:val="auto"/>
              </w:rPr>
            </w:pPr>
            <w:r>
              <w:rPr>
                <w:rFonts w:ascii="Arial" w:cs="Arial" w:eastAsia="Arial" w:hAnsi="Arial"/>
                <w:sz w:val="12"/>
                <w:szCs w:val="12"/>
                <w:color w:val="auto"/>
              </w:rPr>
              <w:t>Principal amount</w:t>
            </w:r>
          </w:p>
        </w:tc>
        <w:tc>
          <w:tcPr>
            <w:tcW w:w="1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0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100" w:type="dxa"/>
            <w:vAlign w:val="bottom"/>
            <w:gridSpan w:val="3"/>
            <w:shd w:val="clear" w:color="auto" w:fill="CFF0FC"/>
          </w:tcPr>
          <w:p>
            <w:pPr>
              <w:jc w:val="right"/>
              <w:ind w:right="692"/>
              <w:spacing w:after="0"/>
              <w:rPr>
                <w:sz w:val="20"/>
                <w:szCs w:val="20"/>
                <w:color w:val="auto"/>
              </w:rPr>
            </w:pPr>
            <w:r>
              <w:rPr>
                <w:rFonts w:ascii="Arial" w:cs="Arial" w:eastAsia="Arial" w:hAnsi="Arial"/>
                <w:sz w:val="12"/>
                <w:szCs w:val="12"/>
                <w:color w:val="auto"/>
              </w:rPr>
              <w:t>$</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3"/>
              </w:rPr>
              <w:t>4,965,808</w:t>
            </w:r>
          </w:p>
        </w:tc>
        <w:tc>
          <w:tcPr>
            <w:tcW w:w="50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4,626,887</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5720" w:type="dxa"/>
            <w:vAlign w:val="bottom"/>
          </w:tcPr>
          <w:p>
            <w:pPr>
              <w:spacing w:after="0"/>
              <w:rPr>
                <w:sz w:val="20"/>
                <w:szCs w:val="20"/>
                <w:color w:val="auto"/>
              </w:rPr>
            </w:pPr>
            <w:r>
              <w:rPr>
                <w:rFonts w:ascii="Arial" w:cs="Arial" w:eastAsia="Arial" w:hAnsi="Arial"/>
                <w:sz w:val="12"/>
                <w:szCs w:val="12"/>
                <w:color w:val="auto"/>
              </w:rPr>
              <w:t>Less unamortized discount, premium and debt issuance costs</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gridSpan w:val="2"/>
          </w:tcPr>
          <w:p>
            <w:pPr>
              <w:jc w:val="right"/>
              <w:ind w:right="201"/>
              <w:spacing w:after="0"/>
              <w:rPr>
                <w:sz w:val="20"/>
                <w:szCs w:val="20"/>
                <w:color w:val="auto"/>
              </w:rPr>
            </w:pPr>
            <w:r>
              <w:rPr>
                <w:rFonts w:ascii="Arial" w:cs="Arial" w:eastAsia="Arial" w:hAnsi="Arial"/>
                <w:sz w:val="12"/>
                <w:szCs w:val="12"/>
                <w:color w:val="auto"/>
              </w:rPr>
              <w:t>(119,575)</w:t>
            </w: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2"/>
                <w:szCs w:val="12"/>
                <w:color w:val="auto"/>
              </w:rPr>
              <w:t>(144,190)</w:t>
            </w:r>
          </w:p>
        </w:tc>
        <w:tc>
          <w:tcPr>
            <w:tcW w:w="0" w:type="dxa"/>
            <w:vAlign w:val="bottom"/>
          </w:tcPr>
          <w:p>
            <w:pPr>
              <w:spacing w:after="0"/>
              <w:rPr>
                <w:sz w:val="1"/>
                <w:szCs w:val="1"/>
                <w:color w:val="auto"/>
              </w:rPr>
            </w:pPr>
          </w:p>
        </w:tc>
      </w:tr>
      <w:tr>
        <w:trPr>
          <w:trHeight w:val="20"/>
        </w:trPr>
        <w:tc>
          <w:tcPr>
            <w:tcW w:w="5720" w:type="dxa"/>
            <w:vAlign w:val="bottom"/>
            <w:vMerge w:val="restart"/>
            <w:shd w:val="clear" w:color="auto" w:fill="CFF0FC"/>
          </w:tcPr>
          <w:p>
            <w:pPr>
              <w:spacing w:after="0"/>
              <w:rPr>
                <w:sz w:val="20"/>
                <w:szCs w:val="20"/>
                <w:color w:val="auto"/>
              </w:rPr>
            </w:pPr>
            <w:r>
              <w:rPr>
                <w:rFonts w:ascii="Arial" w:cs="Arial" w:eastAsia="Arial" w:hAnsi="Arial"/>
                <w:sz w:val="12"/>
                <w:szCs w:val="12"/>
                <w:color w:val="auto"/>
              </w:rPr>
              <w:t>Notes and other debt less unamortized discount and debt issuance costs</w:t>
            </w:r>
          </w:p>
        </w:tc>
        <w:tc>
          <w:tcPr>
            <w:tcW w:w="140" w:type="dxa"/>
            <w:vAlign w:val="bottom"/>
            <w:shd w:val="clear" w:color="auto" w:fill="CFF0FC"/>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00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5720" w:type="dxa"/>
            <w:vAlign w:val="bottom"/>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0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100" w:type="dxa"/>
            <w:vAlign w:val="bottom"/>
            <w:gridSpan w:val="3"/>
            <w:shd w:val="clear" w:color="auto" w:fill="CFF0FC"/>
          </w:tcPr>
          <w:p>
            <w:pPr>
              <w:jc w:val="right"/>
              <w:ind w:right="692"/>
              <w:spacing w:after="0"/>
              <w:rPr>
                <w:sz w:val="20"/>
                <w:szCs w:val="20"/>
                <w:color w:val="auto"/>
              </w:rPr>
            </w:pPr>
            <w:r>
              <w:rPr>
                <w:rFonts w:ascii="Arial" w:cs="Arial" w:eastAsia="Arial" w:hAnsi="Arial"/>
                <w:sz w:val="12"/>
                <w:szCs w:val="12"/>
                <w:color w:val="auto"/>
              </w:rPr>
              <w:t>$</w:t>
            </w: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3"/>
              </w:rPr>
              <w:t>4,846,233</w:t>
            </w:r>
          </w:p>
        </w:tc>
        <w:tc>
          <w:tcPr>
            <w:tcW w:w="50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4,482,697</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80"/>
        </w:trPr>
        <w:tc>
          <w:tcPr>
            <w:tcW w:w="5720" w:type="dxa"/>
            <w:vAlign w:val="bottom"/>
            <w:tcBorders>
              <w:top w:val="single" w:sz="8" w:color="CFF0FC"/>
            </w:tcBorders>
          </w:tcPr>
          <w:p>
            <w:pPr>
              <w:spacing w:after="0"/>
              <w:rPr>
                <w:sz w:val="20"/>
                <w:szCs w:val="20"/>
                <w:color w:val="auto"/>
              </w:rPr>
            </w:pPr>
            <w:r>
              <w:rPr>
                <w:rFonts w:ascii="Arial" w:cs="Arial" w:eastAsia="Arial" w:hAnsi="Arial"/>
                <w:sz w:val="12"/>
                <w:szCs w:val="12"/>
                <w:color w:val="auto"/>
              </w:rPr>
              <w:t>Notes and other debt at December 31, 2018 and 2017 consisted of the following:</w:t>
            </w:r>
          </w:p>
        </w:tc>
        <w:tc>
          <w:tcPr>
            <w:tcW w:w="140" w:type="dxa"/>
            <w:vAlign w:val="bottom"/>
            <w:tcBorders>
              <w:top w:val="single" w:sz="8" w:color="CFF0FC"/>
            </w:tcBorders>
          </w:tcPr>
          <w:p>
            <w:pPr>
              <w:spacing w:after="0"/>
              <w:rPr>
                <w:sz w:val="24"/>
                <w:szCs w:val="24"/>
                <w:color w:val="auto"/>
              </w:rPr>
            </w:pPr>
          </w:p>
        </w:tc>
        <w:tc>
          <w:tcPr>
            <w:tcW w:w="260" w:type="dxa"/>
            <w:vAlign w:val="bottom"/>
            <w:tcBorders>
              <w:top w:val="single" w:sz="8" w:color="CFF0FC"/>
            </w:tcBorders>
          </w:tcPr>
          <w:p>
            <w:pPr>
              <w:spacing w:after="0"/>
              <w:rPr>
                <w:sz w:val="24"/>
                <w:szCs w:val="24"/>
                <w:color w:val="auto"/>
              </w:rPr>
            </w:pPr>
          </w:p>
        </w:tc>
        <w:tc>
          <w:tcPr>
            <w:tcW w:w="1000" w:type="dxa"/>
            <w:vAlign w:val="bottom"/>
            <w:tcBorders>
              <w:top w:val="single" w:sz="8" w:color="CFF0FC"/>
            </w:tcBorders>
          </w:tcPr>
          <w:p>
            <w:pPr>
              <w:spacing w:after="0"/>
              <w:rPr>
                <w:sz w:val="24"/>
                <w:szCs w:val="24"/>
                <w:color w:val="auto"/>
              </w:rPr>
            </w:pPr>
          </w:p>
        </w:tc>
        <w:tc>
          <w:tcPr>
            <w:tcW w:w="240" w:type="dxa"/>
            <w:vAlign w:val="bottom"/>
            <w:tcBorders>
              <w:top w:val="single" w:sz="8" w:color="CFF0FC"/>
            </w:tcBorders>
          </w:tcPr>
          <w:p>
            <w:pPr>
              <w:spacing w:after="0"/>
              <w:rPr>
                <w:sz w:val="24"/>
                <w:szCs w:val="24"/>
                <w:color w:val="auto"/>
              </w:rPr>
            </w:pPr>
          </w:p>
        </w:tc>
        <w:tc>
          <w:tcPr>
            <w:tcW w:w="100" w:type="dxa"/>
            <w:vAlign w:val="bottom"/>
            <w:tcBorders>
              <w:top w:val="single" w:sz="8" w:color="CFF0FC"/>
            </w:tcBorders>
          </w:tcPr>
          <w:p>
            <w:pPr>
              <w:spacing w:after="0"/>
              <w:rPr>
                <w:sz w:val="24"/>
                <w:szCs w:val="24"/>
                <w:color w:val="auto"/>
              </w:rPr>
            </w:pPr>
          </w:p>
        </w:tc>
        <w:tc>
          <w:tcPr>
            <w:tcW w:w="100" w:type="dxa"/>
            <w:vAlign w:val="bottom"/>
            <w:tcBorders>
              <w:top w:val="single" w:sz="8" w:color="CFF0FC"/>
            </w:tcBorders>
          </w:tcPr>
          <w:p>
            <w:pPr>
              <w:spacing w:after="0"/>
              <w:rPr>
                <w:sz w:val="24"/>
                <w:szCs w:val="24"/>
                <w:color w:val="auto"/>
              </w:rPr>
            </w:pPr>
          </w:p>
        </w:tc>
        <w:tc>
          <w:tcPr>
            <w:tcW w:w="200" w:type="dxa"/>
            <w:vAlign w:val="bottom"/>
            <w:tcBorders>
              <w:top w:val="single" w:sz="8" w:color="CFF0FC"/>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300" w:type="dxa"/>
            <w:vAlign w:val="bottom"/>
            <w:tcBorders>
              <w:top w:val="single" w:sz="8" w:color="CFF0FC"/>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5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580" w:type="dxa"/>
            <w:vAlign w:val="bottom"/>
            <w:gridSpan w:val="7"/>
          </w:tcPr>
          <w:p>
            <w:pPr>
              <w:jc w:val="right"/>
              <w:ind w:right="1100"/>
              <w:spacing w:after="0"/>
              <w:rPr>
                <w:sz w:val="20"/>
                <w:szCs w:val="20"/>
                <w:color w:val="auto"/>
              </w:rPr>
            </w:pPr>
            <w:r>
              <w:rPr>
                <w:rFonts w:ascii="Arial" w:cs="Arial" w:eastAsia="Arial" w:hAnsi="Arial"/>
                <w:sz w:val="10"/>
                <w:szCs w:val="10"/>
                <w:b w:val="1"/>
                <w:bCs w:val="1"/>
                <w:color w:val="auto"/>
              </w:rPr>
              <w:t>December 31, 2018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40" w:type="dxa"/>
            <w:vAlign w:val="bottom"/>
            <w:gridSpan w:val="6"/>
          </w:tcPr>
          <w:p>
            <w:pPr>
              <w:jc w:val="right"/>
              <w:ind w:right="1020"/>
              <w:spacing w:after="0"/>
              <w:rPr>
                <w:sz w:val="20"/>
                <w:szCs w:val="20"/>
                <w:color w:val="auto"/>
              </w:rPr>
            </w:pPr>
            <w:r>
              <w:rPr>
                <w:rFonts w:ascii="Arial" w:cs="Arial" w:eastAsia="Arial" w:hAnsi="Arial"/>
                <w:sz w:val="10"/>
                <w:szCs w:val="10"/>
                <w:b w:val="1"/>
                <w:bCs w:val="1"/>
                <w:color w:val="auto"/>
              </w:rPr>
              <w:t>December 31, 2017</w:t>
            </w:r>
          </w:p>
        </w:tc>
        <w:tc>
          <w:tcPr>
            <w:tcW w:w="0" w:type="dxa"/>
            <w:vAlign w:val="bottom"/>
          </w:tcPr>
          <w:p>
            <w:pPr>
              <w:spacing w:after="0"/>
              <w:rPr>
                <w:sz w:val="1"/>
                <w:szCs w:val="1"/>
                <w:color w:val="auto"/>
              </w:rPr>
            </w:pPr>
          </w:p>
        </w:tc>
      </w:tr>
      <w:tr>
        <w:trPr>
          <w:trHeight w:val="83"/>
        </w:trPr>
        <w:tc>
          <w:tcPr>
            <w:tcW w:w="57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60" w:type="dxa"/>
            <w:vAlign w:val="bottom"/>
            <w:tcBorders>
              <w:top w:val="single" w:sz="8" w:color="auto"/>
            </w:tcBorders>
          </w:tcPr>
          <w:p>
            <w:pPr>
              <w:spacing w:after="0"/>
              <w:rPr>
                <w:sz w:val="7"/>
                <w:szCs w:val="7"/>
                <w:color w:val="auto"/>
              </w:rPr>
            </w:pPr>
          </w:p>
        </w:tc>
        <w:tc>
          <w:tcPr>
            <w:tcW w:w="1000" w:type="dxa"/>
            <w:vAlign w:val="bottom"/>
            <w:tcBorders>
              <w:top w:val="single" w:sz="8" w:color="auto"/>
            </w:tcBorders>
          </w:tcPr>
          <w:p>
            <w:pPr>
              <w:spacing w:after="0"/>
              <w:rPr>
                <w:sz w:val="7"/>
                <w:szCs w:val="7"/>
                <w:color w:val="auto"/>
              </w:rPr>
            </w:pPr>
          </w:p>
        </w:tc>
        <w:tc>
          <w:tcPr>
            <w:tcW w:w="240" w:type="dxa"/>
            <w:vAlign w:val="bottom"/>
            <w:tcBorders>
              <w:top w:val="single" w:sz="8" w:color="auto"/>
            </w:tcBorders>
          </w:tcPr>
          <w:p>
            <w:pPr>
              <w:spacing w:after="0"/>
              <w:rPr>
                <w:sz w:val="7"/>
                <w:szCs w:val="7"/>
                <w:color w:val="auto"/>
              </w:rPr>
            </w:pPr>
          </w:p>
        </w:tc>
        <w:tc>
          <w:tcPr>
            <w:tcW w:w="100" w:type="dxa"/>
            <w:vAlign w:val="bottom"/>
            <w:tcBorders>
              <w:top w:val="single" w:sz="8" w:color="auto"/>
            </w:tcBorders>
          </w:tcPr>
          <w:p>
            <w:pPr>
              <w:spacing w:after="0"/>
              <w:rPr>
                <w:sz w:val="7"/>
                <w:szCs w:val="7"/>
                <w:color w:val="auto"/>
              </w:rPr>
            </w:pPr>
          </w:p>
        </w:tc>
        <w:tc>
          <w:tcPr>
            <w:tcW w:w="1100" w:type="dxa"/>
            <w:vAlign w:val="bottom"/>
            <w:tcBorders>
              <w:top w:val="single" w:sz="8" w:color="auto"/>
            </w:tcBorders>
            <w:gridSpan w:val="3"/>
          </w:tcPr>
          <w:p>
            <w:pPr>
              <w:jc w:val="center"/>
              <w:ind w:right="52"/>
              <w:spacing w:after="0" w:line="83" w:lineRule="exact"/>
              <w:rPr>
                <w:sz w:val="20"/>
                <w:szCs w:val="20"/>
                <w:color w:val="auto"/>
              </w:rPr>
            </w:pPr>
            <w:r>
              <w:rPr>
                <w:rFonts w:ascii="Arial" w:cs="Arial" w:eastAsia="Arial" w:hAnsi="Arial"/>
                <w:sz w:val="8"/>
                <w:szCs w:val="8"/>
                <w:b w:val="1"/>
                <w:bCs w:val="1"/>
                <w:color w:val="auto"/>
              </w:rPr>
              <w:t>Unamortized Discount,</w:t>
            </w: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Borders>
              <w:top w:val="single" w:sz="8" w:color="auto"/>
            </w:tcBorders>
          </w:tcPr>
          <w:p>
            <w:pPr>
              <w:spacing w:after="0"/>
              <w:rPr>
                <w:sz w:val="7"/>
                <w:szCs w:val="7"/>
                <w:color w:val="auto"/>
              </w:rPr>
            </w:pPr>
          </w:p>
        </w:tc>
        <w:tc>
          <w:tcPr>
            <w:tcW w:w="520" w:type="dxa"/>
            <w:vAlign w:val="bottom"/>
            <w:tcBorders>
              <w:top w:val="single" w:sz="8" w:color="auto"/>
            </w:tcBorders>
          </w:tcPr>
          <w:p>
            <w:pPr>
              <w:spacing w:after="0"/>
              <w:rPr>
                <w:sz w:val="7"/>
                <w:szCs w:val="7"/>
                <w:color w:val="auto"/>
              </w:rPr>
            </w:pPr>
          </w:p>
        </w:tc>
        <w:tc>
          <w:tcPr>
            <w:tcW w:w="3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240" w:type="dxa"/>
            <w:vAlign w:val="bottom"/>
            <w:tcBorders>
              <w:top w:val="single" w:sz="8" w:color="auto"/>
            </w:tcBorders>
          </w:tcPr>
          <w:p>
            <w:pPr>
              <w:spacing w:after="0"/>
              <w:rPr>
                <w:sz w:val="7"/>
                <w:szCs w:val="7"/>
                <w:color w:val="auto"/>
              </w:rPr>
            </w:pPr>
          </w:p>
        </w:tc>
        <w:tc>
          <w:tcPr>
            <w:tcW w:w="120" w:type="dxa"/>
            <w:vAlign w:val="bottom"/>
            <w:tcBorders>
              <w:top w:val="single" w:sz="8" w:color="auto"/>
            </w:tcBorders>
          </w:tcPr>
          <w:p>
            <w:pPr>
              <w:spacing w:after="0"/>
              <w:rPr>
                <w:sz w:val="7"/>
                <w:szCs w:val="7"/>
                <w:color w:val="auto"/>
              </w:rPr>
            </w:pPr>
          </w:p>
        </w:tc>
        <w:tc>
          <w:tcPr>
            <w:tcW w:w="106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5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340" w:type="dxa"/>
            <w:vAlign w:val="bottom"/>
            <w:gridSpan w:val="5"/>
          </w:tcPr>
          <w:p>
            <w:pPr>
              <w:jc w:val="center"/>
              <w:ind w:right="140"/>
              <w:spacing w:after="0" w:line="99" w:lineRule="exact"/>
              <w:rPr>
                <w:sz w:val="20"/>
                <w:szCs w:val="20"/>
                <w:color w:val="auto"/>
              </w:rPr>
            </w:pPr>
            <w:r>
              <w:rPr>
                <w:rFonts w:ascii="Arial" w:cs="Arial" w:eastAsia="Arial" w:hAnsi="Arial"/>
                <w:sz w:val="10"/>
                <w:szCs w:val="10"/>
                <w:b w:val="1"/>
                <w:bCs w:val="1"/>
                <w:color w:val="auto"/>
                <w:w w:val="86"/>
              </w:rPr>
              <w:t>Premium and Debt Issuance</w:t>
            </w: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300" w:type="dxa"/>
            <w:vAlign w:val="bottom"/>
            <w:gridSpan w:val="3"/>
          </w:tcPr>
          <w:p>
            <w:pPr>
              <w:jc w:val="right"/>
              <w:ind w:right="160"/>
              <w:spacing w:after="0" w:line="99" w:lineRule="exact"/>
              <w:rPr>
                <w:sz w:val="20"/>
                <w:szCs w:val="20"/>
                <w:color w:val="auto"/>
              </w:rPr>
            </w:pPr>
            <w:r>
              <w:rPr>
                <w:rFonts w:ascii="Arial" w:cs="Arial" w:eastAsia="Arial" w:hAnsi="Arial"/>
                <w:sz w:val="10"/>
                <w:szCs w:val="10"/>
                <w:b w:val="1"/>
                <w:bCs w:val="1"/>
                <w:color w:val="auto"/>
                <w:w w:val="88"/>
              </w:rPr>
              <w:t>Unamortized Discount and</w:t>
            </w:r>
          </w:p>
        </w:tc>
        <w:tc>
          <w:tcPr>
            <w:tcW w:w="0" w:type="dxa"/>
            <w:vAlign w:val="bottom"/>
          </w:tcPr>
          <w:p>
            <w:pPr>
              <w:spacing w:after="0"/>
              <w:rPr>
                <w:sz w:val="1"/>
                <w:szCs w:val="1"/>
                <w:color w:val="auto"/>
              </w:rPr>
            </w:pPr>
          </w:p>
        </w:tc>
      </w:tr>
      <w:tr>
        <w:trPr>
          <w:trHeight w:val="114"/>
        </w:trPr>
        <w:tc>
          <w:tcPr>
            <w:tcW w:w="5720" w:type="dxa"/>
            <w:vAlign w:val="bottom"/>
          </w:tcPr>
          <w:p>
            <w:pPr>
              <w:spacing w:after="0" w:line="114" w:lineRule="exact"/>
              <w:rPr>
                <w:sz w:val="20"/>
                <w:szCs w:val="20"/>
                <w:color w:val="auto"/>
              </w:rPr>
            </w:pPr>
            <w:r>
              <w:rPr>
                <w:rFonts w:ascii="Arial" w:cs="Arial" w:eastAsia="Arial" w:hAnsi="Arial"/>
                <w:sz w:val="10"/>
                <w:szCs w:val="10"/>
                <w:color w:val="auto"/>
              </w:rPr>
              <w:t>(Thousands)</w:t>
            </w: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40" w:type="dxa"/>
            <w:vAlign w:val="bottom"/>
            <w:gridSpan w:val="2"/>
          </w:tcPr>
          <w:p>
            <w:pPr>
              <w:ind w:left="180"/>
              <w:spacing w:after="0" w:line="114" w:lineRule="exact"/>
              <w:rPr>
                <w:sz w:val="20"/>
                <w:szCs w:val="20"/>
                <w:color w:val="auto"/>
              </w:rPr>
            </w:pPr>
            <w:r>
              <w:rPr>
                <w:rFonts w:ascii="Arial" w:cs="Arial" w:eastAsia="Arial" w:hAnsi="Arial"/>
                <w:sz w:val="10"/>
                <w:szCs w:val="10"/>
                <w:b w:val="1"/>
                <w:bCs w:val="1"/>
                <w:color w:val="auto"/>
              </w:rPr>
              <w:t>Principal</w:t>
            </w: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940" w:type="dxa"/>
            <w:vAlign w:val="bottom"/>
            <w:gridSpan w:val="2"/>
          </w:tcPr>
          <w:p>
            <w:pPr>
              <w:jc w:val="center"/>
              <w:ind w:right="540"/>
              <w:spacing w:after="0" w:line="114" w:lineRule="exact"/>
              <w:rPr>
                <w:sz w:val="20"/>
                <w:szCs w:val="20"/>
                <w:color w:val="auto"/>
              </w:rPr>
            </w:pPr>
            <w:r>
              <w:rPr>
                <w:rFonts w:ascii="Arial" w:cs="Arial" w:eastAsia="Arial" w:hAnsi="Arial"/>
                <w:sz w:val="10"/>
                <w:szCs w:val="10"/>
                <w:b w:val="1"/>
                <w:bCs w:val="1"/>
                <w:color w:val="auto"/>
                <w:w w:val="86"/>
              </w:rPr>
              <w:t>Costs</w:t>
            </w: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gridSpan w:val="3"/>
          </w:tcPr>
          <w:p>
            <w:pPr>
              <w:jc w:val="right"/>
              <w:ind w:right="380"/>
              <w:spacing w:after="0" w:line="114" w:lineRule="exact"/>
              <w:rPr>
                <w:sz w:val="20"/>
                <w:szCs w:val="20"/>
                <w:color w:val="auto"/>
              </w:rPr>
            </w:pPr>
            <w:r>
              <w:rPr>
                <w:rFonts w:ascii="Arial" w:cs="Arial" w:eastAsia="Arial" w:hAnsi="Arial"/>
                <w:sz w:val="10"/>
                <w:szCs w:val="10"/>
                <w:b w:val="1"/>
                <w:bCs w:val="1"/>
                <w:color w:val="auto"/>
              </w:rPr>
              <w:t>Principal</w:t>
            </w: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80" w:type="dxa"/>
            <w:vAlign w:val="bottom"/>
            <w:gridSpan w:val="2"/>
          </w:tcPr>
          <w:p>
            <w:pPr>
              <w:jc w:val="right"/>
              <w:ind w:right="300"/>
              <w:spacing w:after="0" w:line="114" w:lineRule="exact"/>
              <w:rPr>
                <w:sz w:val="20"/>
                <w:szCs w:val="20"/>
                <w:color w:val="auto"/>
              </w:rPr>
            </w:pPr>
            <w:r>
              <w:rPr>
                <w:rFonts w:ascii="Arial" w:cs="Arial" w:eastAsia="Arial" w:hAnsi="Arial"/>
                <w:sz w:val="10"/>
                <w:szCs w:val="10"/>
                <w:b w:val="1"/>
                <w:bCs w:val="1"/>
                <w:color w:val="auto"/>
                <w:w w:val="87"/>
              </w:rPr>
              <w:t>Debt Issuance Costs</w:t>
            </w:r>
          </w:p>
        </w:tc>
        <w:tc>
          <w:tcPr>
            <w:tcW w:w="0" w:type="dxa"/>
            <w:vAlign w:val="bottom"/>
          </w:tcPr>
          <w:p>
            <w:pPr>
              <w:spacing w:after="0"/>
              <w:rPr>
                <w:sz w:val="1"/>
                <w:szCs w:val="1"/>
                <w:color w:val="auto"/>
              </w:rPr>
            </w:pPr>
          </w:p>
        </w:tc>
      </w:tr>
      <w:tr>
        <w:trPr>
          <w:trHeight w:val="133"/>
        </w:trPr>
        <w:tc>
          <w:tcPr>
            <w:tcW w:w="5720" w:type="dxa"/>
            <w:vAlign w:val="bottom"/>
            <w:tcBorders>
              <w:top w:val="single" w:sz="8" w:color="auto"/>
            </w:tcBorders>
            <w:shd w:val="clear" w:color="auto" w:fill="CFF0FC"/>
          </w:tcPr>
          <w:p>
            <w:pPr>
              <w:spacing w:after="0" w:line="133" w:lineRule="exact"/>
              <w:rPr>
                <w:sz w:val="20"/>
                <w:szCs w:val="20"/>
                <w:color w:val="auto"/>
              </w:rPr>
            </w:pPr>
            <w:r>
              <w:rPr>
                <w:rFonts w:ascii="Arial" w:cs="Arial" w:eastAsia="Arial" w:hAnsi="Arial"/>
                <w:sz w:val="12"/>
                <w:szCs w:val="12"/>
                <w:color w:val="auto"/>
              </w:rPr>
              <w:t>Senior secured term loan B - variable rate, due October 24, 2022</w:t>
            </w:r>
          </w:p>
        </w:tc>
        <w:tc>
          <w:tcPr>
            <w:tcW w:w="140" w:type="dxa"/>
            <w:vAlign w:val="bottom"/>
            <w:tcBorders>
              <w:top w:val="single" w:sz="8" w:color="CFF0FC"/>
            </w:tcBorders>
            <w:shd w:val="clear" w:color="auto" w:fill="CFF0FC"/>
          </w:tcPr>
          <w:p>
            <w:pPr>
              <w:spacing w:after="0"/>
              <w:rPr>
                <w:sz w:val="11"/>
                <w:szCs w:val="11"/>
                <w:color w:val="auto"/>
              </w:rPr>
            </w:pPr>
          </w:p>
        </w:tc>
        <w:tc>
          <w:tcPr>
            <w:tcW w:w="260" w:type="dxa"/>
            <w:vAlign w:val="bottom"/>
            <w:tcBorders>
              <w:top w:val="single" w:sz="8" w:color="auto"/>
            </w:tcBorders>
            <w:shd w:val="clear" w:color="auto" w:fill="CFF0FC"/>
          </w:tcPr>
          <w:p>
            <w:pPr>
              <w:spacing w:after="0"/>
              <w:rPr>
                <w:sz w:val="11"/>
                <w:szCs w:val="11"/>
                <w:color w:val="auto"/>
              </w:rPr>
            </w:pPr>
          </w:p>
        </w:tc>
        <w:tc>
          <w:tcPr>
            <w:tcW w:w="1000" w:type="dxa"/>
            <w:vAlign w:val="bottom"/>
            <w:tcBorders>
              <w:top w:val="single" w:sz="8" w:color="auto"/>
            </w:tcBorders>
            <w:shd w:val="clear" w:color="auto" w:fill="CFF0FC"/>
          </w:tcPr>
          <w:p>
            <w:pPr>
              <w:spacing w:after="0"/>
              <w:rPr>
                <w:sz w:val="11"/>
                <w:szCs w:val="11"/>
                <w:color w:val="auto"/>
              </w:rPr>
            </w:pPr>
          </w:p>
        </w:tc>
        <w:tc>
          <w:tcPr>
            <w:tcW w:w="24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200" w:type="dxa"/>
            <w:vAlign w:val="bottom"/>
            <w:tcBorders>
              <w:top w:val="single" w:sz="8" w:color="auto"/>
            </w:tcBorders>
            <w:shd w:val="clear" w:color="auto" w:fill="CFF0FC"/>
          </w:tcPr>
          <w:p>
            <w:pPr>
              <w:spacing w:after="0"/>
              <w:rPr>
                <w:sz w:val="11"/>
                <w:szCs w:val="11"/>
                <w:color w:val="auto"/>
              </w:rPr>
            </w:pPr>
          </w:p>
        </w:tc>
        <w:tc>
          <w:tcPr>
            <w:tcW w:w="800" w:type="dxa"/>
            <w:vAlign w:val="bottom"/>
            <w:tcBorders>
              <w:top w:val="single" w:sz="8" w:color="auto"/>
            </w:tcBorders>
            <w:shd w:val="clear" w:color="auto" w:fill="CFF0FC"/>
          </w:tcPr>
          <w:p>
            <w:pPr>
              <w:spacing w:after="0"/>
              <w:rPr>
                <w:sz w:val="11"/>
                <w:szCs w:val="11"/>
                <w:color w:val="auto"/>
              </w:rPr>
            </w:pPr>
          </w:p>
        </w:tc>
        <w:tc>
          <w:tcPr>
            <w:tcW w:w="14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120" w:type="dxa"/>
            <w:vAlign w:val="bottom"/>
            <w:tcBorders>
              <w:top w:val="single" w:sz="8" w:color="auto"/>
            </w:tcBorders>
            <w:shd w:val="clear" w:color="auto" w:fill="CFF0FC"/>
          </w:tcPr>
          <w:p>
            <w:pPr>
              <w:spacing w:after="0"/>
              <w:rPr>
                <w:sz w:val="11"/>
                <w:szCs w:val="11"/>
                <w:color w:val="auto"/>
              </w:rPr>
            </w:pPr>
          </w:p>
        </w:tc>
        <w:tc>
          <w:tcPr>
            <w:tcW w:w="520" w:type="dxa"/>
            <w:vAlign w:val="bottom"/>
            <w:tcBorders>
              <w:top w:val="single" w:sz="8" w:color="auto"/>
            </w:tcBorders>
            <w:shd w:val="clear" w:color="auto" w:fill="CFF0FC"/>
          </w:tcPr>
          <w:p>
            <w:pPr>
              <w:spacing w:after="0"/>
              <w:rPr>
                <w:sz w:val="11"/>
                <w:szCs w:val="11"/>
                <w:color w:val="auto"/>
              </w:rPr>
            </w:pPr>
          </w:p>
        </w:tc>
        <w:tc>
          <w:tcPr>
            <w:tcW w:w="300" w:type="dxa"/>
            <w:vAlign w:val="bottom"/>
            <w:tcBorders>
              <w:top w:val="single" w:sz="8" w:color="auto"/>
            </w:tcBorders>
            <w:shd w:val="clear" w:color="auto" w:fill="CFF0FC"/>
          </w:tcPr>
          <w:p>
            <w:pPr>
              <w:spacing w:after="0"/>
              <w:rPr>
                <w:sz w:val="11"/>
                <w:szCs w:val="11"/>
                <w:color w:val="auto"/>
              </w:rPr>
            </w:pPr>
          </w:p>
        </w:tc>
        <w:tc>
          <w:tcPr>
            <w:tcW w:w="200" w:type="dxa"/>
            <w:vAlign w:val="bottom"/>
            <w:tcBorders>
              <w:top w:val="single" w:sz="8" w:color="auto"/>
            </w:tcBorders>
            <w:shd w:val="clear" w:color="auto" w:fill="CFF0FC"/>
          </w:tcPr>
          <w:p>
            <w:pPr>
              <w:spacing w:after="0"/>
              <w:rPr>
                <w:sz w:val="11"/>
                <w:szCs w:val="11"/>
                <w:color w:val="auto"/>
              </w:rPr>
            </w:pPr>
          </w:p>
        </w:tc>
        <w:tc>
          <w:tcPr>
            <w:tcW w:w="240" w:type="dxa"/>
            <w:vAlign w:val="bottom"/>
            <w:tcBorders>
              <w:top w:val="single" w:sz="8" w:color="CFF0FC"/>
            </w:tcBorders>
            <w:shd w:val="clear" w:color="auto" w:fill="CFF0FC"/>
          </w:tcPr>
          <w:p>
            <w:pPr>
              <w:spacing w:after="0"/>
              <w:rPr>
                <w:sz w:val="11"/>
                <w:szCs w:val="11"/>
                <w:color w:val="auto"/>
              </w:rPr>
            </w:pPr>
          </w:p>
        </w:tc>
        <w:tc>
          <w:tcPr>
            <w:tcW w:w="120" w:type="dxa"/>
            <w:vAlign w:val="bottom"/>
            <w:tcBorders>
              <w:top w:val="single" w:sz="8" w:color="auto"/>
            </w:tcBorders>
            <w:shd w:val="clear" w:color="auto" w:fill="CFF0FC"/>
          </w:tcPr>
          <w:p>
            <w:pPr>
              <w:spacing w:after="0"/>
              <w:rPr>
                <w:sz w:val="11"/>
                <w:szCs w:val="11"/>
                <w:color w:val="auto"/>
              </w:rPr>
            </w:pPr>
          </w:p>
        </w:tc>
        <w:tc>
          <w:tcPr>
            <w:tcW w:w="106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5720" w:type="dxa"/>
            <w:vAlign w:val="bottom"/>
            <w:shd w:val="clear" w:color="auto" w:fill="CFF0FC"/>
          </w:tcPr>
          <w:p>
            <w:pPr>
              <w:spacing w:after="0"/>
              <w:rPr>
                <w:sz w:val="20"/>
                <w:szCs w:val="20"/>
                <w:color w:val="auto"/>
              </w:rPr>
            </w:pPr>
            <w:r>
              <w:rPr>
                <w:rFonts w:ascii="Arial" w:cs="Arial" w:eastAsia="Arial" w:hAnsi="Arial"/>
                <w:sz w:val="12"/>
                <w:szCs w:val="12"/>
                <w:color w:val="auto"/>
              </w:rPr>
              <w:t>(discount is based on imputed interest rate of 5.66%)</w:t>
            </w:r>
          </w:p>
        </w:tc>
        <w:tc>
          <w:tcPr>
            <w:tcW w:w="400" w:type="dxa"/>
            <w:vAlign w:val="bottom"/>
            <w:gridSpan w:val="2"/>
            <w:shd w:val="clear" w:color="auto" w:fill="CFF0FC"/>
          </w:tcPr>
          <w:p>
            <w:pPr>
              <w:jc w:val="right"/>
              <w:ind w:right="150"/>
              <w:spacing w:after="0"/>
              <w:rPr>
                <w:sz w:val="20"/>
                <w:szCs w:val="20"/>
                <w:color w:val="auto"/>
              </w:rPr>
            </w:pPr>
            <w:r>
              <w:rPr>
                <w:rFonts w:ascii="Arial" w:cs="Arial" w:eastAsia="Arial" w:hAnsi="Arial"/>
                <w:sz w:val="12"/>
                <w:szCs w:val="12"/>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2,065,808</w:t>
            </w:r>
          </w:p>
        </w:tc>
        <w:tc>
          <w:tcPr>
            <w:tcW w:w="240" w:type="dxa"/>
            <w:vAlign w:val="bottom"/>
            <w:shd w:val="clear" w:color="auto" w:fill="CFF0FC"/>
          </w:tcPr>
          <w:p>
            <w:pPr>
              <w:spacing w:after="0"/>
              <w:rPr>
                <w:sz w:val="13"/>
                <w:szCs w:val="13"/>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240" w:type="dxa"/>
            <w:vAlign w:val="bottom"/>
            <w:gridSpan w:val="4"/>
            <w:shd w:val="clear" w:color="auto" w:fill="CFF0FC"/>
          </w:tcPr>
          <w:p>
            <w:pPr>
              <w:jc w:val="right"/>
              <w:ind w:right="100"/>
              <w:spacing w:after="0"/>
              <w:rPr>
                <w:sz w:val="20"/>
                <w:szCs w:val="20"/>
                <w:color w:val="auto"/>
              </w:rPr>
            </w:pPr>
            <w:r>
              <w:rPr>
                <w:rFonts w:ascii="Arial" w:cs="Arial" w:eastAsia="Arial" w:hAnsi="Arial"/>
                <w:sz w:val="12"/>
                <w:szCs w:val="12"/>
                <w:color w:val="auto"/>
              </w:rPr>
              <w:t>(70,337)</w:t>
            </w:r>
          </w:p>
        </w:tc>
        <w:tc>
          <w:tcPr>
            <w:tcW w:w="22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w:t>
            </w:r>
          </w:p>
        </w:tc>
        <w:tc>
          <w:tcPr>
            <w:tcW w:w="520" w:type="dxa"/>
            <w:vAlign w:val="bottom"/>
            <w:shd w:val="clear" w:color="auto" w:fill="CFF0FC"/>
          </w:tcPr>
          <w:p>
            <w:pPr>
              <w:spacing w:after="0"/>
              <w:rPr>
                <w:sz w:val="13"/>
                <w:szCs w:val="13"/>
                <w:color w:val="auto"/>
              </w:rPr>
            </w:pPr>
          </w:p>
        </w:tc>
        <w:tc>
          <w:tcPr>
            <w:tcW w:w="50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w w:val="86"/>
              </w:rPr>
              <w:t>2,086,887</w:t>
            </w:r>
          </w:p>
        </w:tc>
        <w:tc>
          <w:tcPr>
            <w:tcW w:w="360" w:type="dxa"/>
            <w:vAlign w:val="bottom"/>
            <w:gridSpan w:val="2"/>
            <w:shd w:val="clear" w:color="auto" w:fill="CFF0FC"/>
          </w:tcPr>
          <w:p>
            <w:pPr>
              <w:jc w:val="right"/>
              <w:ind w:right="12"/>
              <w:spacing w:after="0"/>
              <w:rPr>
                <w:sz w:val="20"/>
                <w:szCs w:val="20"/>
                <w:color w:val="auto"/>
              </w:rPr>
            </w:pPr>
            <w:r>
              <w:rPr>
                <w:rFonts w:ascii="Arial" w:cs="Arial" w:eastAsia="Arial" w:hAnsi="Arial"/>
                <w:sz w:val="12"/>
                <w:szCs w:val="12"/>
                <w:color w:val="auto"/>
              </w:rPr>
              <w:t>$</w:t>
            </w: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(87,140)</w:t>
            </w:r>
          </w:p>
        </w:tc>
        <w:tc>
          <w:tcPr>
            <w:tcW w:w="0" w:type="dxa"/>
            <w:vAlign w:val="bottom"/>
          </w:tcPr>
          <w:p>
            <w:pPr>
              <w:spacing w:after="0"/>
              <w:rPr>
                <w:sz w:val="1"/>
                <w:szCs w:val="1"/>
                <w:color w:val="auto"/>
              </w:rPr>
            </w:pPr>
          </w:p>
        </w:tc>
      </w:tr>
      <w:tr>
        <w:trPr>
          <w:trHeight w:val="144"/>
        </w:trPr>
        <w:tc>
          <w:tcPr>
            <w:tcW w:w="5720" w:type="dxa"/>
            <w:vAlign w:val="bottom"/>
          </w:tcPr>
          <w:p>
            <w:pPr>
              <w:spacing w:after="0"/>
              <w:rPr>
                <w:sz w:val="20"/>
                <w:szCs w:val="20"/>
                <w:color w:val="auto"/>
              </w:rPr>
            </w:pPr>
            <w:r>
              <w:rPr>
                <w:rFonts w:ascii="Arial" w:cs="Arial" w:eastAsia="Arial" w:hAnsi="Arial"/>
                <w:sz w:val="12"/>
                <w:szCs w:val="12"/>
                <w:color w:val="auto"/>
              </w:rPr>
              <w:t>Senior secured notes - 6.00%, due April 15, 2023</w:t>
            </w: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720" w:type="dxa"/>
            <w:vAlign w:val="bottom"/>
          </w:tcPr>
          <w:p>
            <w:pPr>
              <w:spacing w:after="0"/>
              <w:rPr>
                <w:sz w:val="20"/>
                <w:szCs w:val="20"/>
                <w:color w:val="auto"/>
              </w:rPr>
            </w:pPr>
            <w:r>
              <w:rPr>
                <w:rFonts w:ascii="Arial" w:cs="Arial" w:eastAsia="Arial" w:hAnsi="Arial"/>
                <w:sz w:val="12"/>
                <w:szCs w:val="12"/>
                <w:color w:val="auto"/>
              </w:rPr>
              <w:t>(discount is based on imputed interest rate of 6.29%)</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0" w:type="dxa"/>
            <w:vAlign w:val="bottom"/>
          </w:tcPr>
          <w:p>
            <w:pPr>
              <w:jc w:val="right"/>
              <w:spacing w:after="0"/>
              <w:rPr>
                <w:sz w:val="20"/>
                <w:szCs w:val="20"/>
                <w:color w:val="auto"/>
              </w:rPr>
            </w:pPr>
            <w:r>
              <w:rPr>
                <w:rFonts w:ascii="Arial" w:cs="Arial" w:eastAsia="Arial" w:hAnsi="Arial"/>
                <w:sz w:val="12"/>
                <w:szCs w:val="12"/>
                <w:color w:val="auto"/>
              </w:rPr>
              <w:t>550,000</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gridSpan w:val="4"/>
          </w:tcPr>
          <w:p>
            <w:pPr>
              <w:jc w:val="right"/>
              <w:ind w:right="100"/>
              <w:spacing w:after="0"/>
              <w:rPr>
                <w:sz w:val="20"/>
                <w:szCs w:val="20"/>
                <w:color w:val="auto"/>
              </w:rPr>
            </w:pPr>
            <w:r>
              <w:rPr>
                <w:rFonts w:ascii="Arial" w:cs="Arial" w:eastAsia="Arial" w:hAnsi="Arial"/>
                <w:sz w:val="12"/>
                <w:szCs w:val="12"/>
                <w:color w:val="auto"/>
              </w:rPr>
              <w:t>(7,116)</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2"/>
                <w:szCs w:val="12"/>
                <w:color w:val="auto"/>
              </w:rPr>
              <w:t>550,000</w:t>
            </w: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2"/>
                <w:szCs w:val="12"/>
                <w:color w:val="auto"/>
              </w:rPr>
              <w:t>(8,508)</w:t>
            </w:r>
          </w:p>
        </w:tc>
        <w:tc>
          <w:tcPr>
            <w:tcW w:w="0" w:type="dxa"/>
            <w:vAlign w:val="bottom"/>
          </w:tcPr>
          <w:p>
            <w:pPr>
              <w:spacing w:after="0"/>
              <w:rPr>
                <w:sz w:val="1"/>
                <w:szCs w:val="1"/>
                <w:color w:val="auto"/>
              </w:rPr>
            </w:pPr>
          </w:p>
        </w:tc>
      </w:tr>
      <w:tr>
        <w:trPr>
          <w:trHeight w:val="144"/>
        </w:trPr>
        <w:tc>
          <w:tcPr>
            <w:tcW w:w="5720" w:type="dxa"/>
            <w:vAlign w:val="bottom"/>
            <w:shd w:val="clear" w:color="auto" w:fill="CFF0FC"/>
          </w:tcPr>
          <w:p>
            <w:pPr>
              <w:spacing w:after="0"/>
              <w:rPr>
                <w:sz w:val="20"/>
                <w:szCs w:val="20"/>
                <w:color w:val="auto"/>
              </w:rPr>
            </w:pPr>
            <w:r>
              <w:rPr>
                <w:rFonts w:ascii="Arial" w:cs="Arial" w:eastAsia="Arial" w:hAnsi="Arial"/>
                <w:sz w:val="12"/>
                <w:szCs w:val="12"/>
                <w:color w:val="auto"/>
              </w:rPr>
              <w:t>Senior unsecured notes - 8.25%, due October 15, 2023</w:t>
            </w:r>
          </w:p>
        </w:tc>
        <w:tc>
          <w:tcPr>
            <w:tcW w:w="1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00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52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720" w:type="dxa"/>
            <w:vAlign w:val="bottom"/>
            <w:shd w:val="clear" w:color="auto" w:fill="CFF0FC"/>
          </w:tcPr>
          <w:p>
            <w:pPr>
              <w:spacing w:after="0"/>
              <w:rPr>
                <w:sz w:val="20"/>
                <w:szCs w:val="20"/>
                <w:color w:val="auto"/>
              </w:rPr>
            </w:pPr>
            <w:r>
              <w:rPr>
                <w:rFonts w:ascii="Arial" w:cs="Arial" w:eastAsia="Arial" w:hAnsi="Arial"/>
                <w:sz w:val="12"/>
                <w:szCs w:val="12"/>
                <w:color w:val="auto"/>
              </w:rPr>
              <w:t>(discount is based on imputed interest rate of 9.06%)</w:t>
            </w:r>
          </w:p>
        </w:tc>
        <w:tc>
          <w:tcPr>
            <w:tcW w:w="1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1,110,000</w:t>
            </w:r>
          </w:p>
        </w:tc>
        <w:tc>
          <w:tcPr>
            <w:tcW w:w="2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240" w:type="dxa"/>
            <w:vAlign w:val="bottom"/>
            <w:gridSpan w:val="4"/>
            <w:shd w:val="clear" w:color="auto" w:fill="CFF0FC"/>
          </w:tcPr>
          <w:p>
            <w:pPr>
              <w:jc w:val="right"/>
              <w:ind w:right="100"/>
              <w:spacing w:after="0"/>
              <w:rPr>
                <w:sz w:val="20"/>
                <w:szCs w:val="20"/>
                <w:color w:val="auto"/>
              </w:rPr>
            </w:pPr>
            <w:r>
              <w:rPr>
                <w:rFonts w:ascii="Arial" w:cs="Arial" w:eastAsia="Arial" w:hAnsi="Arial"/>
                <w:sz w:val="12"/>
                <w:szCs w:val="12"/>
                <w:color w:val="auto"/>
              </w:rPr>
              <w:t>(34,900)</w:t>
            </w:r>
          </w:p>
        </w:tc>
        <w:tc>
          <w:tcPr>
            <w:tcW w:w="1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50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w w:val="86"/>
              </w:rPr>
              <w:t>1,110,000</w:t>
            </w:r>
          </w:p>
        </w:tc>
        <w:tc>
          <w:tcPr>
            <w:tcW w:w="2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(40,467)</w:t>
            </w:r>
          </w:p>
        </w:tc>
        <w:tc>
          <w:tcPr>
            <w:tcW w:w="0" w:type="dxa"/>
            <w:vAlign w:val="bottom"/>
          </w:tcPr>
          <w:p>
            <w:pPr>
              <w:spacing w:after="0"/>
              <w:rPr>
                <w:sz w:val="1"/>
                <w:szCs w:val="1"/>
                <w:color w:val="auto"/>
              </w:rPr>
            </w:pPr>
          </w:p>
        </w:tc>
      </w:tr>
      <w:tr>
        <w:trPr>
          <w:trHeight w:val="162"/>
        </w:trPr>
        <w:tc>
          <w:tcPr>
            <w:tcW w:w="5720" w:type="dxa"/>
            <w:vAlign w:val="bottom"/>
            <w:shd w:val="clear" w:color="auto" w:fill="CFF0FC"/>
          </w:tcPr>
          <w:p>
            <w:pPr>
              <w:spacing w:after="0"/>
              <w:rPr>
                <w:sz w:val="20"/>
                <w:szCs w:val="20"/>
                <w:color w:val="auto"/>
              </w:rPr>
            </w:pPr>
            <w:r>
              <w:rPr>
                <w:rFonts w:ascii="Arial" w:cs="Arial" w:eastAsia="Arial" w:hAnsi="Arial"/>
                <w:sz w:val="12"/>
                <w:szCs w:val="12"/>
                <w:color w:val="auto"/>
              </w:rPr>
              <w:t>Senior unsecured notes - 7.125%, due December 15, 2024</w:t>
            </w:r>
          </w:p>
        </w:tc>
        <w:tc>
          <w:tcPr>
            <w:tcW w:w="14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600,000</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240" w:type="dxa"/>
            <w:vAlign w:val="bottom"/>
            <w:gridSpan w:val="4"/>
            <w:shd w:val="clear" w:color="auto" w:fill="CFF0FC"/>
          </w:tcPr>
          <w:p>
            <w:pPr>
              <w:jc w:val="right"/>
              <w:ind w:right="100"/>
              <w:spacing w:after="0"/>
              <w:rPr>
                <w:sz w:val="20"/>
                <w:szCs w:val="20"/>
                <w:color w:val="auto"/>
              </w:rPr>
            </w:pPr>
            <w:r>
              <w:rPr>
                <w:rFonts w:ascii="Arial" w:cs="Arial" w:eastAsia="Arial" w:hAnsi="Arial"/>
                <w:sz w:val="12"/>
                <w:szCs w:val="12"/>
                <w:color w:val="auto"/>
              </w:rPr>
              <w:t>(7,222)</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50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600,000</w:t>
            </w: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(8,075)</w:t>
            </w:r>
          </w:p>
        </w:tc>
        <w:tc>
          <w:tcPr>
            <w:tcW w:w="0" w:type="dxa"/>
            <w:vAlign w:val="bottom"/>
          </w:tcPr>
          <w:p>
            <w:pPr>
              <w:spacing w:after="0"/>
              <w:rPr>
                <w:sz w:val="1"/>
                <w:szCs w:val="1"/>
                <w:color w:val="auto"/>
              </w:rPr>
            </w:pPr>
          </w:p>
        </w:tc>
      </w:tr>
      <w:tr>
        <w:trPr>
          <w:trHeight w:val="162"/>
        </w:trPr>
        <w:tc>
          <w:tcPr>
            <w:tcW w:w="572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Senior secured revolving credit facility, variable rate, due April 24, 2020</w:t>
            </w:r>
          </w:p>
        </w:tc>
        <w:tc>
          <w:tcPr>
            <w:tcW w:w="140" w:type="dxa"/>
            <w:vAlign w:val="bottom"/>
            <w:tcBorders>
              <w:bottom w:val="single" w:sz="8" w:color="CFF0FC"/>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640,000</w:t>
            </w:r>
          </w:p>
        </w:tc>
        <w:tc>
          <w:tcPr>
            <w:tcW w:w="2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2"/>
                <w:szCs w:val="12"/>
                <w:color w:val="auto"/>
              </w:rPr>
              <w:t>-</w:t>
            </w:r>
          </w:p>
        </w:tc>
        <w:tc>
          <w:tcPr>
            <w:tcW w:w="14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2"/>
                <w:szCs w:val="12"/>
                <w:color w:val="auto"/>
              </w:rPr>
              <w:t>280,000</w:t>
            </w:r>
          </w:p>
        </w:tc>
        <w:tc>
          <w:tcPr>
            <w:tcW w:w="24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5720" w:type="dxa"/>
            <w:vAlign w:val="bottom"/>
            <w:shd w:val="clear" w:color="auto" w:fill="CFF0FC"/>
          </w:tcPr>
          <w:p>
            <w:pPr>
              <w:ind w:left="80"/>
              <w:spacing w:after="0"/>
              <w:rPr>
                <w:sz w:val="20"/>
                <w:szCs w:val="20"/>
                <w:color w:val="auto"/>
              </w:rPr>
            </w:pPr>
            <w:r>
              <w:rPr>
                <w:rFonts w:ascii="Arial" w:cs="Arial" w:eastAsia="Arial" w:hAnsi="Arial"/>
                <w:sz w:val="12"/>
                <w:szCs w:val="12"/>
                <w:color w:val="auto"/>
              </w:rPr>
              <w:t>Total</w:t>
            </w:r>
          </w:p>
        </w:tc>
        <w:tc>
          <w:tcPr>
            <w:tcW w:w="140" w:type="dxa"/>
            <w:vAlign w:val="bottom"/>
            <w:shd w:val="clear" w:color="auto" w:fill="CFF0FC"/>
          </w:tcPr>
          <w:p>
            <w:pPr>
              <w:spacing w:after="0"/>
              <w:rPr>
                <w:sz w:val="13"/>
                <w:szCs w:val="13"/>
                <w:color w:val="auto"/>
              </w:rPr>
            </w:pP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4,965,808</w:t>
            </w:r>
          </w:p>
        </w:tc>
        <w:tc>
          <w:tcPr>
            <w:tcW w:w="2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240" w:type="dxa"/>
            <w:vAlign w:val="bottom"/>
            <w:gridSpan w:val="4"/>
            <w:shd w:val="clear" w:color="auto" w:fill="CFF0FC"/>
          </w:tcPr>
          <w:p>
            <w:pPr>
              <w:jc w:val="right"/>
              <w:ind w:right="100"/>
              <w:spacing w:after="0"/>
              <w:rPr>
                <w:sz w:val="20"/>
                <w:szCs w:val="20"/>
                <w:color w:val="auto"/>
              </w:rPr>
            </w:pPr>
            <w:r>
              <w:rPr>
                <w:rFonts w:ascii="Arial" w:cs="Arial" w:eastAsia="Arial" w:hAnsi="Arial"/>
                <w:sz w:val="12"/>
                <w:szCs w:val="12"/>
                <w:color w:val="auto"/>
              </w:rPr>
              <w:t>(119,575)</w:t>
            </w:r>
          </w:p>
        </w:tc>
        <w:tc>
          <w:tcPr>
            <w:tcW w:w="22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w:t>
            </w:r>
          </w:p>
        </w:tc>
        <w:tc>
          <w:tcPr>
            <w:tcW w:w="520" w:type="dxa"/>
            <w:vAlign w:val="bottom"/>
            <w:shd w:val="clear" w:color="auto" w:fill="CFF0FC"/>
          </w:tcPr>
          <w:p>
            <w:pPr>
              <w:spacing w:after="0"/>
              <w:rPr>
                <w:sz w:val="13"/>
                <w:szCs w:val="13"/>
                <w:color w:val="auto"/>
              </w:rPr>
            </w:pPr>
          </w:p>
        </w:tc>
        <w:tc>
          <w:tcPr>
            <w:tcW w:w="50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w w:val="86"/>
              </w:rPr>
              <w:t>4,626,887</w:t>
            </w:r>
          </w:p>
        </w:tc>
        <w:tc>
          <w:tcPr>
            <w:tcW w:w="360" w:type="dxa"/>
            <w:vAlign w:val="bottom"/>
            <w:gridSpan w:val="2"/>
            <w:shd w:val="clear" w:color="auto" w:fill="CFF0FC"/>
          </w:tcPr>
          <w:p>
            <w:pPr>
              <w:jc w:val="right"/>
              <w:ind w:right="12"/>
              <w:spacing w:after="0"/>
              <w:rPr>
                <w:sz w:val="20"/>
                <w:szCs w:val="20"/>
                <w:color w:val="auto"/>
              </w:rPr>
            </w:pPr>
            <w:r>
              <w:rPr>
                <w:rFonts w:ascii="Arial" w:cs="Arial" w:eastAsia="Arial" w:hAnsi="Arial"/>
                <w:sz w:val="12"/>
                <w:szCs w:val="12"/>
                <w:color w:val="auto"/>
              </w:rPr>
              <w:t>$</w:t>
            </w: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(144,190)</w:t>
            </w:r>
          </w:p>
        </w:tc>
        <w:tc>
          <w:tcPr>
            <w:tcW w:w="0" w:type="dxa"/>
            <w:vAlign w:val="bottom"/>
          </w:tcPr>
          <w:p>
            <w:pPr>
              <w:spacing w:after="0"/>
              <w:rPr>
                <w:sz w:val="1"/>
                <w:szCs w:val="1"/>
                <w:color w:val="auto"/>
              </w:rPr>
            </w:pPr>
          </w:p>
        </w:tc>
      </w:tr>
      <w:tr>
        <w:trPr>
          <w:trHeight w:val="27"/>
        </w:trPr>
        <w:tc>
          <w:tcPr>
            <w:tcW w:w="5720" w:type="dxa"/>
            <w:vAlign w:val="bottom"/>
            <w:shd w:val="clear" w:color="auto" w:fill="CFF0FC"/>
          </w:tcPr>
          <w:p>
            <w:pPr>
              <w:spacing w:after="0"/>
              <w:rPr>
                <w:sz w:val="2"/>
                <w:szCs w:val="2"/>
                <w:color w:val="auto"/>
              </w:rPr>
            </w:pPr>
          </w:p>
        </w:tc>
        <w:tc>
          <w:tcPr>
            <w:tcW w:w="140" w:type="dxa"/>
            <w:vAlign w:val="bottom"/>
            <w:shd w:val="clear" w:color="auto" w:fill="CFF0FC"/>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40" w:type="dxa"/>
            <w:vAlign w:val="bottom"/>
            <w:shd w:val="clear" w:color="auto" w:fill="CFF0F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4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40" w:type="dxa"/>
            <w:vAlign w:val="bottom"/>
            <w:shd w:val="clear" w:color="auto" w:fill="CFF0F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79" w:lineRule="exact"/>
        <w:rPr>
          <w:sz w:val="20"/>
          <w:szCs w:val="20"/>
          <w:color w:val="auto"/>
        </w:rPr>
      </w:pPr>
    </w:p>
    <w:p>
      <w:pPr>
        <w:ind w:left="8"/>
        <w:spacing w:after="0"/>
        <w:rPr>
          <w:sz w:val="20"/>
          <w:szCs w:val="20"/>
          <w:color w:val="auto"/>
        </w:rPr>
      </w:pPr>
      <w:r>
        <w:rPr>
          <w:rFonts w:ascii="Arial" w:cs="Arial" w:eastAsia="Arial" w:hAnsi="Arial"/>
          <w:sz w:val="11"/>
          <w:szCs w:val="11"/>
          <w:color w:val="auto"/>
        </w:rPr>
        <w:t>At December 31, 2018, notes and other debt included the following: (i) $2.1 billion under the senior secured term loan B facility that matures on October 24, 2022 (“Term Loan Facility”) pursuant to the credit agreement by and among the</w:t>
      </w:r>
    </w:p>
    <w:p>
      <w:pPr>
        <w:spacing w:after="0" w:line="26" w:lineRule="exact"/>
        <w:rPr>
          <w:sz w:val="20"/>
          <w:szCs w:val="20"/>
          <w:color w:val="auto"/>
        </w:rPr>
      </w:pPr>
    </w:p>
    <w:p>
      <w:pPr>
        <w:ind w:left="8"/>
        <w:spacing w:after="0"/>
        <w:rPr>
          <w:sz w:val="20"/>
          <w:szCs w:val="20"/>
          <w:color w:val="auto"/>
        </w:rPr>
      </w:pPr>
      <w:r>
        <w:rPr>
          <w:rFonts w:ascii="Arial" w:cs="Arial" w:eastAsia="Arial" w:hAnsi="Arial"/>
          <w:sz w:val="11"/>
          <w:szCs w:val="11"/>
          <w:color w:val="auto"/>
        </w:rPr>
        <w:t>Operating Partnership, CSL Capital, LLC and Uniti Group Finance Inc., the guarantors and lenders party thereto and Bank of America, N.A., as administrative agent and collateral agent (the “Credit Agreement”); (ii) $550.0 million</w:t>
      </w:r>
    </w:p>
    <w:p>
      <w:pPr>
        <w:spacing w:after="0" w:line="18" w:lineRule="exact"/>
        <w:rPr>
          <w:sz w:val="20"/>
          <w:szCs w:val="20"/>
          <w:color w:val="auto"/>
        </w:rPr>
      </w:pPr>
    </w:p>
    <w:p>
      <w:pPr>
        <w:ind w:left="8"/>
        <w:spacing w:after="0"/>
        <w:rPr>
          <w:sz w:val="20"/>
          <w:szCs w:val="20"/>
          <w:color w:val="auto"/>
        </w:rPr>
      </w:pPr>
      <w:r>
        <w:rPr>
          <w:rFonts w:ascii="Arial" w:cs="Arial" w:eastAsia="Arial" w:hAnsi="Arial"/>
          <w:sz w:val="11"/>
          <w:szCs w:val="11"/>
          <w:color w:val="auto"/>
        </w:rPr>
        <w:t>aggregate principal amount of 6.00% Senior Secured Notes due April 15, 2023 (the “Secured Notes”); (iii) $1.11 billion aggregate principal amount of 8.25% Senior Unsecured Notes due October 15, 2023 (the “2023 Notes”); and (iv)</w:t>
      </w:r>
    </w:p>
    <w:p>
      <w:pPr>
        <w:spacing w:after="0" w:line="18" w:lineRule="exact"/>
        <w:rPr>
          <w:sz w:val="20"/>
          <w:szCs w:val="20"/>
          <w:color w:val="auto"/>
        </w:rPr>
      </w:pPr>
    </w:p>
    <w:p>
      <w:pPr>
        <w:ind w:left="8"/>
        <w:spacing w:after="0"/>
        <w:rPr>
          <w:sz w:val="20"/>
          <w:szCs w:val="20"/>
          <w:color w:val="auto"/>
        </w:rPr>
      </w:pPr>
      <w:r>
        <w:rPr>
          <w:rFonts w:ascii="Arial" w:cs="Arial" w:eastAsia="Arial" w:hAnsi="Arial"/>
          <w:sz w:val="10"/>
          <w:szCs w:val="10"/>
          <w:color w:val="auto"/>
        </w:rPr>
        <w:t>$600.0 million aggregate principal amount of 7.125% Senior Unsecured Notes due December 15, 2024 (the “2024 Notes” and together with the Secured Notes and 2023 Notes, the “Notes”), and (v) $640.0 million under the senior secured</w:t>
      </w:r>
    </w:p>
    <w:p>
      <w:pPr>
        <w:spacing w:after="0" w:line="29" w:lineRule="exact"/>
        <w:rPr>
          <w:sz w:val="20"/>
          <w:szCs w:val="20"/>
          <w:color w:val="auto"/>
        </w:rPr>
      </w:pPr>
    </w:p>
    <w:p>
      <w:pPr>
        <w:ind w:left="8"/>
        <w:spacing w:after="0"/>
        <w:rPr>
          <w:sz w:val="20"/>
          <w:szCs w:val="20"/>
          <w:color w:val="auto"/>
        </w:rPr>
      </w:pPr>
      <w:r>
        <w:rPr>
          <w:rFonts w:ascii="Arial" w:cs="Arial" w:eastAsia="Arial" w:hAnsi="Arial"/>
          <w:sz w:val="12"/>
          <w:szCs w:val="12"/>
          <w:color w:val="auto"/>
        </w:rPr>
        <w:t>revolving credit facility, variable rate, that matures April 24, 2020 pursuant</w:t>
      </w:r>
    </w:p>
    <w:p>
      <w:pPr>
        <w:spacing w:after="0" w:line="141"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1" w:right="199" w:bottom="1440" w:gutter="0" w:footer="0" w:header="0"/>
        </w:sectPr>
      </w:pPr>
    </w:p>
    <w:bookmarkStart w:id="87" w:name="page88"/>
    <w:bookmarkEnd w:id="8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to the Credit Agreement (the “Revolving Credit Facility” and, together with the Term Loan Facility, the “Facilities”).</w:t>
      </w:r>
    </w:p>
    <w:p>
      <w:pPr>
        <w:spacing w:after="0" w:line="150" w:lineRule="exact"/>
        <w:rPr>
          <w:sz w:val="20"/>
          <w:szCs w:val="20"/>
          <w:color w:val="auto"/>
        </w:rPr>
      </w:pPr>
    </w:p>
    <w:p>
      <w:pPr>
        <w:spacing w:after="0" w:line="320" w:lineRule="auto"/>
        <w:rPr>
          <w:sz w:val="20"/>
          <w:szCs w:val="20"/>
          <w:color w:val="auto"/>
        </w:rPr>
      </w:pPr>
      <w:r>
        <w:rPr>
          <w:rFonts w:ascii="Arial" w:cs="Arial" w:eastAsia="Arial" w:hAnsi="Arial"/>
          <w:sz w:val="10"/>
          <w:szCs w:val="10"/>
          <w:color w:val="auto"/>
        </w:rPr>
        <w:t>During 2017, the Company completed its reorganization (the “up-REIT Reorganization”) to operate through a customary “up-REIT” structure. Under this structure, the Operating Partnership now holds substantially all of the Company’s assets and is the parent company of, among others, CSL Capital, LLC, Uniti Group Finance Inc. and Uniti Fiber Holdings Inc. In connection with the up-REIT Reorganization, the Operating Partnership replaced the Company and assumed its obligations as an obligor under the Notes and Facilities. The Company subsequently became a guarantor of the Notes and Facilities. Because the Operating Partnership is not a corporation, a corporate co-obligor that is a subsidiary of the Operating Partnership was also added to the Notes and Credit Agreement as part of the up-REIT Reorganization. As discussed below, Uniti Group Finance Inc. is the corporate co-obligor under the Credit Agreement and co-issuer of the Secured Notes and the 2023 Notes, and Uniti Fiber Holdings Inc. is the co-issuer of the 2024 Notes. Separate financial statements of the Operating Partnership have not been included since the Operating Partnership is not a registrant.</w:t>
      </w:r>
    </w:p>
    <w:p>
      <w:pPr>
        <w:spacing w:after="0" w:line="98"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Credit Agreement</w:t>
      </w:r>
    </w:p>
    <w:p>
      <w:pPr>
        <w:spacing w:after="0" w:line="150" w:lineRule="exact"/>
        <w:rPr>
          <w:sz w:val="20"/>
          <w:szCs w:val="20"/>
          <w:color w:val="auto"/>
        </w:rPr>
      </w:pPr>
    </w:p>
    <w:p>
      <w:pPr>
        <w:spacing w:after="0" w:line="255" w:lineRule="auto"/>
        <w:rPr>
          <w:sz w:val="20"/>
          <w:szCs w:val="20"/>
          <w:color w:val="auto"/>
        </w:rPr>
      </w:pPr>
      <w:r>
        <w:rPr>
          <w:rFonts w:ascii="Arial" w:cs="Arial" w:eastAsia="Arial" w:hAnsi="Arial"/>
          <w:sz w:val="12"/>
          <w:szCs w:val="12"/>
          <w:color w:val="auto"/>
        </w:rPr>
        <w:t>The Operating Partnership and its wholly-owned subsidiaries, CSL Capital, LLC, and Uniti Group Finance Inc. (collectively, the “Borrowers”) are party to the Credit Agreement, which provides for the Term Loan Facility (in an initial principal amount of $2.14 billion) and the Revolving Credit Facility. The term loans were repriced on February 9, 2017 and now bear interest at a rate equal to LIBOR, subject to a 1.0% floor, plus an applicable margin equal to 3.00%, and are subject to amortization of 1.0% per annum. All obligations under the Credit Agreement are guaranteed by (i) the Company and (ii) certain of the Operating Partnership’s wholly-owned subsidiaries (the “Subsidiary Guarantors”), and are secured by substantially all of the assets of the Borrowers and the Subsidiary Guarantors, which assets also secure the Secured Notes. The Revolving Credit Facility bears interest at a rate equal to LIBOR plus 1.75% to 2.25% based on our consolidated secured leverage ratio, as defined in the Credit Agreement. On April 28, 2017, we amended the Credit Agreement to increase the commitments under our Revolving Credit Facility from $500 million to $750 million. Other terms of the Revolving Credit Facility remain unchanged.</w:t>
      </w:r>
    </w:p>
    <w:p>
      <w:pPr>
        <w:spacing w:after="0" w:line="129" w:lineRule="exact"/>
        <w:rPr>
          <w:sz w:val="20"/>
          <w:szCs w:val="20"/>
          <w:color w:val="auto"/>
        </w:rPr>
      </w:pPr>
    </w:p>
    <w:p>
      <w:pPr>
        <w:ind w:right="60"/>
        <w:spacing w:after="0" w:line="279" w:lineRule="auto"/>
        <w:rPr>
          <w:sz w:val="20"/>
          <w:szCs w:val="20"/>
          <w:color w:val="auto"/>
        </w:rPr>
      </w:pPr>
      <w:r>
        <w:rPr>
          <w:rFonts w:ascii="Arial" w:cs="Arial" w:eastAsia="Arial" w:hAnsi="Arial"/>
          <w:sz w:val="11"/>
          <w:szCs w:val="11"/>
          <w:color w:val="auto"/>
        </w:rPr>
        <w:t>The Borrowers are subject to customary covenants under the Credit Agreement, including an obligation to maintain a consolidated secured leverage ratio, as defined in the Credit Agreement, not to exceed 5.00 to 1.00. We are permitted, subject to customary conditions, to incur (i) incremental term loan borrowings and/or increased commitments under the Credit Agreement in an unlimited amount, so long as, on a pro forma basis after giving effect to any such borrowings or increases, our consolidated secured leverage ratio, as defined in the Credit Agreement, does not exceed 4.00 to 1.00 and (ii) other indebtedness, so long as, on a pro forma basis after giving effect to any such indebtedness, our consolidated total leverage ratio, as defined in the Credit Agreement, does not exceed 6.50 to 1.00 and our consolidated secured leverage ratio, as defined in the Credit Agreement, does not exceed 4.00 to 1.00. In addition, the Credit Agreement contains customary events of default, including a cross default provision whereby the failure of the Borrowers or certain of their subsidiaries to make payments under other debt obligations, or the occurrence of certain events affecting those other borrowing arrangements, could trigger an obligation to repay any amounts outstanding under the Credit Agreement. In particular, a repayment obligation could be triggered if (i) the Borrowers or certain of their subsidiaries fail to make a payment when due of any principal or interest on any other indebtedness aggregating $75.0 million or more, or (ii) an event occurs that causes, or would permit the holders of any other indebtedness aggregating $75.0 million or more to cause, such indebtedness to become due prior to its stated maturity. As of December 31, 2018, the Borrowers were in compliance with all of the covenants under the Credit Agreement. However, we would be in breach of the requirement to deliver audited financial statements without a going concern opinion if we were unable to provide 2018 audited financial statements without a going concern opinion to the lenders under our Credit Agreement by March 31, 2019.</w:t>
      </w:r>
    </w:p>
    <w:p>
      <w:pPr>
        <w:spacing w:after="0" w:line="115" w:lineRule="exact"/>
        <w:rPr>
          <w:sz w:val="20"/>
          <w:szCs w:val="20"/>
          <w:color w:val="auto"/>
        </w:rPr>
      </w:pPr>
    </w:p>
    <w:p>
      <w:pPr>
        <w:ind w:right="20"/>
        <w:spacing w:after="0" w:line="263" w:lineRule="auto"/>
        <w:rPr>
          <w:sz w:val="20"/>
          <w:szCs w:val="20"/>
          <w:color w:val="auto"/>
        </w:rPr>
      </w:pPr>
      <w:r>
        <w:rPr>
          <w:rFonts w:ascii="Arial" w:cs="Arial" w:eastAsia="Arial" w:hAnsi="Arial"/>
          <w:sz w:val="12"/>
          <w:szCs w:val="12"/>
          <w:color w:val="auto"/>
        </w:rPr>
        <w:t>On March 18, 2019, we received a limited waiver from our lenders under our Credit Agreement, waiving an event of default related solely to the receipt of a going concern opinion from our auditors for our 2018 audited financial statements. The limited waiver was issued in connection with the fourth amendment (the “Amendment”) to our Credit Agreement. During the pendency of Windstream’s bankruptcy, or at such earlier time when certain other conditions are specified, the Amendment generally limits our ability under the Credit Agreement to (i) prepay</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88" w:name="page89"/>
    <w:bookmarkEnd w:id="8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jc w:val="both"/>
        <w:ind w:right="120"/>
        <w:spacing w:after="0" w:line="263" w:lineRule="auto"/>
        <w:rPr>
          <w:sz w:val="20"/>
          <w:szCs w:val="20"/>
          <w:color w:val="auto"/>
        </w:rPr>
      </w:pPr>
      <w:r>
        <w:rPr>
          <w:rFonts w:ascii="Arial" w:cs="Arial" w:eastAsia="Arial" w:hAnsi="Arial"/>
          <w:sz w:val="12"/>
          <w:szCs w:val="12"/>
          <w:color w:val="auto"/>
        </w:rPr>
        <w:t>unsecured indebtedness and (ii) pay cash dividends in excess of 90% of our REIT taxable income, determined without regard to the dividends paid deduction and excluding any net capital gains. The Amendment also increases the interest rate on our Term Loan Facility, which will now bear a rate of LIBOR, subject to a 1.0% floor, plus an applicable margin equal to 5.0%, a 200 basis point increase over our previous rate. This increase will be in effect though the remaining term of the facility, which matures on October 24, 2022.</w:t>
      </w:r>
    </w:p>
    <w:p>
      <w:pPr>
        <w:spacing w:after="0" w:line="123" w:lineRule="exact"/>
        <w:rPr>
          <w:sz w:val="20"/>
          <w:szCs w:val="20"/>
          <w:color w:val="auto"/>
        </w:rPr>
      </w:pPr>
    </w:p>
    <w:p>
      <w:pPr>
        <w:ind w:right="440"/>
        <w:spacing w:after="0" w:line="276" w:lineRule="auto"/>
        <w:rPr>
          <w:sz w:val="20"/>
          <w:szCs w:val="20"/>
          <w:color w:val="auto"/>
        </w:rPr>
      </w:pPr>
      <w:r>
        <w:rPr>
          <w:rFonts w:ascii="Arial" w:cs="Arial" w:eastAsia="Arial" w:hAnsi="Arial"/>
          <w:sz w:val="12"/>
          <w:szCs w:val="12"/>
          <w:color w:val="auto"/>
        </w:rPr>
        <w:t>A termination of the Master Lease would result in an “event of default” under the Credit Agreement, if a replacement lease was not entered into within ninety (90) calendar days and we do not maintain pro forma compliance with a consolidated secured leverage ratio, as defined in the Credit Agreement, of 5.00 to 1.00.</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The Notes</w:t>
      </w:r>
    </w:p>
    <w:p>
      <w:pPr>
        <w:spacing w:after="0" w:line="150" w:lineRule="exact"/>
        <w:rPr>
          <w:sz w:val="20"/>
          <w:szCs w:val="20"/>
          <w:color w:val="auto"/>
        </w:rPr>
      </w:pPr>
    </w:p>
    <w:p>
      <w:pPr>
        <w:ind w:right="140"/>
        <w:spacing w:after="0" w:line="298" w:lineRule="auto"/>
        <w:rPr>
          <w:sz w:val="20"/>
          <w:szCs w:val="20"/>
          <w:color w:val="auto"/>
        </w:rPr>
      </w:pPr>
      <w:r>
        <w:rPr>
          <w:rFonts w:ascii="Arial" w:cs="Arial" w:eastAsia="Arial" w:hAnsi="Arial"/>
          <w:sz w:val="11"/>
          <w:szCs w:val="11"/>
          <w:color w:val="auto"/>
        </w:rPr>
        <w:t>The Borrowers, as co-issuers, have outstanding $550 million aggregate principal amount of the Secured Notes, of which $400 million was originally issued on April 24, 2015 at an issue price of 100% of par value and the remaining $150 million was issued on June 9, 2016 at an issue price of 99.25% of the par value as an add-on to the existing Secured Notes. The Borrowers, as co-issuers, also have outstanding $1.11 billion aggregate principal amount of the 2023 Notes that were originally issued on April 24, 2015 at an issue price of 97.055% of par value. The Secured Notes and the 2023 Notes are guaranteed by the Company and the Subsidiary Guarantors.</w:t>
      </w:r>
    </w:p>
    <w:p>
      <w:pPr>
        <w:spacing w:after="0" w:line="105" w:lineRule="exact"/>
        <w:rPr>
          <w:sz w:val="20"/>
          <w:szCs w:val="20"/>
          <w:color w:val="auto"/>
        </w:rPr>
      </w:pPr>
    </w:p>
    <w:p>
      <w:pPr>
        <w:ind w:right="100"/>
        <w:spacing w:after="0" w:line="340" w:lineRule="auto"/>
        <w:rPr>
          <w:sz w:val="20"/>
          <w:szCs w:val="20"/>
          <w:color w:val="auto"/>
        </w:rPr>
      </w:pPr>
      <w:r>
        <w:rPr>
          <w:rFonts w:ascii="Arial" w:cs="Arial" w:eastAsia="Arial" w:hAnsi="Arial"/>
          <w:sz w:val="10"/>
          <w:szCs w:val="10"/>
          <w:color w:val="auto"/>
        </w:rPr>
        <w:t>The Operating Partnership and its wholly-owned subsidiaries, CSL Capital, LLC and Uniti Fiber Holdings Inc., as co-issuers, have outstanding $600 million aggregate principal amount of the 2024 Notes, of which $400 million was originally issued on December 15, 2016 at an issue price of 100% of par value and the remaining $200 million of which was issued on May 8, 2017 at an issue price of 100.50% of par value under a separate indenture and was mandatorily exchanged on August 11, 2017 for 2024 Notes issued as “additional notes” under the indenture governing the 2024 Notes. The 2024 Notes are guaranteed by the Company, Uniti Group Finance Inc. and the Subsidiary Guarantors.</w:t>
      </w:r>
    </w:p>
    <w:p>
      <w:pPr>
        <w:spacing w:after="0" w:line="88" w:lineRule="exact"/>
        <w:rPr>
          <w:sz w:val="20"/>
          <w:szCs w:val="20"/>
          <w:color w:val="auto"/>
        </w:rPr>
      </w:pPr>
    </w:p>
    <w:p>
      <w:pPr>
        <w:ind w:right="60"/>
        <w:spacing w:after="0" w:line="259" w:lineRule="auto"/>
        <w:rPr>
          <w:sz w:val="20"/>
          <w:szCs w:val="20"/>
          <w:color w:val="auto"/>
        </w:rPr>
      </w:pPr>
      <w:r>
        <w:rPr>
          <w:rFonts w:ascii="Arial" w:cs="Arial" w:eastAsia="Arial" w:hAnsi="Arial"/>
          <w:sz w:val="12"/>
          <w:szCs w:val="12"/>
          <w:color w:val="auto"/>
        </w:rPr>
        <w:t>The failure to provide 2018 financial statements without a going concern opinion to the lenders under our Credit Agreement by March 31, 2019 would constitute a breach of the covenants of our Credit Agreement and, absent the waiver by our lenders, would constitute an immediate event of default. If any event of default were to occur under our Credit Agreement and the Credit Agreement’s administrative agent declares all outstanding loans immediately due and payable, such an acceleration would trigger cross-default provisions within the indentures governing our senior notes and thereby entitle the trustee and noteholders to accelerate the repayment of the Secured Notes, the 2023 Notes and the 2024 Notes.</w:t>
      </w:r>
    </w:p>
    <w:p>
      <w:pPr>
        <w:spacing w:after="0" w:line="12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Deferred Financing Cost</w:t>
      </w:r>
    </w:p>
    <w:p>
      <w:pPr>
        <w:spacing w:after="0" w:line="150" w:lineRule="exact"/>
        <w:rPr>
          <w:sz w:val="20"/>
          <w:szCs w:val="20"/>
          <w:color w:val="auto"/>
        </w:rPr>
      </w:pPr>
    </w:p>
    <w:p>
      <w:pPr>
        <w:ind w:right="60"/>
        <w:spacing w:after="0" w:line="263" w:lineRule="auto"/>
        <w:rPr>
          <w:sz w:val="20"/>
          <w:szCs w:val="20"/>
          <w:color w:val="auto"/>
        </w:rPr>
      </w:pPr>
      <w:r>
        <w:rPr>
          <w:rFonts w:ascii="Arial" w:cs="Arial" w:eastAsia="Arial" w:hAnsi="Arial"/>
          <w:sz w:val="12"/>
          <w:szCs w:val="12"/>
          <w:color w:val="auto"/>
        </w:rPr>
        <w:t>Deferred financing costs were incurred in connection with the issuance of the Notes and the Facilities. These costs are amortized using the effective interest method over the term of the related indebtedness, and are included in interest expense in our Consolidated Statements of Income. For the year ended December 31, 2018, 2017 and 2016, we recognized $14.7 million, $13.6 million and $7.8 million of non-cash interest expense, respectively, related to the amortization of deferred financing costs.</w:t>
      </w:r>
    </w:p>
    <w:p>
      <w:pPr>
        <w:spacing w:after="0" w:line="123" w:lineRule="exact"/>
        <w:rPr>
          <w:sz w:val="20"/>
          <w:szCs w:val="20"/>
          <w:color w:val="auto"/>
        </w:rPr>
      </w:pPr>
    </w:p>
    <w:p>
      <w:pPr>
        <w:spacing w:after="0"/>
        <w:rPr>
          <w:sz w:val="20"/>
          <w:szCs w:val="20"/>
          <w:color w:val="auto"/>
        </w:rPr>
      </w:pPr>
      <w:r>
        <w:rPr>
          <w:rFonts w:ascii="Arial" w:cs="Arial" w:eastAsia="Arial" w:hAnsi="Arial"/>
          <w:sz w:val="12"/>
          <w:szCs w:val="12"/>
          <w:color w:val="auto"/>
        </w:rPr>
        <w:t>Aggregate annual maturities of our long-term obligations at December 31, 2018 are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308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6220" w:type="dxa"/>
            <w:vAlign w:val="bottom"/>
            <w:tcBorders>
              <w:bottom w:val="single" w:sz="8" w:color="auto"/>
            </w:tcBorders>
          </w:tcPr>
          <w:p>
            <w:pPr>
              <w:spacing w:after="0"/>
              <w:rPr>
                <w:sz w:val="10"/>
                <w:szCs w:val="10"/>
                <w:color w:val="auto"/>
              </w:rPr>
            </w:pPr>
          </w:p>
        </w:tc>
        <w:tc>
          <w:tcPr>
            <w:tcW w:w="820" w:type="dxa"/>
            <w:vAlign w:val="bottom"/>
            <w:tcBorders>
              <w:bottom w:val="single" w:sz="8" w:color="CFF0FC"/>
            </w:tcBorders>
          </w:tcPr>
          <w:p>
            <w:pPr>
              <w:spacing w:after="0"/>
              <w:rPr>
                <w:sz w:val="10"/>
                <w:szCs w:val="10"/>
                <w:color w:val="auto"/>
              </w:rPr>
            </w:pPr>
          </w:p>
        </w:tc>
        <w:tc>
          <w:tcPr>
            <w:tcW w:w="1240" w:type="dxa"/>
            <w:vAlign w:val="bottom"/>
            <w:tcBorders>
              <w:bottom w:val="single" w:sz="8" w:color="CFF0FC"/>
            </w:tcBorders>
          </w:tcPr>
          <w:p>
            <w:pPr>
              <w:spacing w:after="0"/>
              <w:rPr>
                <w:sz w:val="10"/>
                <w:szCs w:val="10"/>
                <w:color w:val="auto"/>
              </w:rPr>
            </w:pPr>
          </w:p>
        </w:tc>
        <w:tc>
          <w:tcPr>
            <w:tcW w:w="120" w:type="dxa"/>
            <w:vAlign w:val="bottom"/>
            <w:tcBorders>
              <w:bottom w:val="single" w:sz="8" w:color="CFF0FC"/>
            </w:tcBorders>
          </w:tcPr>
          <w:p>
            <w:pPr>
              <w:spacing w:after="0"/>
              <w:rPr>
                <w:sz w:val="10"/>
                <w:szCs w:val="10"/>
                <w:color w:val="auto"/>
              </w:rPr>
            </w:pPr>
          </w:p>
        </w:tc>
        <w:tc>
          <w:tcPr>
            <w:tcW w:w="20" w:type="dxa"/>
            <w:vAlign w:val="bottom"/>
          </w:tcPr>
          <w:p>
            <w:pPr>
              <w:spacing w:after="0"/>
              <w:rPr>
                <w:sz w:val="10"/>
                <w:szCs w:val="10"/>
                <w:color w:val="auto"/>
              </w:rPr>
            </w:pPr>
          </w:p>
        </w:tc>
      </w:tr>
      <w:tr>
        <w:trPr>
          <w:trHeight w:val="142"/>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2019</w:t>
            </w:r>
          </w:p>
        </w:tc>
        <w:tc>
          <w:tcPr>
            <w:tcW w:w="7040" w:type="dxa"/>
            <w:vAlign w:val="bottom"/>
            <w:gridSpan w:val="2"/>
            <w:shd w:val="clear" w:color="auto" w:fill="CFF0FC"/>
          </w:tcPr>
          <w:p>
            <w:pPr>
              <w:jc w:val="right"/>
              <w:ind w:right="760"/>
              <w:spacing w:after="0"/>
              <w:rPr>
                <w:sz w:val="20"/>
                <w:szCs w:val="20"/>
                <w:color w:val="auto"/>
              </w:rPr>
            </w:pPr>
            <w:r>
              <w:rPr>
                <w:rFonts w:ascii="Arial" w:cs="Arial" w:eastAsia="Arial" w:hAnsi="Arial"/>
                <w:sz w:val="12"/>
                <w:szCs w:val="12"/>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21,080</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3080" w:type="dxa"/>
            <w:vAlign w:val="bottom"/>
          </w:tcPr>
          <w:p>
            <w:pPr>
              <w:spacing w:after="0"/>
              <w:rPr>
                <w:sz w:val="20"/>
                <w:szCs w:val="20"/>
                <w:color w:val="auto"/>
              </w:rPr>
            </w:pPr>
            <w:r>
              <w:rPr>
                <w:rFonts w:ascii="Arial" w:cs="Arial" w:eastAsia="Arial" w:hAnsi="Arial"/>
                <w:sz w:val="12"/>
                <w:szCs w:val="12"/>
                <w:color w:val="auto"/>
              </w:rPr>
              <w:t>2020</w:t>
            </w:r>
          </w:p>
        </w:tc>
        <w:tc>
          <w:tcPr>
            <w:tcW w:w="6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40" w:type="dxa"/>
            <w:vAlign w:val="bottom"/>
          </w:tcPr>
          <w:p>
            <w:pPr>
              <w:jc w:val="right"/>
              <w:spacing w:after="0"/>
              <w:rPr>
                <w:sz w:val="20"/>
                <w:szCs w:val="20"/>
                <w:color w:val="auto"/>
              </w:rPr>
            </w:pPr>
            <w:r>
              <w:rPr>
                <w:rFonts w:ascii="Arial" w:cs="Arial" w:eastAsia="Arial" w:hAnsi="Arial"/>
                <w:sz w:val="12"/>
                <w:szCs w:val="12"/>
                <w:color w:val="auto"/>
              </w:rPr>
              <w:t>661,080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2021</w:t>
            </w:r>
          </w:p>
        </w:tc>
        <w:tc>
          <w:tcPr>
            <w:tcW w:w="622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21,080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tcPr>
          <w:p>
            <w:pPr>
              <w:spacing w:after="0"/>
              <w:rPr>
                <w:sz w:val="20"/>
                <w:szCs w:val="20"/>
                <w:color w:val="auto"/>
              </w:rPr>
            </w:pPr>
            <w:r>
              <w:rPr>
                <w:rFonts w:ascii="Arial" w:cs="Arial" w:eastAsia="Arial" w:hAnsi="Arial"/>
                <w:sz w:val="12"/>
                <w:szCs w:val="12"/>
                <w:color w:val="auto"/>
              </w:rPr>
              <w:t>2022</w:t>
            </w:r>
          </w:p>
        </w:tc>
        <w:tc>
          <w:tcPr>
            <w:tcW w:w="6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40" w:type="dxa"/>
            <w:vAlign w:val="bottom"/>
          </w:tcPr>
          <w:p>
            <w:pPr>
              <w:jc w:val="right"/>
              <w:spacing w:after="0"/>
              <w:rPr>
                <w:sz w:val="20"/>
                <w:szCs w:val="20"/>
                <w:color w:val="auto"/>
              </w:rPr>
            </w:pPr>
            <w:r>
              <w:rPr>
                <w:rFonts w:ascii="Arial" w:cs="Arial" w:eastAsia="Arial" w:hAnsi="Arial"/>
                <w:sz w:val="12"/>
                <w:szCs w:val="12"/>
                <w:color w:val="auto"/>
              </w:rPr>
              <w:t>2,002,568</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2023</w:t>
            </w:r>
          </w:p>
        </w:tc>
        <w:tc>
          <w:tcPr>
            <w:tcW w:w="622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1,660,000</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Thereafter</w:t>
            </w:r>
          </w:p>
        </w:tc>
        <w:tc>
          <w:tcPr>
            <w:tcW w:w="6220" w:type="dxa"/>
            <w:vAlign w:val="bottom"/>
            <w:tcBorders>
              <w:bottom w:val="single" w:sz="8" w:color="CFF0FC"/>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600,000</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r>
      <w:tr>
        <w:trPr>
          <w:trHeight w:val="171"/>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Total</w:t>
            </w:r>
          </w:p>
        </w:tc>
        <w:tc>
          <w:tcPr>
            <w:tcW w:w="7040" w:type="dxa"/>
            <w:vAlign w:val="bottom"/>
            <w:gridSpan w:val="2"/>
            <w:shd w:val="clear" w:color="auto" w:fill="CFF0FC"/>
          </w:tcPr>
          <w:p>
            <w:pPr>
              <w:jc w:val="right"/>
              <w:ind w:right="760"/>
              <w:spacing w:after="0"/>
              <w:rPr>
                <w:sz w:val="20"/>
                <w:szCs w:val="20"/>
                <w:color w:val="auto"/>
              </w:rPr>
            </w:pPr>
            <w:r>
              <w:rPr>
                <w:rFonts w:ascii="Arial" w:cs="Arial" w:eastAsia="Arial" w:hAnsi="Arial"/>
                <w:sz w:val="12"/>
                <w:szCs w:val="12"/>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4,965,808</w:t>
            </w: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401"/>
        </w:trPr>
        <w:tc>
          <w:tcPr>
            <w:tcW w:w="3080" w:type="dxa"/>
            <w:vAlign w:val="bottom"/>
            <w:tcBorders>
              <w:top w:val="single" w:sz="8" w:color="CFF0FC"/>
            </w:tcBorders>
          </w:tcPr>
          <w:p>
            <w:pPr>
              <w:spacing w:after="0"/>
              <w:rPr>
                <w:sz w:val="24"/>
                <w:szCs w:val="24"/>
                <w:color w:val="auto"/>
              </w:rPr>
            </w:pPr>
          </w:p>
        </w:tc>
        <w:tc>
          <w:tcPr>
            <w:tcW w:w="6220" w:type="dxa"/>
            <w:vAlign w:val="bottom"/>
            <w:tcBorders>
              <w:top w:val="single" w:sz="8" w:color="CFF0FC"/>
            </w:tcBorders>
          </w:tcPr>
          <w:p>
            <w:pPr>
              <w:jc w:val="right"/>
              <w:ind w:right="3440"/>
              <w:spacing w:after="0"/>
              <w:rPr>
                <w:sz w:val="20"/>
                <w:szCs w:val="20"/>
                <w:color w:val="auto"/>
              </w:rPr>
            </w:pPr>
            <w:r>
              <w:rPr>
                <w:rFonts w:ascii="Arial" w:cs="Arial" w:eastAsia="Arial" w:hAnsi="Arial"/>
                <w:sz w:val="12"/>
                <w:szCs w:val="12"/>
                <w:color w:val="auto"/>
              </w:rPr>
              <w:t>89</w:t>
            </w:r>
          </w:p>
        </w:tc>
        <w:tc>
          <w:tcPr>
            <w:tcW w:w="82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3080" w:type="dxa"/>
            <w:vAlign w:val="bottom"/>
            <w:tcBorders>
              <w:bottom w:val="single" w:sz="8" w:color="9A9A9A"/>
            </w:tcBorders>
          </w:tcPr>
          <w:p>
            <w:pPr>
              <w:spacing w:after="0"/>
              <w:rPr>
                <w:sz w:val="6"/>
                <w:szCs w:val="6"/>
                <w:color w:val="auto"/>
              </w:rPr>
            </w:pPr>
          </w:p>
        </w:tc>
        <w:tc>
          <w:tcPr>
            <w:tcW w:w="622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2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89" w:name="page90"/>
    <w:bookmarkEnd w:id="89"/>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8" w:lineRule="exact"/>
        <w:rPr>
          <w:sz w:val="20"/>
          <w:szCs w:val="20"/>
          <w:color w:val="auto"/>
        </w:rPr>
      </w:pPr>
    </w:p>
    <w:p>
      <w:pPr>
        <w:ind w:left="8"/>
        <w:spacing w:after="0"/>
        <w:rPr>
          <w:sz w:val="20"/>
          <w:szCs w:val="20"/>
          <w:color w:val="auto"/>
        </w:rPr>
      </w:pPr>
      <w:r>
        <w:rPr>
          <w:rFonts w:ascii="Arial" w:cs="Arial" w:eastAsia="Arial" w:hAnsi="Arial"/>
          <w:sz w:val="12"/>
          <w:szCs w:val="12"/>
          <w:color w:val="auto"/>
        </w:rPr>
        <w:t>As discussed in Note 7, we have acquired property pursuant to capital leases. At December 31, 2018, future minimum lease payments under capital lease obligations are as follows:</w:t>
      </w:r>
    </w:p>
    <w:p>
      <w:pPr>
        <w:spacing w:after="0" w:line="206"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546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3840" w:type="dxa"/>
            <w:vAlign w:val="bottom"/>
            <w:tcBorders>
              <w:bottom w:val="single" w:sz="8" w:color="auto"/>
            </w:tcBorders>
          </w:tcPr>
          <w:p>
            <w:pPr>
              <w:spacing w:after="0"/>
              <w:rPr>
                <w:sz w:val="10"/>
                <w:szCs w:val="10"/>
                <w:color w:val="auto"/>
              </w:rPr>
            </w:pPr>
          </w:p>
        </w:tc>
        <w:tc>
          <w:tcPr>
            <w:tcW w:w="880" w:type="dxa"/>
            <w:vAlign w:val="bottom"/>
            <w:tcBorders>
              <w:bottom w:val="single" w:sz="8" w:color="CFF0FC"/>
            </w:tcBorders>
          </w:tcPr>
          <w:p>
            <w:pPr>
              <w:spacing w:after="0"/>
              <w:rPr>
                <w:sz w:val="10"/>
                <w:szCs w:val="10"/>
                <w:color w:val="auto"/>
              </w:rPr>
            </w:pPr>
          </w:p>
        </w:tc>
        <w:tc>
          <w:tcPr>
            <w:tcW w:w="1180" w:type="dxa"/>
            <w:vAlign w:val="bottom"/>
            <w:tcBorders>
              <w:bottom w:val="single" w:sz="8" w:color="CFF0FC"/>
            </w:tcBorders>
          </w:tcPr>
          <w:p>
            <w:pPr>
              <w:spacing w:after="0"/>
              <w:rPr>
                <w:sz w:val="10"/>
                <w:szCs w:val="10"/>
                <w:color w:val="auto"/>
              </w:rPr>
            </w:pPr>
          </w:p>
        </w:tc>
        <w:tc>
          <w:tcPr>
            <w:tcW w:w="120" w:type="dxa"/>
            <w:vAlign w:val="bottom"/>
            <w:tcBorders>
              <w:bottom w:val="single" w:sz="8" w:color="CFF0FC"/>
            </w:tcBorders>
          </w:tcPr>
          <w:p>
            <w:pPr>
              <w:spacing w:after="0"/>
              <w:rPr>
                <w:sz w:val="10"/>
                <w:szCs w:val="10"/>
                <w:color w:val="auto"/>
              </w:rPr>
            </w:pPr>
          </w:p>
        </w:tc>
      </w:tr>
      <w:tr>
        <w:trPr>
          <w:trHeight w:val="142"/>
        </w:trPr>
        <w:tc>
          <w:tcPr>
            <w:tcW w:w="5460" w:type="dxa"/>
            <w:vAlign w:val="bottom"/>
            <w:shd w:val="clear" w:color="auto" w:fill="CFF0FC"/>
          </w:tcPr>
          <w:p>
            <w:pPr>
              <w:spacing w:after="0"/>
              <w:rPr>
                <w:sz w:val="20"/>
                <w:szCs w:val="20"/>
                <w:color w:val="auto"/>
              </w:rPr>
            </w:pPr>
            <w:r>
              <w:rPr>
                <w:rFonts w:ascii="Arial" w:cs="Arial" w:eastAsia="Arial" w:hAnsi="Arial"/>
                <w:sz w:val="12"/>
                <w:szCs w:val="12"/>
                <w:color w:val="auto"/>
              </w:rPr>
              <w:t>2019</w:t>
            </w:r>
          </w:p>
        </w:tc>
        <w:tc>
          <w:tcPr>
            <w:tcW w:w="4720" w:type="dxa"/>
            <w:vAlign w:val="bottom"/>
            <w:gridSpan w:val="2"/>
            <w:shd w:val="clear" w:color="auto" w:fill="CFF0FC"/>
          </w:tcPr>
          <w:p>
            <w:pPr>
              <w:jc w:val="right"/>
              <w:ind w:right="770"/>
              <w:spacing w:after="0"/>
              <w:rPr>
                <w:sz w:val="20"/>
                <w:szCs w:val="20"/>
                <w:color w:val="auto"/>
              </w:rPr>
            </w:pPr>
            <w:r>
              <w:rPr>
                <w:rFonts w:ascii="Arial" w:cs="Arial" w:eastAsia="Arial" w:hAnsi="Arial"/>
                <w:sz w:val="12"/>
                <w:szCs w:val="12"/>
                <w:color w:val="auto"/>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8,683</w:t>
            </w:r>
          </w:p>
        </w:tc>
        <w:tc>
          <w:tcPr>
            <w:tcW w:w="120" w:type="dxa"/>
            <w:vAlign w:val="bottom"/>
            <w:shd w:val="clear" w:color="auto" w:fill="CFF0FC"/>
          </w:tcPr>
          <w:p>
            <w:pPr>
              <w:spacing w:after="0"/>
              <w:rPr>
                <w:sz w:val="12"/>
                <w:szCs w:val="12"/>
                <w:color w:val="auto"/>
              </w:rPr>
            </w:pPr>
          </w:p>
        </w:tc>
      </w:tr>
      <w:tr>
        <w:trPr>
          <w:trHeight w:val="153"/>
        </w:trPr>
        <w:tc>
          <w:tcPr>
            <w:tcW w:w="5460" w:type="dxa"/>
            <w:vAlign w:val="bottom"/>
          </w:tcPr>
          <w:p>
            <w:pPr>
              <w:spacing w:after="0"/>
              <w:rPr>
                <w:sz w:val="20"/>
                <w:szCs w:val="20"/>
                <w:color w:val="auto"/>
              </w:rPr>
            </w:pPr>
            <w:r>
              <w:rPr>
                <w:rFonts w:ascii="Arial" w:cs="Arial" w:eastAsia="Arial" w:hAnsi="Arial"/>
                <w:sz w:val="12"/>
                <w:szCs w:val="12"/>
                <w:color w:val="auto"/>
              </w:rPr>
              <w:t>2020</w:t>
            </w:r>
          </w:p>
        </w:tc>
        <w:tc>
          <w:tcPr>
            <w:tcW w:w="3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2"/>
                <w:szCs w:val="12"/>
                <w:color w:val="auto"/>
              </w:rPr>
              <w:t>7,357</w:t>
            </w:r>
          </w:p>
        </w:tc>
        <w:tc>
          <w:tcPr>
            <w:tcW w:w="120" w:type="dxa"/>
            <w:vAlign w:val="bottom"/>
          </w:tcPr>
          <w:p>
            <w:pPr>
              <w:spacing w:after="0"/>
              <w:rPr>
                <w:sz w:val="13"/>
                <w:szCs w:val="13"/>
                <w:color w:val="auto"/>
              </w:rPr>
            </w:pPr>
          </w:p>
        </w:tc>
      </w:tr>
      <w:tr>
        <w:trPr>
          <w:trHeight w:val="153"/>
        </w:trPr>
        <w:tc>
          <w:tcPr>
            <w:tcW w:w="5460" w:type="dxa"/>
            <w:vAlign w:val="bottom"/>
            <w:shd w:val="clear" w:color="auto" w:fill="CFF0FC"/>
          </w:tcPr>
          <w:p>
            <w:pPr>
              <w:spacing w:after="0"/>
              <w:rPr>
                <w:sz w:val="20"/>
                <w:szCs w:val="20"/>
                <w:color w:val="auto"/>
              </w:rPr>
            </w:pPr>
            <w:r>
              <w:rPr>
                <w:rFonts w:ascii="Arial" w:cs="Arial" w:eastAsia="Arial" w:hAnsi="Arial"/>
                <w:sz w:val="12"/>
                <w:szCs w:val="12"/>
                <w:color w:val="auto"/>
              </w:rPr>
              <w:t>2021</w:t>
            </w:r>
          </w:p>
        </w:tc>
        <w:tc>
          <w:tcPr>
            <w:tcW w:w="384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6,638</w:t>
            </w:r>
          </w:p>
        </w:tc>
        <w:tc>
          <w:tcPr>
            <w:tcW w:w="120" w:type="dxa"/>
            <w:vAlign w:val="bottom"/>
            <w:shd w:val="clear" w:color="auto" w:fill="CFF0FC"/>
          </w:tcPr>
          <w:p>
            <w:pPr>
              <w:spacing w:after="0"/>
              <w:rPr>
                <w:sz w:val="13"/>
                <w:szCs w:val="13"/>
                <w:color w:val="auto"/>
              </w:rPr>
            </w:pPr>
          </w:p>
        </w:tc>
      </w:tr>
      <w:tr>
        <w:trPr>
          <w:trHeight w:val="153"/>
        </w:trPr>
        <w:tc>
          <w:tcPr>
            <w:tcW w:w="5460" w:type="dxa"/>
            <w:vAlign w:val="bottom"/>
          </w:tcPr>
          <w:p>
            <w:pPr>
              <w:spacing w:after="0"/>
              <w:rPr>
                <w:sz w:val="20"/>
                <w:szCs w:val="20"/>
                <w:color w:val="auto"/>
              </w:rPr>
            </w:pPr>
            <w:r>
              <w:rPr>
                <w:rFonts w:ascii="Arial" w:cs="Arial" w:eastAsia="Arial" w:hAnsi="Arial"/>
                <w:sz w:val="12"/>
                <w:szCs w:val="12"/>
                <w:color w:val="auto"/>
              </w:rPr>
              <w:t>2022</w:t>
            </w:r>
          </w:p>
        </w:tc>
        <w:tc>
          <w:tcPr>
            <w:tcW w:w="3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180" w:type="dxa"/>
            <w:vAlign w:val="bottom"/>
          </w:tcPr>
          <w:p>
            <w:pPr>
              <w:jc w:val="right"/>
              <w:spacing w:after="0"/>
              <w:rPr>
                <w:sz w:val="20"/>
                <w:szCs w:val="20"/>
                <w:color w:val="auto"/>
              </w:rPr>
            </w:pPr>
            <w:r>
              <w:rPr>
                <w:rFonts w:ascii="Arial" w:cs="Arial" w:eastAsia="Arial" w:hAnsi="Arial"/>
                <w:sz w:val="12"/>
                <w:szCs w:val="12"/>
                <w:color w:val="auto"/>
              </w:rPr>
              <w:t>6,484</w:t>
            </w:r>
          </w:p>
        </w:tc>
        <w:tc>
          <w:tcPr>
            <w:tcW w:w="120" w:type="dxa"/>
            <w:vAlign w:val="bottom"/>
          </w:tcPr>
          <w:p>
            <w:pPr>
              <w:spacing w:after="0"/>
              <w:rPr>
                <w:sz w:val="13"/>
                <w:szCs w:val="13"/>
                <w:color w:val="auto"/>
              </w:rPr>
            </w:pPr>
          </w:p>
        </w:tc>
      </w:tr>
      <w:tr>
        <w:trPr>
          <w:trHeight w:val="153"/>
        </w:trPr>
        <w:tc>
          <w:tcPr>
            <w:tcW w:w="5460" w:type="dxa"/>
            <w:vAlign w:val="bottom"/>
            <w:shd w:val="clear" w:color="auto" w:fill="CFF0FC"/>
          </w:tcPr>
          <w:p>
            <w:pPr>
              <w:spacing w:after="0"/>
              <w:rPr>
                <w:sz w:val="20"/>
                <w:szCs w:val="20"/>
                <w:color w:val="auto"/>
              </w:rPr>
            </w:pPr>
            <w:r>
              <w:rPr>
                <w:rFonts w:ascii="Arial" w:cs="Arial" w:eastAsia="Arial" w:hAnsi="Arial"/>
                <w:sz w:val="12"/>
                <w:szCs w:val="12"/>
                <w:color w:val="auto"/>
              </w:rPr>
              <w:t>2023</w:t>
            </w:r>
          </w:p>
        </w:tc>
        <w:tc>
          <w:tcPr>
            <w:tcW w:w="384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6,457</w:t>
            </w:r>
          </w:p>
        </w:tc>
        <w:tc>
          <w:tcPr>
            <w:tcW w:w="120" w:type="dxa"/>
            <w:vAlign w:val="bottom"/>
            <w:shd w:val="clear" w:color="auto" w:fill="CFF0FC"/>
          </w:tcPr>
          <w:p>
            <w:pPr>
              <w:spacing w:after="0"/>
              <w:rPr>
                <w:sz w:val="13"/>
                <w:szCs w:val="13"/>
                <w:color w:val="auto"/>
              </w:rPr>
            </w:pPr>
          </w:p>
        </w:tc>
      </w:tr>
      <w:tr>
        <w:trPr>
          <w:trHeight w:val="153"/>
        </w:trPr>
        <w:tc>
          <w:tcPr>
            <w:tcW w:w="546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Thereafter</w:t>
            </w:r>
          </w:p>
        </w:tc>
        <w:tc>
          <w:tcPr>
            <w:tcW w:w="3840" w:type="dxa"/>
            <w:vAlign w:val="bottom"/>
            <w:tcBorders>
              <w:bottom w:val="single" w:sz="8" w:color="CFF0FC"/>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52,533</w:t>
            </w:r>
          </w:p>
        </w:tc>
        <w:tc>
          <w:tcPr>
            <w:tcW w:w="120" w:type="dxa"/>
            <w:vAlign w:val="bottom"/>
            <w:tcBorders>
              <w:bottom w:val="single" w:sz="8" w:color="CFF0FC"/>
            </w:tcBorders>
          </w:tcPr>
          <w:p>
            <w:pPr>
              <w:spacing w:after="0"/>
              <w:rPr>
                <w:sz w:val="13"/>
                <w:szCs w:val="13"/>
                <w:color w:val="auto"/>
              </w:rPr>
            </w:pPr>
          </w:p>
        </w:tc>
      </w:tr>
      <w:tr>
        <w:trPr>
          <w:trHeight w:val="142"/>
        </w:trPr>
        <w:tc>
          <w:tcPr>
            <w:tcW w:w="5460" w:type="dxa"/>
            <w:vAlign w:val="bottom"/>
            <w:shd w:val="clear" w:color="auto" w:fill="CFF0FC"/>
          </w:tcPr>
          <w:p>
            <w:pPr>
              <w:spacing w:after="0"/>
              <w:rPr>
                <w:sz w:val="20"/>
                <w:szCs w:val="20"/>
                <w:color w:val="auto"/>
              </w:rPr>
            </w:pPr>
            <w:r>
              <w:rPr>
                <w:rFonts w:ascii="Arial" w:cs="Arial" w:eastAsia="Arial" w:hAnsi="Arial"/>
                <w:sz w:val="12"/>
                <w:szCs w:val="12"/>
                <w:color w:val="auto"/>
              </w:rPr>
              <w:t>Total minimum payments</w:t>
            </w:r>
          </w:p>
        </w:tc>
        <w:tc>
          <w:tcPr>
            <w:tcW w:w="3840" w:type="dxa"/>
            <w:vAlign w:val="bottom"/>
            <w:shd w:val="clear" w:color="auto" w:fill="CFF0FC"/>
          </w:tcPr>
          <w:p>
            <w:pPr>
              <w:spacing w:after="0"/>
              <w:rPr>
                <w:sz w:val="12"/>
                <w:szCs w:val="12"/>
                <w:color w:val="auto"/>
              </w:rPr>
            </w:pPr>
          </w:p>
        </w:tc>
        <w:tc>
          <w:tcPr>
            <w:tcW w:w="880" w:type="dxa"/>
            <w:vAlign w:val="bottom"/>
            <w:shd w:val="clear" w:color="auto" w:fill="CFF0FC"/>
          </w:tcPr>
          <w:p>
            <w:pPr>
              <w:spacing w:after="0"/>
              <w:rPr>
                <w:sz w:val="12"/>
                <w:szCs w:val="12"/>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88,152</w:t>
            </w:r>
          </w:p>
        </w:tc>
        <w:tc>
          <w:tcPr>
            <w:tcW w:w="120" w:type="dxa"/>
            <w:vAlign w:val="bottom"/>
            <w:shd w:val="clear" w:color="auto" w:fill="CFF0FC"/>
          </w:tcPr>
          <w:p>
            <w:pPr>
              <w:spacing w:after="0"/>
              <w:rPr>
                <w:sz w:val="12"/>
                <w:szCs w:val="12"/>
                <w:color w:val="auto"/>
              </w:rPr>
            </w:pPr>
          </w:p>
        </w:tc>
      </w:tr>
      <w:tr>
        <w:trPr>
          <w:trHeight w:val="153"/>
        </w:trPr>
        <w:tc>
          <w:tcPr>
            <w:tcW w:w="5460" w:type="dxa"/>
            <w:vAlign w:val="bottom"/>
          </w:tcPr>
          <w:p>
            <w:pPr>
              <w:spacing w:after="0"/>
              <w:rPr>
                <w:sz w:val="20"/>
                <w:szCs w:val="20"/>
                <w:color w:val="auto"/>
              </w:rPr>
            </w:pPr>
            <w:r>
              <w:rPr>
                <w:rFonts w:ascii="Arial" w:cs="Arial" w:eastAsia="Arial" w:hAnsi="Arial"/>
                <w:sz w:val="12"/>
                <w:szCs w:val="12"/>
                <w:color w:val="auto"/>
              </w:rPr>
              <w:t>Less amount representing interest</w:t>
            </w:r>
          </w:p>
        </w:tc>
        <w:tc>
          <w:tcPr>
            <w:tcW w:w="3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2"/>
                <w:szCs w:val="12"/>
                <w:color w:val="auto"/>
              </w:rPr>
              <w:t>(32,870)</w:t>
            </w:r>
          </w:p>
        </w:tc>
      </w:tr>
      <w:tr>
        <w:trPr>
          <w:trHeight w:val="158"/>
        </w:trPr>
        <w:tc>
          <w:tcPr>
            <w:tcW w:w="54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2"/>
                <w:szCs w:val="12"/>
                <w:color w:val="auto"/>
              </w:rPr>
              <w:t>Total</w:t>
            </w:r>
          </w:p>
        </w:tc>
        <w:tc>
          <w:tcPr>
            <w:tcW w:w="3840" w:type="dxa"/>
            <w:vAlign w:val="bottom"/>
            <w:tcBorders>
              <w:top w:val="single" w:sz="8" w:color="CFF0FC"/>
              <w:bottom w:val="single" w:sz="8" w:color="CFF0FC"/>
            </w:tcBorders>
            <w:shd w:val="clear" w:color="auto" w:fill="CFF0FC"/>
          </w:tcPr>
          <w:p>
            <w:pPr>
              <w:spacing w:after="0"/>
              <w:rPr>
                <w:sz w:val="13"/>
                <w:szCs w:val="13"/>
                <w:color w:val="auto"/>
              </w:rPr>
            </w:pPr>
          </w:p>
        </w:tc>
        <w:tc>
          <w:tcPr>
            <w:tcW w:w="880" w:type="dxa"/>
            <w:vAlign w:val="bottom"/>
            <w:tcBorders>
              <w:top w:val="single" w:sz="8" w:color="auto"/>
              <w:bottom w:val="single" w:sz="8" w:color="auto"/>
            </w:tcBorders>
            <w:shd w:val="clear" w:color="auto" w:fill="CFF0FC"/>
          </w:tcPr>
          <w:p>
            <w:pPr>
              <w:jc w:val="right"/>
              <w:ind w:right="770"/>
              <w:spacing w:after="0"/>
              <w:rPr>
                <w:sz w:val="20"/>
                <w:szCs w:val="20"/>
                <w:color w:val="auto"/>
              </w:rPr>
            </w:pPr>
            <w:r>
              <w:rPr>
                <w:rFonts w:ascii="Arial" w:cs="Arial" w:eastAsia="Arial" w:hAnsi="Arial"/>
                <w:sz w:val="10"/>
                <w:szCs w:val="10"/>
                <w:color w:val="auto"/>
                <w:w w:val="71"/>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55,282</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r>
    </w:tbl>
    <w:p>
      <w:pPr>
        <w:spacing w:after="0" w:line="185" w:lineRule="exact"/>
        <w:rPr>
          <w:sz w:val="20"/>
          <w:szCs w:val="20"/>
          <w:color w:val="auto"/>
        </w:rPr>
      </w:pPr>
    </w:p>
    <w:p>
      <w:pPr>
        <w:ind w:left="8"/>
        <w:spacing w:after="0"/>
        <w:rPr>
          <w:sz w:val="20"/>
          <w:szCs w:val="20"/>
          <w:color w:val="auto"/>
        </w:rPr>
      </w:pPr>
      <w:r>
        <w:rPr>
          <w:rFonts w:ascii="Arial" w:cs="Arial" w:eastAsia="Arial" w:hAnsi="Arial"/>
          <w:sz w:val="12"/>
          <w:szCs w:val="12"/>
          <w:b w:val="1"/>
          <w:bCs w:val="1"/>
          <w:color w:val="auto"/>
        </w:rPr>
        <w:t>Note 11. Stock-Based Compensation</w:t>
      </w:r>
    </w:p>
    <w:p>
      <w:pPr>
        <w:spacing w:after="0" w:line="154" w:lineRule="exact"/>
        <w:rPr>
          <w:sz w:val="20"/>
          <w:szCs w:val="20"/>
          <w:color w:val="auto"/>
        </w:rPr>
      </w:pPr>
    </w:p>
    <w:p>
      <w:pPr>
        <w:ind w:left="8" w:right="200"/>
        <w:spacing w:after="0" w:line="276" w:lineRule="auto"/>
        <w:rPr>
          <w:sz w:val="20"/>
          <w:szCs w:val="20"/>
          <w:color w:val="auto"/>
        </w:rPr>
      </w:pPr>
      <w:r>
        <w:rPr>
          <w:rFonts w:ascii="Arial" w:cs="Arial" w:eastAsia="Arial" w:hAnsi="Arial"/>
          <w:sz w:val="12"/>
          <w:szCs w:val="12"/>
          <w:color w:val="auto"/>
        </w:rPr>
        <w:t>The Company’s Board of Directors adopted the Uniti Group Inc. 2015 Equity Incentive Plan (the “Equity Plan”), which is administered by the Compensation Committee of the Board of Directors. Awards issuable under the Equity Plan include incentive stock options, “non-qualified” stock options, stock appreciation rights, performance units and performance shares, restricted shares, and restricted stock units.</w:t>
      </w:r>
    </w:p>
    <w:p>
      <w:pPr>
        <w:spacing w:after="0" w:line="115" w:lineRule="exact"/>
        <w:rPr>
          <w:sz w:val="20"/>
          <w:szCs w:val="20"/>
          <w:color w:val="auto"/>
        </w:rPr>
      </w:pPr>
    </w:p>
    <w:p>
      <w:pPr>
        <w:ind w:left="8"/>
        <w:spacing w:after="0"/>
        <w:rPr>
          <w:sz w:val="20"/>
          <w:szCs w:val="20"/>
          <w:color w:val="auto"/>
        </w:rPr>
      </w:pPr>
      <w:r>
        <w:rPr>
          <w:rFonts w:ascii="Arial" w:cs="Arial" w:eastAsia="Arial" w:hAnsi="Arial"/>
          <w:sz w:val="12"/>
          <w:szCs w:val="12"/>
          <w:b w:val="1"/>
          <w:bCs w:val="1"/>
          <w:i w:val="1"/>
          <w:iCs w:val="1"/>
          <w:color w:val="auto"/>
        </w:rPr>
        <w:t>Restricted Awards</w:t>
      </w:r>
    </w:p>
    <w:p>
      <w:pPr>
        <w:spacing w:after="0" w:line="150" w:lineRule="exact"/>
        <w:rPr>
          <w:sz w:val="20"/>
          <w:szCs w:val="20"/>
          <w:color w:val="auto"/>
        </w:rPr>
      </w:pPr>
    </w:p>
    <w:p>
      <w:pPr>
        <w:ind w:left="8" w:right="80"/>
        <w:spacing w:after="0" w:line="259" w:lineRule="auto"/>
        <w:rPr>
          <w:sz w:val="20"/>
          <w:szCs w:val="20"/>
          <w:color w:val="auto"/>
        </w:rPr>
      </w:pPr>
      <w:r>
        <w:rPr>
          <w:rFonts w:ascii="Arial" w:cs="Arial" w:eastAsia="Arial" w:hAnsi="Arial"/>
          <w:sz w:val="12"/>
          <w:szCs w:val="12"/>
          <w:color w:val="auto"/>
        </w:rPr>
        <w:t>During the year ended December 31, 2018, the Company granted 396,705 shares of restricted stock to employees, which had a fair value of $5.5 million as of the date of grant. We calculate the grant date fair value of non-vested shares of restricted stock awards using the closing sale prices on the trading day on the grant date. The restricted stock awards are amortized on a straight-line basis to expense over the vesting period, which is generally three years. As of December 31, 2018, there were 4,724,876 shares available for future issuance under the Equity Plan. The following table sets forth the number of unvested restricted stock awards and the weighted-average fair value of these awards at the date of grant:</w:t>
      </w:r>
    </w:p>
    <w:p>
      <w:pPr>
        <w:spacing w:after="0" w:line="343"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4740" w:type="dxa"/>
            <w:vAlign w:val="bottom"/>
            <w:tcBorders>
              <w:bottom w:val="single" w:sz="8" w:color="CFF0FC"/>
            </w:tcBorders>
          </w:tcPr>
          <w:p>
            <w:pPr>
              <w:spacing w:after="0"/>
              <w:rPr>
                <w:sz w:val="10"/>
                <w:szCs w:val="10"/>
                <w:color w:val="auto"/>
              </w:rPr>
            </w:pPr>
          </w:p>
        </w:tc>
        <w:tc>
          <w:tcPr>
            <w:tcW w:w="1500" w:type="dxa"/>
            <w:vAlign w:val="bottom"/>
            <w:tcBorders>
              <w:bottom w:val="single" w:sz="8" w:color="auto"/>
            </w:tcBorders>
          </w:tcPr>
          <w:p>
            <w:pPr>
              <w:ind w:left="640"/>
              <w:spacing w:after="0"/>
              <w:rPr>
                <w:sz w:val="20"/>
                <w:szCs w:val="20"/>
                <w:color w:val="auto"/>
              </w:rPr>
            </w:pPr>
            <w:r>
              <w:rPr>
                <w:rFonts w:ascii="Arial" w:cs="Arial" w:eastAsia="Arial" w:hAnsi="Arial"/>
                <w:sz w:val="10"/>
                <w:szCs w:val="10"/>
                <w:b w:val="1"/>
                <w:bCs w:val="1"/>
                <w:color w:val="auto"/>
                <w:w w:val="95"/>
              </w:rPr>
              <w:t>Restricted Awards</w:t>
            </w:r>
          </w:p>
        </w:tc>
        <w:tc>
          <w:tcPr>
            <w:tcW w:w="540" w:type="dxa"/>
            <w:vAlign w:val="bottom"/>
            <w:tcBorders>
              <w:bottom w:val="single" w:sz="8" w:color="auto"/>
            </w:tcBorders>
          </w:tcPr>
          <w:p>
            <w:pPr>
              <w:spacing w:after="0"/>
              <w:rPr>
                <w:sz w:val="10"/>
                <w:szCs w:val="10"/>
                <w:color w:val="auto"/>
              </w:rPr>
            </w:pPr>
          </w:p>
        </w:tc>
        <w:tc>
          <w:tcPr>
            <w:tcW w:w="260" w:type="dxa"/>
            <w:vAlign w:val="bottom"/>
            <w:tcBorders>
              <w:bottom w:val="single" w:sz="8" w:color="CFF0FC"/>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960" w:type="dxa"/>
            <w:vAlign w:val="bottom"/>
            <w:tcBorders>
              <w:bottom w:val="single" w:sz="8" w:color="auto"/>
            </w:tcBorders>
          </w:tcPr>
          <w:p>
            <w:pPr>
              <w:jc w:val="right"/>
              <w:ind w:right="82"/>
              <w:spacing w:after="0"/>
              <w:rPr>
                <w:sz w:val="20"/>
                <w:szCs w:val="20"/>
                <w:color w:val="auto"/>
              </w:rPr>
            </w:pPr>
            <w:r>
              <w:rPr>
                <w:rFonts w:ascii="Arial" w:cs="Arial" w:eastAsia="Arial" w:hAnsi="Arial"/>
                <w:sz w:val="10"/>
                <w:szCs w:val="10"/>
                <w:b w:val="1"/>
                <w:bCs w:val="1"/>
                <w:color w:val="auto"/>
                <w:w w:val="88"/>
              </w:rPr>
              <w:t>Weighted Average Fair Value at Grant Date</w:t>
            </w:r>
          </w:p>
        </w:tc>
        <w:tc>
          <w:tcPr>
            <w:tcW w:w="240" w:type="dxa"/>
            <w:vAlign w:val="bottom"/>
            <w:tcBorders>
              <w:bottom w:val="single" w:sz="8" w:color="CFF0FC"/>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860" w:type="dxa"/>
            <w:vAlign w:val="bottom"/>
            <w:tcBorders>
              <w:bottom w:val="single" w:sz="8" w:color="auto"/>
            </w:tcBorders>
          </w:tcPr>
          <w:p>
            <w:pPr>
              <w:jc w:val="right"/>
              <w:ind w:right="226"/>
              <w:spacing w:after="0"/>
              <w:rPr>
                <w:sz w:val="20"/>
                <w:szCs w:val="20"/>
                <w:color w:val="auto"/>
              </w:rPr>
            </w:pPr>
            <w:r>
              <w:rPr>
                <w:rFonts w:ascii="Arial" w:cs="Arial" w:eastAsia="Arial" w:hAnsi="Arial"/>
                <w:sz w:val="10"/>
                <w:szCs w:val="10"/>
                <w:b w:val="1"/>
                <w:bCs w:val="1"/>
                <w:color w:val="auto"/>
                <w:w w:val="93"/>
              </w:rPr>
              <w:t>Aggregate Intrinsic Value</w:t>
            </w:r>
            <w:r>
              <w:rPr>
                <w:rFonts w:ascii="Arial" w:cs="Arial" w:eastAsia="Arial" w:hAnsi="Arial"/>
                <w:sz w:val="8"/>
                <w:szCs w:val="8"/>
                <w:b w:val="1"/>
                <w:bCs w:val="1"/>
                <w:color w:val="auto"/>
                <w:w w:val="93"/>
              </w:rPr>
              <w:t>(1)</w:t>
            </w:r>
            <w:r>
              <w:rPr>
                <w:rFonts w:ascii="Arial" w:cs="Arial" w:eastAsia="Arial" w:hAnsi="Arial"/>
                <w:sz w:val="10"/>
                <w:szCs w:val="10"/>
                <w:b w:val="1"/>
                <w:bCs w:val="1"/>
                <w:color w:val="auto"/>
                <w:w w:val="93"/>
              </w:rPr>
              <w:t xml:space="preserve"> ($000s)</w:t>
            </w:r>
          </w:p>
        </w:tc>
        <w:tc>
          <w:tcPr>
            <w:tcW w:w="120" w:type="dxa"/>
            <w:vAlign w:val="bottom"/>
            <w:tcBorders>
              <w:bottom w:val="single" w:sz="8" w:color="CFF0FC"/>
            </w:tcBorders>
          </w:tcPr>
          <w:p>
            <w:pPr>
              <w:spacing w:after="0"/>
              <w:rPr>
                <w:sz w:val="10"/>
                <w:szCs w:val="10"/>
                <w:color w:val="auto"/>
              </w:rPr>
            </w:pPr>
          </w:p>
        </w:tc>
      </w:tr>
      <w:tr>
        <w:trPr>
          <w:trHeight w:val="142"/>
        </w:trPr>
        <w:tc>
          <w:tcPr>
            <w:tcW w:w="62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Unvested balance December 31, 2017</w:t>
            </w:r>
          </w:p>
        </w:tc>
        <w:tc>
          <w:tcPr>
            <w:tcW w:w="5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588,188</w:t>
            </w:r>
          </w:p>
        </w:tc>
        <w:tc>
          <w:tcPr>
            <w:tcW w:w="260" w:type="dxa"/>
            <w:vAlign w:val="bottom"/>
            <w:shd w:val="clear" w:color="auto" w:fill="CFF0FC"/>
          </w:tcPr>
          <w:p>
            <w:pPr>
              <w:spacing w:after="0"/>
              <w:rPr>
                <w:sz w:val="12"/>
                <w:szCs w:val="12"/>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24.00</w:t>
            </w:r>
          </w:p>
        </w:tc>
        <w:tc>
          <w:tcPr>
            <w:tcW w:w="2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8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r>
      <w:tr>
        <w:trPr>
          <w:trHeight w:val="153"/>
        </w:trPr>
        <w:tc>
          <w:tcPr>
            <w:tcW w:w="6240" w:type="dxa"/>
            <w:vAlign w:val="bottom"/>
            <w:gridSpan w:val="2"/>
          </w:tcPr>
          <w:p>
            <w:pPr>
              <w:spacing w:after="0"/>
              <w:rPr>
                <w:sz w:val="20"/>
                <w:szCs w:val="20"/>
                <w:color w:val="auto"/>
              </w:rPr>
            </w:pPr>
            <w:r>
              <w:rPr>
                <w:rFonts w:ascii="Arial" w:cs="Arial" w:eastAsia="Arial" w:hAnsi="Arial"/>
                <w:sz w:val="12"/>
                <w:szCs w:val="12"/>
                <w:color w:val="auto"/>
              </w:rPr>
              <w:t>Granted</w:t>
            </w:r>
          </w:p>
        </w:tc>
        <w:tc>
          <w:tcPr>
            <w:tcW w:w="540" w:type="dxa"/>
            <w:vAlign w:val="bottom"/>
          </w:tcPr>
          <w:p>
            <w:pPr>
              <w:jc w:val="right"/>
              <w:spacing w:after="0"/>
              <w:rPr>
                <w:sz w:val="20"/>
                <w:szCs w:val="20"/>
                <w:color w:val="auto"/>
              </w:rPr>
            </w:pPr>
            <w:r>
              <w:rPr>
                <w:rFonts w:ascii="Arial" w:cs="Arial" w:eastAsia="Arial" w:hAnsi="Arial"/>
                <w:sz w:val="12"/>
                <w:szCs w:val="12"/>
                <w:color w:val="auto"/>
              </w:rPr>
              <w:t>396,705</w:t>
            </w:r>
          </w:p>
        </w:tc>
        <w:tc>
          <w:tcPr>
            <w:tcW w:w="260" w:type="dxa"/>
            <w:vAlign w:val="bottom"/>
          </w:tcPr>
          <w:p>
            <w:pPr>
              <w:spacing w:after="0"/>
              <w:rPr>
                <w:sz w:val="13"/>
                <w:szCs w:val="13"/>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tcPr>
          <w:p>
            <w:pPr>
              <w:jc w:val="right"/>
              <w:spacing w:after="0"/>
              <w:rPr>
                <w:sz w:val="20"/>
                <w:szCs w:val="20"/>
                <w:color w:val="auto"/>
              </w:rPr>
            </w:pPr>
            <w:r>
              <w:rPr>
                <w:rFonts w:ascii="Arial" w:cs="Arial" w:eastAsia="Arial" w:hAnsi="Arial"/>
                <w:sz w:val="12"/>
                <w:szCs w:val="12"/>
                <w:color w:val="auto"/>
              </w:rPr>
              <w:t>14.02</w:t>
            </w: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62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Forfeited</w:t>
            </w:r>
          </w:p>
        </w:tc>
        <w:tc>
          <w:tcPr>
            <w:tcW w:w="8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(35,559)</w:t>
            </w: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19.62</w:t>
            </w:r>
          </w:p>
        </w:tc>
        <w:tc>
          <w:tcPr>
            <w:tcW w:w="24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8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4740" w:type="dxa"/>
            <w:vAlign w:val="bottom"/>
          </w:tcPr>
          <w:p>
            <w:pPr>
              <w:spacing w:after="0"/>
              <w:rPr>
                <w:sz w:val="20"/>
                <w:szCs w:val="20"/>
                <w:color w:val="auto"/>
              </w:rPr>
            </w:pPr>
            <w:r>
              <w:rPr>
                <w:rFonts w:ascii="Arial" w:cs="Arial" w:eastAsia="Arial" w:hAnsi="Arial"/>
                <w:sz w:val="12"/>
                <w:szCs w:val="12"/>
                <w:color w:val="auto"/>
              </w:rPr>
              <w:t>Vested</w:t>
            </w:r>
          </w:p>
        </w:tc>
        <w:tc>
          <w:tcPr>
            <w:tcW w:w="1500" w:type="dxa"/>
            <w:vAlign w:val="bottom"/>
          </w:tcPr>
          <w:p>
            <w:pPr>
              <w:spacing w:after="0"/>
              <w:rPr>
                <w:sz w:val="13"/>
                <w:szCs w:val="1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2"/>
                <w:szCs w:val="12"/>
                <w:color w:val="auto"/>
              </w:rPr>
              <w:t>(281,706)</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tcPr>
          <w:p>
            <w:pPr>
              <w:jc w:val="right"/>
              <w:spacing w:after="0"/>
              <w:rPr>
                <w:sz w:val="20"/>
                <w:szCs w:val="20"/>
                <w:color w:val="auto"/>
              </w:rPr>
            </w:pPr>
            <w:r>
              <w:rPr>
                <w:rFonts w:ascii="Arial" w:cs="Arial" w:eastAsia="Arial" w:hAnsi="Arial"/>
                <w:sz w:val="12"/>
                <w:szCs w:val="12"/>
                <w:color w:val="auto"/>
              </w:rPr>
              <w:t>24.42</w:t>
            </w: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49"/>
        </w:trPr>
        <w:tc>
          <w:tcPr>
            <w:tcW w:w="47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2"/>
                <w:szCs w:val="12"/>
                <w:color w:val="auto"/>
              </w:rPr>
              <w:t>Unvested balance, December 31, 2018</w:t>
            </w:r>
          </w:p>
        </w:tc>
        <w:tc>
          <w:tcPr>
            <w:tcW w:w="1500" w:type="dxa"/>
            <w:vAlign w:val="bottom"/>
            <w:tcBorders>
              <w:top w:val="single" w:sz="8" w:color="auto"/>
              <w:bottom w:val="single" w:sz="8" w:color="auto"/>
            </w:tcBorders>
            <w:shd w:val="clear" w:color="auto" w:fill="CFF0FC"/>
          </w:tcPr>
          <w:p>
            <w:pPr>
              <w:spacing w:after="0"/>
              <w:rPr>
                <w:sz w:val="12"/>
                <w:szCs w:val="12"/>
                <w:color w:val="auto"/>
              </w:rPr>
            </w:pPr>
          </w:p>
        </w:tc>
        <w:tc>
          <w:tcPr>
            <w:tcW w:w="5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667,628</w:t>
            </w:r>
          </w:p>
        </w:tc>
        <w:tc>
          <w:tcPr>
            <w:tcW w:w="260" w:type="dxa"/>
            <w:vAlign w:val="bottom"/>
            <w:tcBorders>
              <w:top w:val="single" w:sz="8" w:color="CFF0FC"/>
              <w:bottom w:val="single" w:sz="8" w:color="CFF0FC"/>
            </w:tcBorders>
            <w:shd w:val="clear" w:color="auto" w:fill="CFF0FC"/>
          </w:tcPr>
          <w:p>
            <w:pPr>
              <w:spacing w:after="0"/>
              <w:rPr>
                <w:sz w:val="12"/>
                <w:szCs w:val="12"/>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18.03</w:t>
            </w:r>
          </w:p>
        </w:tc>
        <w:tc>
          <w:tcPr>
            <w:tcW w:w="240" w:type="dxa"/>
            <w:vAlign w:val="bottom"/>
            <w:tcBorders>
              <w:top w:val="single" w:sz="8" w:color="CFF0FC"/>
              <w:bottom w:val="single" w:sz="8" w:color="CFF0FC"/>
            </w:tcBorders>
            <w:shd w:val="clear" w:color="auto" w:fill="CFF0FC"/>
          </w:tcPr>
          <w:p>
            <w:pPr>
              <w:spacing w:after="0"/>
              <w:rPr>
                <w:sz w:val="12"/>
                <w:szCs w:val="12"/>
                <w:color w:val="auto"/>
              </w:rPr>
            </w:pPr>
          </w:p>
        </w:tc>
        <w:tc>
          <w:tcPr>
            <w:tcW w:w="180" w:type="dxa"/>
            <w:vAlign w:val="bottom"/>
            <w:tcBorders>
              <w:top w:val="single" w:sz="8" w:color="CFF0FC"/>
              <w:bottom w:val="single" w:sz="8" w:color="auto"/>
            </w:tcBorders>
            <w:shd w:val="clear" w:color="auto" w:fill="CFF0FC"/>
          </w:tcPr>
          <w:p>
            <w:pPr>
              <w:jc w:val="right"/>
              <w:ind w:right="70"/>
              <w:spacing w:after="0"/>
              <w:rPr>
                <w:sz w:val="20"/>
                <w:szCs w:val="20"/>
                <w:color w:val="auto"/>
              </w:rPr>
            </w:pPr>
            <w:r>
              <w:rPr>
                <w:rFonts w:ascii="Arial" w:cs="Arial" w:eastAsia="Arial" w:hAnsi="Arial"/>
                <w:sz w:val="10"/>
                <w:szCs w:val="10"/>
                <w:color w:val="auto"/>
                <w:w w:val="71"/>
              </w:rPr>
              <w:t>$</w:t>
            </w:r>
          </w:p>
        </w:tc>
        <w:tc>
          <w:tcPr>
            <w:tcW w:w="1860" w:type="dxa"/>
            <w:vAlign w:val="bottom"/>
            <w:tcBorders>
              <w:top w:val="single" w:sz="8" w:color="CFF0FC"/>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10,395</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r>
    </w:tbl>
    <w:p>
      <w:pPr>
        <w:spacing w:after="0" w:line="135" w:lineRule="exact"/>
        <w:rPr>
          <w:sz w:val="20"/>
          <w:szCs w:val="20"/>
          <w:color w:val="auto"/>
        </w:rPr>
      </w:pPr>
    </w:p>
    <w:p>
      <w:pPr>
        <w:ind w:left="208" w:right="380" w:hanging="208"/>
        <w:spacing w:after="0" w:line="276" w:lineRule="auto"/>
        <w:tabs>
          <w:tab w:leader="none" w:pos="208" w:val="left"/>
        </w:tabs>
        <w:numPr>
          <w:ilvl w:val="0"/>
          <w:numId w:val="13"/>
        </w:numPr>
        <w:rPr>
          <w:rFonts w:ascii="Arial" w:cs="Arial" w:eastAsia="Arial" w:hAnsi="Arial"/>
          <w:sz w:val="10"/>
          <w:szCs w:val="10"/>
          <w:color w:val="auto"/>
        </w:rPr>
      </w:pPr>
      <w:r>
        <w:rPr>
          <w:rFonts w:ascii="Arial" w:cs="Arial" w:eastAsia="Arial" w:hAnsi="Arial"/>
          <w:sz w:val="12"/>
          <w:szCs w:val="12"/>
          <w:color w:val="auto"/>
        </w:rPr>
        <w:t>The aggregate intrinsic value is calculated as the market value of our common stock as of December 31, 2018. The market value as of December 31, 2018 was $15.57 per share, which was the closing price of our common stock reported for transactions effected on the NASDAQ Global Select Market on December 31, 2018, the final trading day of 2018.</w:t>
      </w:r>
    </w:p>
    <w:p>
      <w:pPr>
        <w:spacing w:after="0" w:line="115" w:lineRule="exact"/>
        <w:rPr>
          <w:sz w:val="20"/>
          <w:szCs w:val="20"/>
          <w:color w:val="auto"/>
        </w:rPr>
      </w:pPr>
    </w:p>
    <w:p>
      <w:pPr>
        <w:ind w:left="8" w:right="140"/>
        <w:spacing w:after="0" w:line="276" w:lineRule="auto"/>
        <w:rPr>
          <w:sz w:val="20"/>
          <w:szCs w:val="20"/>
          <w:color w:val="auto"/>
        </w:rPr>
      </w:pPr>
      <w:r>
        <w:rPr>
          <w:rFonts w:ascii="Arial" w:cs="Arial" w:eastAsia="Arial" w:hAnsi="Arial"/>
          <w:sz w:val="12"/>
          <w:szCs w:val="12"/>
          <w:color w:val="auto"/>
        </w:rPr>
        <w:t>During the year ended December 31, 2017, there were 234,294 shares of restricted stock granted with a weighted-average fair value of $25.56 per share. During the year ended December 31, 2016, there were 308,146 shares of restricted stock granted with a weighted-average fair value of $20.56 per share.</w:t>
      </w:r>
    </w:p>
    <w:p>
      <w:pPr>
        <w:spacing w:after="0" w:line="115" w:lineRule="exact"/>
        <w:rPr>
          <w:sz w:val="20"/>
          <w:szCs w:val="20"/>
          <w:color w:val="auto"/>
        </w:rPr>
      </w:pPr>
    </w:p>
    <w:p>
      <w:pPr>
        <w:ind w:left="8"/>
        <w:spacing w:after="0"/>
        <w:rPr>
          <w:sz w:val="20"/>
          <w:szCs w:val="20"/>
          <w:color w:val="auto"/>
        </w:rPr>
      </w:pPr>
      <w:r>
        <w:rPr>
          <w:rFonts w:ascii="Arial" w:cs="Arial" w:eastAsia="Arial" w:hAnsi="Arial"/>
          <w:sz w:val="12"/>
          <w:szCs w:val="12"/>
          <w:color w:val="auto"/>
        </w:rPr>
        <w:t>The total fair value of shares vested for the years ended December 31, 2018 and 2017 was $6.9 million and $2.9 million, respectively.</w:t>
      </w:r>
    </w:p>
    <w:p>
      <w:pPr>
        <w:spacing w:after="0" w:line="150" w:lineRule="exact"/>
        <w:rPr>
          <w:sz w:val="20"/>
          <w:szCs w:val="20"/>
          <w:color w:val="auto"/>
        </w:rPr>
      </w:pPr>
    </w:p>
    <w:p>
      <w:pPr>
        <w:ind w:left="8"/>
        <w:spacing w:after="0"/>
        <w:rPr>
          <w:sz w:val="20"/>
          <w:szCs w:val="20"/>
          <w:color w:val="auto"/>
        </w:rPr>
      </w:pPr>
      <w:r>
        <w:rPr>
          <w:rFonts w:ascii="Arial" w:cs="Arial" w:eastAsia="Arial" w:hAnsi="Arial"/>
          <w:sz w:val="11"/>
          <w:szCs w:val="11"/>
          <w:color w:val="auto"/>
        </w:rPr>
        <w:t>As of December 31, 2018, total unrecognized compensation expense on restricted awards was approximately $6.2 million, and the expense is expected to be recognized over a weighted average vesting period of 0.9 years.</w:t>
      </w:r>
    </w:p>
    <w:p>
      <w:pPr>
        <w:spacing w:after="0" w:line="162"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0" w:right="199" w:bottom="1440" w:gutter="0" w:footer="0" w:header="0"/>
        </w:sectPr>
      </w:pPr>
    </w:p>
    <w:bookmarkStart w:id="90" w:name="page91"/>
    <w:bookmarkEnd w:id="90"/>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left="8"/>
        <w:spacing w:after="0"/>
        <w:rPr>
          <w:sz w:val="20"/>
          <w:szCs w:val="20"/>
          <w:color w:val="auto"/>
        </w:rPr>
      </w:pPr>
      <w:r>
        <w:rPr>
          <w:rFonts w:ascii="Arial" w:cs="Arial" w:eastAsia="Arial" w:hAnsi="Arial"/>
          <w:sz w:val="12"/>
          <w:szCs w:val="12"/>
          <w:b w:val="1"/>
          <w:bCs w:val="1"/>
          <w:i w:val="1"/>
          <w:iCs w:val="1"/>
          <w:color w:val="auto"/>
        </w:rPr>
        <w:t>Performance Awards</w:t>
      </w:r>
    </w:p>
    <w:p>
      <w:pPr>
        <w:spacing w:after="0" w:line="150" w:lineRule="exact"/>
        <w:rPr>
          <w:sz w:val="20"/>
          <w:szCs w:val="20"/>
          <w:color w:val="auto"/>
        </w:rPr>
      </w:pPr>
    </w:p>
    <w:p>
      <w:pPr>
        <w:ind w:left="8" w:right="120"/>
        <w:spacing w:after="0" w:line="259" w:lineRule="auto"/>
        <w:rPr>
          <w:sz w:val="20"/>
          <w:szCs w:val="20"/>
          <w:color w:val="auto"/>
        </w:rPr>
      </w:pPr>
      <w:r>
        <w:rPr>
          <w:rFonts w:ascii="Arial" w:cs="Arial" w:eastAsia="Arial" w:hAnsi="Arial"/>
          <w:sz w:val="12"/>
          <w:szCs w:val="12"/>
          <w:color w:val="auto"/>
        </w:rPr>
        <w:t>The Company grants long-term incentives to members of management in the form of performance-based restricted stock units (“PSUs”) under the Equity Plan. The number of PSUs earned is based on the Company’s achievement of specified performance goals, over a specified performance period, and may range from 0% to 200% of the target shares. The PSUs have a service condition that will expire at the end of the three-year performance period provided that the holder continues to be employed by the Company at the end of the performance period. Holders of PSUs are entitled to dividend equivalents, which will be accrued and paid in cash upon the vesting of a PSU. Dividend equivalents are forfeited to the extent that the underlying PSU is forfeited.</w:t>
      </w:r>
    </w:p>
    <w:p>
      <w:pPr>
        <w:spacing w:after="0" w:line="125" w:lineRule="exact"/>
        <w:rPr>
          <w:sz w:val="20"/>
          <w:szCs w:val="20"/>
          <w:color w:val="auto"/>
        </w:rPr>
      </w:pPr>
    </w:p>
    <w:p>
      <w:pPr>
        <w:ind w:left="8" w:right="20"/>
        <w:spacing w:after="0" w:line="259" w:lineRule="auto"/>
        <w:rPr>
          <w:sz w:val="20"/>
          <w:szCs w:val="20"/>
          <w:color w:val="auto"/>
        </w:rPr>
      </w:pPr>
      <w:r>
        <w:rPr>
          <w:rFonts w:ascii="Arial" w:cs="Arial" w:eastAsia="Arial" w:hAnsi="Arial"/>
          <w:sz w:val="12"/>
          <w:szCs w:val="12"/>
          <w:color w:val="auto"/>
        </w:rPr>
        <w:t>On February 6, 2018, we issued 169,549 PSUs equal to 100% of the target amount, with an aggregate value of $3.3 million on the grant date. The PSUs, in addition to a service condition, are subject to the Company’s performance versus the total return of the MSCI US REIT Index and a triple-net lease peer group, as defined by the Compensation Committee. Upon evaluating the results of the market conditions, the final number of shares is determined, and such shares vest based on satisfaction of the service condition. The PSUs are amortized on a straight-line basis over the vesting period. During the year ended December 31, 2018, no PSUs were forfeited due to termination of service. The following table sets forth the number of unvested PSUs and the weighted-average fair value of these awards at the date of grant:</w:t>
      </w:r>
    </w:p>
    <w:p>
      <w:pPr>
        <w:spacing w:after="0" w:line="181"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4740" w:type="dxa"/>
            <w:vAlign w:val="bottom"/>
            <w:tcBorders>
              <w:bottom w:val="single" w:sz="8" w:color="CFF0FC"/>
            </w:tcBorders>
          </w:tcPr>
          <w:p>
            <w:pPr>
              <w:spacing w:after="0"/>
              <w:rPr>
                <w:sz w:val="10"/>
                <w:szCs w:val="10"/>
                <w:color w:val="auto"/>
              </w:rPr>
            </w:pPr>
          </w:p>
        </w:tc>
        <w:tc>
          <w:tcPr>
            <w:tcW w:w="1560" w:type="dxa"/>
            <w:vAlign w:val="bottom"/>
            <w:tcBorders>
              <w:bottom w:val="single" w:sz="8" w:color="auto"/>
            </w:tcBorders>
          </w:tcPr>
          <w:p>
            <w:pPr>
              <w:ind w:left="580"/>
              <w:spacing w:after="0"/>
              <w:rPr>
                <w:sz w:val="20"/>
                <w:szCs w:val="20"/>
                <w:color w:val="auto"/>
              </w:rPr>
            </w:pPr>
            <w:r>
              <w:rPr>
                <w:rFonts w:ascii="Arial" w:cs="Arial" w:eastAsia="Arial" w:hAnsi="Arial"/>
                <w:sz w:val="10"/>
                <w:szCs w:val="10"/>
                <w:b w:val="1"/>
                <w:bCs w:val="1"/>
                <w:color w:val="auto"/>
                <w:w w:val="95"/>
              </w:rPr>
              <w:t>Performance Awards</w:t>
            </w:r>
          </w:p>
        </w:tc>
        <w:tc>
          <w:tcPr>
            <w:tcW w:w="480" w:type="dxa"/>
            <w:vAlign w:val="bottom"/>
            <w:tcBorders>
              <w:bottom w:val="single" w:sz="8" w:color="auto"/>
            </w:tcBorders>
          </w:tcPr>
          <w:p>
            <w:pPr>
              <w:spacing w:after="0"/>
              <w:rPr>
                <w:sz w:val="10"/>
                <w:szCs w:val="10"/>
                <w:color w:val="auto"/>
              </w:rPr>
            </w:pPr>
          </w:p>
        </w:tc>
        <w:tc>
          <w:tcPr>
            <w:tcW w:w="260" w:type="dxa"/>
            <w:vAlign w:val="bottom"/>
            <w:tcBorders>
              <w:bottom w:val="single" w:sz="8" w:color="CFF0FC"/>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960" w:type="dxa"/>
            <w:vAlign w:val="bottom"/>
            <w:tcBorders>
              <w:bottom w:val="single" w:sz="8" w:color="auto"/>
            </w:tcBorders>
          </w:tcPr>
          <w:p>
            <w:pPr>
              <w:jc w:val="right"/>
              <w:ind w:right="82"/>
              <w:spacing w:after="0"/>
              <w:rPr>
                <w:sz w:val="20"/>
                <w:szCs w:val="20"/>
                <w:color w:val="auto"/>
              </w:rPr>
            </w:pPr>
            <w:r>
              <w:rPr>
                <w:rFonts w:ascii="Arial" w:cs="Arial" w:eastAsia="Arial" w:hAnsi="Arial"/>
                <w:sz w:val="10"/>
                <w:szCs w:val="10"/>
                <w:b w:val="1"/>
                <w:bCs w:val="1"/>
                <w:color w:val="auto"/>
                <w:w w:val="88"/>
              </w:rPr>
              <w:t>Weighted Average Fair Value at Grant Date</w:t>
            </w:r>
          </w:p>
        </w:tc>
        <w:tc>
          <w:tcPr>
            <w:tcW w:w="240" w:type="dxa"/>
            <w:vAlign w:val="bottom"/>
            <w:tcBorders>
              <w:bottom w:val="single" w:sz="8" w:color="CFF0FC"/>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860" w:type="dxa"/>
            <w:vAlign w:val="bottom"/>
            <w:tcBorders>
              <w:bottom w:val="single" w:sz="8" w:color="auto"/>
            </w:tcBorders>
          </w:tcPr>
          <w:p>
            <w:pPr>
              <w:jc w:val="right"/>
              <w:ind w:right="226"/>
              <w:spacing w:after="0"/>
              <w:rPr>
                <w:sz w:val="20"/>
                <w:szCs w:val="20"/>
                <w:color w:val="auto"/>
              </w:rPr>
            </w:pPr>
            <w:r>
              <w:rPr>
                <w:rFonts w:ascii="Arial" w:cs="Arial" w:eastAsia="Arial" w:hAnsi="Arial"/>
                <w:sz w:val="10"/>
                <w:szCs w:val="10"/>
                <w:b w:val="1"/>
                <w:bCs w:val="1"/>
                <w:color w:val="auto"/>
                <w:w w:val="93"/>
              </w:rPr>
              <w:t>Aggregate Intrinsic Value</w:t>
            </w:r>
            <w:r>
              <w:rPr>
                <w:rFonts w:ascii="Arial" w:cs="Arial" w:eastAsia="Arial" w:hAnsi="Arial"/>
                <w:sz w:val="8"/>
                <w:szCs w:val="8"/>
                <w:b w:val="1"/>
                <w:bCs w:val="1"/>
                <w:color w:val="auto"/>
                <w:w w:val="93"/>
              </w:rPr>
              <w:t>(1)</w:t>
            </w:r>
            <w:r>
              <w:rPr>
                <w:rFonts w:ascii="Arial" w:cs="Arial" w:eastAsia="Arial" w:hAnsi="Arial"/>
                <w:sz w:val="10"/>
                <w:szCs w:val="10"/>
                <w:b w:val="1"/>
                <w:bCs w:val="1"/>
                <w:color w:val="auto"/>
                <w:w w:val="93"/>
              </w:rPr>
              <w:t xml:space="preserve"> ($000s)</w:t>
            </w:r>
          </w:p>
        </w:tc>
        <w:tc>
          <w:tcPr>
            <w:tcW w:w="120" w:type="dxa"/>
            <w:vAlign w:val="bottom"/>
            <w:tcBorders>
              <w:bottom w:val="single" w:sz="8" w:color="CFF0FC"/>
            </w:tcBorders>
          </w:tcPr>
          <w:p>
            <w:pPr>
              <w:spacing w:after="0"/>
              <w:rPr>
                <w:sz w:val="10"/>
                <w:szCs w:val="10"/>
                <w:color w:val="auto"/>
              </w:rPr>
            </w:pPr>
          </w:p>
        </w:tc>
      </w:tr>
      <w:tr>
        <w:trPr>
          <w:trHeight w:val="142"/>
        </w:trPr>
        <w:tc>
          <w:tcPr>
            <w:tcW w:w="6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Unvested balance December 31, 2017</w:t>
            </w:r>
          </w:p>
        </w:tc>
        <w:tc>
          <w:tcPr>
            <w:tcW w:w="4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254,625</w:t>
            </w:r>
          </w:p>
        </w:tc>
        <w:tc>
          <w:tcPr>
            <w:tcW w:w="260" w:type="dxa"/>
            <w:vAlign w:val="bottom"/>
            <w:shd w:val="clear" w:color="auto" w:fill="CFF0FC"/>
          </w:tcPr>
          <w:p>
            <w:pPr>
              <w:spacing w:after="0"/>
              <w:rPr>
                <w:sz w:val="12"/>
                <w:szCs w:val="12"/>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25.69</w:t>
            </w:r>
          </w:p>
        </w:tc>
        <w:tc>
          <w:tcPr>
            <w:tcW w:w="2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8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r>
      <w:tr>
        <w:trPr>
          <w:trHeight w:val="153"/>
        </w:trPr>
        <w:tc>
          <w:tcPr>
            <w:tcW w:w="6300" w:type="dxa"/>
            <w:vAlign w:val="bottom"/>
            <w:gridSpan w:val="2"/>
          </w:tcPr>
          <w:p>
            <w:pPr>
              <w:spacing w:after="0"/>
              <w:rPr>
                <w:sz w:val="20"/>
                <w:szCs w:val="20"/>
                <w:color w:val="auto"/>
              </w:rPr>
            </w:pPr>
            <w:r>
              <w:rPr>
                <w:rFonts w:ascii="Arial" w:cs="Arial" w:eastAsia="Arial" w:hAnsi="Arial"/>
                <w:sz w:val="12"/>
                <w:szCs w:val="12"/>
                <w:color w:val="auto"/>
              </w:rPr>
              <w:t>Granted</w:t>
            </w:r>
          </w:p>
        </w:tc>
        <w:tc>
          <w:tcPr>
            <w:tcW w:w="480" w:type="dxa"/>
            <w:vAlign w:val="bottom"/>
          </w:tcPr>
          <w:p>
            <w:pPr>
              <w:jc w:val="right"/>
              <w:spacing w:after="0"/>
              <w:rPr>
                <w:sz w:val="20"/>
                <w:szCs w:val="20"/>
                <w:color w:val="auto"/>
              </w:rPr>
            </w:pPr>
            <w:r>
              <w:rPr>
                <w:rFonts w:ascii="Arial" w:cs="Arial" w:eastAsia="Arial" w:hAnsi="Arial"/>
                <w:sz w:val="12"/>
                <w:szCs w:val="12"/>
                <w:color w:val="auto"/>
              </w:rPr>
              <w:t>169,549</w:t>
            </w:r>
          </w:p>
        </w:tc>
        <w:tc>
          <w:tcPr>
            <w:tcW w:w="260" w:type="dxa"/>
            <w:vAlign w:val="bottom"/>
          </w:tcPr>
          <w:p>
            <w:pPr>
              <w:spacing w:after="0"/>
              <w:rPr>
                <w:sz w:val="13"/>
                <w:szCs w:val="13"/>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tcPr>
          <w:p>
            <w:pPr>
              <w:jc w:val="right"/>
              <w:spacing w:after="0"/>
              <w:rPr>
                <w:sz w:val="20"/>
                <w:szCs w:val="20"/>
                <w:color w:val="auto"/>
              </w:rPr>
            </w:pPr>
            <w:r>
              <w:rPr>
                <w:rFonts w:ascii="Arial" w:cs="Arial" w:eastAsia="Arial" w:hAnsi="Arial"/>
                <w:sz w:val="12"/>
                <w:szCs w:val="12"/>
                <w:color w:val="auto"/>
              </w:rPr>
              <w:t>19.30</w:t>
            </w: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6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Forfeited</w:t>
            </w: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(60,970)</w:t>
            </w: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21.82</w:t>
            </w:r>
          </w:p>
        </w:tc>
        <w:tc>
          <w:tcPr>
            <w:tcW w:w="24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8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474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Vested</w:t>
            </w:r>
          </w:p>
        </w:tc>
        <w:tc>
          <w:tcPr>
            <w:tcW w:w="156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60" w:type="dxa"/>
            <w:vAlign w:val="bottom"/>
            <w:tcBorders>
              <w:bottom w:val="single" w:sz="8" w:color="CFF0FC"/>
            </w:tcBorders>
          </w:tcPr>
          <w:p>
            <w:pPr>
              <w:spacing w:after="0"/>
              <w:rPr>
                <w:sz w:val="13"/>
                <w:szCs w:val="13"/>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40" w:type="dxa"/>
            <w:vAlign w:val="bottom"/>
            <w:tcBorders>
              <w:bottom w:val="single" w:sz="8" w:color="CFF0FC"/>
            </w:tcBorders>
          </w:tcPr>
          <w:p>
            <w:pPr>
              <w:spacing w:after="0"/>
              <w:rPr>
                <w:sz w:val="13"/>
                <w:szCs w:val="13"/>
                <w:color w:val="auto"/>
              </w:rPr>
            </w:pPr>
          </w:p>
        </w:tc>
        <w:tc>
          <w:tcPr>
            <w:tcW w:w="180" w:type="dxa"/>
            <w:vAlign w:val="bottom"/>
            <w:tcBorders>
              <w:bottom w:val="single" w:sz="8" w:color="CFF0FC"/>
            </w:tcBorders>
          </w:tcPr>
          <w:p>
            <w:pPr>
              <w:spacing w:after="0"/>
              <w:rPr>
                <w:sz w:val="13"/>
                <w:szCs w:val="13"/>
                <w:color w:val="auto"/>
              </w:rPr>
            </w:pPr>
          </w:p>
        </w:tc>
        <w:tc>
          <w:tcPr>
            <w:tcW w:w="18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r>
      <w:tr>
        <w:trPr>
          <w:trHeight w:val="149"/>
        </w:trPr>
        <w:tc>
          <w:tcPr>
            <w:tcW w:w="47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2"/>
                <w:szCs w:val="12"/>
                <w:color w:val="auto"/>
              </w:rPr>
              <w:t>Unvested balance, December 31, 2018</w:t>
            </w:r>
          </w:p>
        </w:tc>
        <w:tc>
          <w:tcPr>
            <w:tcW w:w="1560" w:type="dxa"/>
            <w:vAlign w:val="bottom"/>
            <w:tcBorders>
              <w:bottom w:val="single" w:sz="8" w:color="auto"/>
            </w:tcBorders>
            <w:shd w:val="clear" w:color="auto" w:fill="CFF0FC"/>
          </w:tcPr>
          <w:p>
            <w:pPr>
              <w:spacing w:after="0"/>
              <w:rPr>
                <w:sz w:val="12"/>
                <w:szCs w:val="12"/>
                <w:color w:val="auto"/>
              </w:rPr>
            </w:pPr>
          </w:p>
        </w:tc>
        <w:tc>
          <w:tcPr>
            <w:tcW w:w="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363,204</w:t>
            </w:r>
          </w:p>
        </w:tc>
        <w:tc>
          <w:tcPr>
            <w:tcW w:w="260" w:type="dxa"/>
            <w:vAlign w:val="bottom"/>
            <w:tcBorders>
              <w:bottom w:val="single" w:sz="8" w:color="CFF0FC"/>
            </w:tcBorders>
            <w:shd w:val="clear" w:color="auto" w:fill="CFF0FC"/>
          </w:tcPr>
          <w:p>
            <w:pPr>
              <w:spacing w:after="0"/>
              <w:rPr>
                <w:sz w:val="12"/>
                <w:szCs w:val="12"/>
                <w:color w:val="auto"/>
              </w:rPr>
            </w:pPr>
          </w:p>
        </w:tc>
        <w:tc>
          <w:tcPr>
            <w:tcW w:w="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23.35</w:t>
            </w:r>
          </w:p>
        </w:tc>
        <w:tc>
          <w:tcPr>
            <w:tcW w:w="240" w:type="dxa"/>
            <w:vAlign w:val="bottom"/>
            <w:tcBorders>
              <w:bottom w:val="single" w:sz="8" w:color="CFF0FC"/>
            </w:tcBorders>
            <w:shd w:val="clear" w:color="auto" w:fill="CFF0FC"/>
          </w:tcPr>
          <w:p>
            <w:pPr>
              <w:spacing w:after="0"/>
              <w:rPr>
                <w:sz w:val="12"/>
                <w:szCs w:val="12"/>
                <w:color w:val="auto"/>
              </w:rPr>
            </w:pPr>
          </w:p>
        </w:tc>
        <w:tc>
          <w:tcPr>
            <w:tcW w:w="18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0"/>
                <w:szCs w:val="10"/>
                <w:color w:val="auto"/>
                <w:w w:val="71"/>
              </w:rPr>
              <w:t>$</w:t>
            </w:r>
          </w:p>
        </w:tc>
        <w:tc>
          <w:tcPr>
            <w:tcW w:w="1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5,655</w:t>
            </w:r>
          </w:p>
        </w:tc>
        <w:tc>
          <w:tcPr>
            <w:tcW w:w="120" w:type="dxa"/>
            <w:vAlign w:val="bottom"/>
            <w:tcBorders>
              <w:bottom w:val="single" w:sz="8" w:color="CFF0FC"/>
            </w:tcBorders>
            <w:shd w:val="clear" w:color="auto" w:fill="CFF0FC"/>
          </w:tcPr>
          <w:p>
            <w:pPr>
              <w:spacing w:after="0"/>
              <w:rPr>
                <w:sz w:val="12"/>
                <w:szCs w:val="12"/>
                <w:color w:val="auto"/>
              </w:rPr>
            </w:pPr>
          </w:p>
        </w:tc>
      </w:tr>
    </w:tbl>
    <w:p>
      <w:pPr>
        <w:spacing w:after="0" w:line="135" w:lineRule="exact"/>
        <w:rPr>
          <w:sz w:val="20"/>
          <w:szCs w:val="20"/>
          <w:color w:val="auto"/>
        </w:rPr>
      </w:pPr>
    </w:p>
    <w:p>
      <w:pPr>
        <w:ind w:left="208" w:right="380" w:hanging="208"/>
        <w:spacing w:after="0" w:line="276" w:lineRule="auto"/>
        <w:tabs>
          <w:tab w:leader="none" w:pos="208" w:val="left"/>
        </w:tabs>
        <w:numPr>
          <w:ilvl w:val="0"/>
          <w:numId w:val="14"/>
        </w:numPr>
        <w:rPr>
          <w:rFonts w:ascii="Arial" w:cs="Arial" w:eastAsia="Arial" w:hAnsi="Arial"/>
          <w:sz w:val="10"/>
          <w:szCs w:val="10"/>
          <w:color w:val="auto"/>
        </w:rPr>
      </w:pPr>
      <w:r>
        <w:rPr>
          <w:rFonts w:ascii="Arial" w:cs="Arial" w:eastAsia="Arial" w:hAnsi="Arial"/>
          <w:sz w:val="12"/>
          <w:szCs w:val="12"/>
          <w:color w:val="auto"/>
        </w:rPr>
        <w:t>The aggregate intrinsic value is calculated as the market value of our common stock as of December 31, 2018. The market value as of December 31, 2018 was $15.57 per share, which was the closing price of our common stock reported for transactions effected on the NASDAQ Global Select Market on December 31, 2018, the final trading day of 2018.</w:t>
      </w:r>
    </w:p>
    <w:p>
      <w:pPr>
        <w:spacing w:after="0" w:line="115" w:lineRule="exact"/>
        <w:rPr>
          <w:sz w:val="20"/>
          <w:szCs w:val="20"/>
          <w:color w:val="auto"/>
        </w:rPr>
      </w:pPr>
    </w:p>
    <w:p>
      <w:pPr>
        <w:ind w:left="8" w:right="160"/>
        <w:spacing w:after="0" w:line="276" w:lineRule="auto"/>
        <w:rPr>
          <w:sz w:val="20"/>
          <w:szCs w:val="20"/>
          <w:color w:val="auto"/>
        </w:rPr>
      </w:pPr>
      <w:r>
        <w:rPr>
          <w:rFonts w:ascii="Arial" w:cs="Arial" w:eastAsia="Arial" w:hAnsi="Arial"/>
          <w:sz w:val="12"/>
          <w:szCs w:val="12"/>
          <w:color w:val="auto"/>
        </w:rPr>
        <w:t>During the year ended December 31, 2017, there were 91,995 PSUs granted with a weighted-average fair value of $33.75 per share. During the year ended December 31, 2016, there were 101,660 PSUs granted with a weighted-average fair value of $20.71 per share.</w:t>
      </w:r>
    </w:p>
    <w:p>
      <w:pPr>
        <w:spacing w:after="0" w:line="115" w:lineRule="exact"/>
        <w:rPr>
          <w:sz w:val="20"/>
          <w:szCs w:val="20"/>
          <w:color w:val="auto"/>
        </w:rPr>
      </w:pPr>
    </w:p>
    <w:p>
      <w:pPr>
        <w:ind w:left="8" w:right="100"/>
        <w:spacing w:after="0" w:line="340" w:lineRule="auto"/>
        <w:rPr>
          <w:sz w:val="20"/>
          <w:szCs w:val="20"/>
          <w:color w:val="auto"/>
        </w:rPr>
      </w:pPr>
      <w:r>
        <w:rPr>
          <w:rFonts w:ascii="Arial" w:cs="Arial" w:eastAsia="Arial" w:hAnsi="Arial"/>
          <w:sz w:val="10"/>
          <w:szCs w:val="10"/>
          <w:color w:val="auto"/>
        </w:rPr>
        <w:t>As of December 31, 2018, total unrecognized compensation expense related to PSUs was approximately $3.7 million, and the weighted-average vesting period was 1.4 years. The fair value of each PSU award is estimated at the date of grant using a Monte Carlo simulation. The simulation requires assumptions for expected volatility, risk-free return, and dividend yield. Our assumptions include a 0% dividend yield, which is the mathematical equivalent to reinvesting the dividends over the three-year performance period as is consistent with the terms of the PSUs. The following table summarizes the assumptions used to value the PSUs granted during the years ended December 31, 2018, 2017 and 2016:</w:t>
      </w:r>
    </w:p>
    <w:p>
      <w:pPr>
        <w:spacing w:after="0" w:line="145" w:lineRule="exact"/>
        <w:rPr>
          <w:sz w:val="20"/>
          <w:szCs w:val="20"/>
          <w:color w:val="auto"/>
        </w:rPr>
      </w:pPr>
    </w:p>
    <w:p>
      <w:pPr>
        <w:ind w:left="7508"/>
        <w:spacing w:after="0"/>
        <w:rPr>
          <w:sz w:val="20"/>
          <w:szCs w:val="20"/>
          <w:color w:val="auto"/>
        </w:rPr>
      </w:pPr>
      <w:r>
        <w:rPr>
          <w:rFonts w:ascii="Arial" w:cs="Arial" w:eastAsia="Arial" w:hAnsi="Arial"/>
          <w:sz w:val="10"/>
          <w:szCs w:val="10"/>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3014345</wp:posOffset>
            </wp:positionH>
            <wp:positionV relativeFrom="paragraph">
              <wp:posOffset>0</wp:posOffset>
            </wp:positionV>
            <wp:extent cx="4197985" cy="571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4197985" cy="5715"/>
                    </a:xfrm>
                    <a:prstGeom prst="rect">
                      <a:avLst/>
                    </a:prstGeom>
                    <a:noFill/>
                  </pic:spPr>
                </pic:pic>
              </a:graphicData>
            </a:graphic>
          </wp:anchor>
        </w:drawing>
      </w:r>
    </w:p>
    <w:p>
      <w:pPr>
        <w:spacing w:after="0" w:line="26"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4740" w:type="dxa"/>
            <w:vAlign w:val="bottom"/>
            <w:tcBorders>
              <w:bottom w:val="single" w:sz="8" w:color="CFF0FC"/>
            </w:tcBorders>
          </w:tcPr>
          <w:p>
            <w:pPr>
              <w:spacing w:after="0"/>
              <w:rPr>
                <w:sz w:val="10"/>
                <w:szCs w:val="10"/>
                <w:color w:val="auto"/>
              </w:rPr>
            </w:pPr>
          </w:p>
        </w:tc>
        <w:tc>
          <w:tcPr>
            <w:tcW w:w="1460" w:type="dxa"/>
            <w:vAlign w:val="bottom"/>
            <w:tcBorders>
              <w:bottom w:val="single" w:sz="8" w:color="auto"/>
            </w:tcBorders>
          </w:tcPr>
          <w:p>
            <w:pPr>
              <w:jc w:val="right"/>
              <w:ind w:right="312"/>
              <w:spacing w:after="0"/>
              <w:rPr>
                <w:sz w:val="20"/>
                <w:szCs w:val="20"/>
                <w:color w:val="auto"/>
              </w:rPr>
            </w:pPr>
            <w:r>
              <w:rPr>
                <w:rFonts w:ascii="Arial" w:cs="Arial" w:eastAsia="Arial" w:hAnsi="Arial"/>
                <w:sz w:val="10"/>
                <w:szCs w:val="10"/>
                <w:b w:val="1"/>
                <w:bCs w:val="1"/>
                <w:color w:val="auto"/>
              </w:rPr>
              <w:t>2018</w:t>
            </w:r>
          </w:p>
        </w:tc>
        <w:tc>
          <w:tcPr>
            <w:tcW w:w="580" w:type="dxa"/>
            <w:vAlign w:val="bottom"/>
            <w:tcBorders>
              <w:bottom w:val="single" w:sz="8" w:color="auto"/>
            </w:tcBorders>
          </w:tcPr>
          <w:p>
            <w:pPr>
              <w:spacing w:after="0"/>
              <w:rPr>
                <w:sz w:val="10"/>
                <w:szCs w:val="10"/>
                <w:color w:val="auto"/>
              </w:rPr>
            </w:pPr>
          </w:p>
        </w:tc>
        <w:tc>
          <w:tcPr>
            <w:tcW w:w="240" w:type="dxa"/>
            <w:vAlign w:val="bottom"/>
            <w:tcBorders>
              <w:bottom w:val="single" w:sz="8" w:color="CFF0FC"/>
            </w:tcBorders>
          </w:tcPr>
          <w:p>
            <w:pPr>
              <w:spacing w:after="0"/>
              <w:rPr>
                <w:sz w:val="10"/>
                <w:szCs w:val="10"/>
                <w:color w:val="auto"/>
              </w:rPr>
            </w:pPr>
          </w:p>
        </w:tc>
        <w:tc>
          <w:tcPr>
            <w:tcW w:w="2040" w:type="dxa"/>
            <w:vAlign w:val="bottom"/>
            <w:tcBorders>
              <w:bottom w:val="single" w:sz="8" w:color="auto"/>
            </w:tcBorders>
          </w:tcPr>
          <w:p>
            <w:pPr>
              <w:jc w:val="right"/>
              <w:ind w:right="862"/>
              <w:spacing w:after="0"/>
              <w:rPr>
                <w:sz w:val="20"/>
                <w:szCs w:val="20"/>
                <w:color w:val="auto"/>
              </w:rPr>
            </w:pPr>
            <w:r>
              <w:rPr>
                <w:rFonts w:ascii="Arial" w:cs="Arial" w:eastAsia="Arial" w:hAnsi="Arial"/>
                <w:sz w:val="10"/>
                <w:szCs w:val="10"/>
                <w:b w:val="1"/>
                <w:bCs w:val="1"/>
                <w:color w:val="auto"/>
              </w:rPr>
              <w:t>2017</w:t>
            </w:r>
          </w:p>
        </w:tc>
        <w:tc>
          <w:tcPr>
            <w:tcW w:w="260" w:type="dxa"/>
            <w:vAlign w:val="bottom"/>
            <w:tcBorders>
              <w:bottom w:val="single" w:sz="8" w:color="CFF0FC"/>
            </w:tcBorders>
          </w:tcPr>
          <w:p>
            <w:pPr>
              <w:spacing w:after="0"/>
              <w:rPr>
                <w:sz w:val="10"/>
                <w:szCs w:val="10"/>
                <w:color w:val="auto"/>
              </w:rPr>
            </w:pPr>
          </w:p>
        </w:tc>
        <w:tc>
          <w:tcPr>
            <w:tcW w:w="2020" w:type="dxa"/>
            <w:vAlign w:val="bottom"/>
            <w:tcBorders>
              <w:bottom w:val="single" w:sz="8" w:color="auto"/>
            </w:tcBorders>
          </w:tcPr>
          <w:p>
            <w:pPr>
              <w:jc w:val="right"/>
              <w:ind w:right="862"/>
              <w:spacing w:after="0"/>
              <w:rPr>
                <w:sz w:val="20"/>
                <w:szCs w:val="20"/>
                <w:color w:val="auto"/>
              </w:rPr>
            </w:pPr>
            <w:r>
              <w:rPr>
                <w:rFonts w:ascii="Arial" w:cs="Arial" w:eastAsia="Arial" w:hAnsi="Arial"/>
                <w:sz w:val="10"/>
                <w:szCs w:val="10"/>
                <w:b w:val="1"/>
                <w:bCs w:val="1"/>
                <w:color w:val="auto"/>
              </w:rPr>
              <w:t>2016</w:t>
            </w:r>
          </w:p>
        </w:tc>
        <w:tc>
          <w:tcPr>
            <w:tcW w:w="140" w:type="dxa"/>
            <w:vAlign w:val="bottom"/>
            <w:tcBorders>
              <w:bottom w:val="single" w:sz="8" w:color="CFF0FC"/>
            </w:tcBorders>
          </w:tcPr>
          <w:p>
            <w:pPr>
              <w:spacing w:after="0"/>
              <w:rPr>
                <w:sz w:val="10"/>
                <w:szCs w:val="10"/>
                <w:color w:val="auto"/>
              </w:rPr>
            </w:pPr>
          </w:p>
        </w:tc>
      </w:tr>
      <w:tr>
        <w:trPr>
          <w:trHeight w:val="142"/>
        </w:trPr>
        <w:tc>
          <w:tcPr>
            <w:tcW w:w="62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Expected term (years)</w:t>
            </w:r>
          </w:p>
        </w:tc>
        <w:tc>
          <w:tcPr>
            <w:tcW w:w="5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w:t>
            </w:r>
          </w:p>
        </w:tc>
        <w:tc>
          <w:tcPr>
            <w:tcW w:w="240" w:type="dxa"/>
            <w:vAlign w:val="bottom"/>
            <w:shd w:val="clear" w:color="auto" w:fill="CFF0FC"/>
          </w:tcPr>
          <w:p>
            <w:pPr>
              <w:spacing w:after="0"/>
              <w:rPr>
                <w:sz w:val="12"/>
                <w:szCs w:val="12"/>
                <w:color w:val="auto"/>
              </w:rPr>
            </w:pPr>
          </w:p>
        </w:tc>
        <w:tc>
          <w:tcPr>
            <w:tcW w:w="20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w:t>
            </w:r>
          </w:p>
        </w:tc>
        <w:tc>
          <w:tcPr>
            <w:tcW w:w="260" w:type="dxa"/>
            <w:vAlign w:val="bottom"/>
            <w:shd w:val="clear" w:color="auto" w:fill="CFF0FC"/>
          </w:tcPr>
          <w:p>
            <w:pPr>
              <w:spacing w:after="0"/>
              <w:rPr>
                <w:sz w:val="12"/>
                <w:szCs w:val="12"/>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w:t>
            </w:r>
          </w:p>
        </w:tc>
        <w:tc>
          <w:tcPr>
            <w:tcW w:w="140" w:type="dxa"/>
            <w:vAlign w:val="bottom"/>
            <w:shd w:val="clear" w:color="auto" w:fill="CFF0FC"/>
          </w:tcPr>
          <w:p>
            <w:pPr>
              <w:spacing w:after="0"/>
              <w:rPr>
                <w:sz w:val="12"/>
                <w:szCs w:val="12"/>
                <w:color w:val="auto"/>
              </w:rPr>
            </w:pPr>
          </w:p>
        </w:tc>
      </w:tr>
      <w:tr>
        <w:trPr>
          <w:trHeight w:val="153"/>
        </w:trPr>
        <w:tc>
          <w:tcPr>
            <w:tcW w:w="6200" w:type="dxa"/>
            <w:vAlign w:val="bottom"/>
            <w:gridSpan w:val="2"/>
          </w:tcPr>
          <w:p>
            <w:pPr>
              <w:spacing w:after="0"/>
              <w:rPr>
                <w:sz w:val="20"/>
                <w:szCs w:val="20"/>
                <w:color w:val="auto"/>
              </w:rPr>
            </w:pPr>
            <w:r>
              <w:rPr>
                <w:rFonts w:ascii="Arial" w:cs="Arial" w:eastAsia="Arial" w:hAnsi="Arial"/>
                <w:sz w:val="12"/>
                <w:szCs w:val="12"/>
                <w:color w:val="auto"/>
              </w:rPr>
              <w:t>Expected volatility</w:t>
            </w:r>
          </w:p>
        </w:tc>
        <w:tc>
          <w:tcPr>
            <w:tcW w:w="820" w:type="dxa"/>
            <w:vAlign w:val="bottom"/>
            <w:gridSpan w:val="2"/>
          </w:tcPr>
          <w:p>
            <w:pPr>
              <w:jc w:val="right"/>
              <w:ind w:right="140"/>
              <w:spacing w:after="0"/>
              <w:rPr>
                <w:sz w:val="20"/>
                <w:szCs w:val="20"/>
                <w:color w:val="auto"/>
              </w:rPr>
            </w:pPr>
            <w:r>
              <w:rPr>
                <w:rFonts w:ascii="Arial" w:cs="Arial" w:eastAsia="Arial" w:hAnsi="Arial"/>
                <w:sz w:val="12"/>
                <w:szCs w:val="12"/>
                <w:color w:val="auto"/>
              </w:rPr>
              <w:t>48.5%</w:t>
            </w:r>
          </w:p>
        </w:tc>
        <w:tc>
          <w:tcPr>
            <w:tcW w:w="2300" w:type="dxa"/>
            <w:vAlign w:val="bottom"/>
            <w:gridSpan w:val="2"/>
          </w:tcPr>
          <w:p>
            <w:pPr>
              <w:jc w:val="right"/>
              <w:ind w:right="160"/>
              <w:spacing w:after="0"/>
              <w:rPr>
                <w:sz w:val="20"/>
                <w:szCs w:val="20"/>
                <w:color w:val="auto"/>
              </w:rPr>
            </w:pPr>
            <w:r>
              <w:rPr>
                <w:rFonts w:ascii="Arial" w:cs="Arial" w:eastAsia="Arial" w:hAnsi="Arial"/>
                <w:sz w:val="12"/>
                <w:szCs w:val="12"/>
                <w:color w:val="auto"/>
              </w:rPr>
              <w:t>33.6%</w:t>
            </w:r>
          </w:p>
        </w:tc>
        <w:tc>
          <w:tcPr>
            <w:tcW w:w="2160" w:type="dxa"/>
            <w:vAlign w:val="bottom"/>
            <w:gridSpan w:val="2"/>
          </w:tcPr>
          <w:p>
            <w:pPr>
              <w:jc w:val="right"/>
              <w:ind w:right="40"/>
              <w:spacing w:after="0"/>
              <w:rPr>
                <w:sz w:val="20"/>
                <w:szCs w:val="20"/>
                <w:color w:val="auto"/>
              </w:rPr>
            </w:pPr>
            <w:r>
              <w:rPr>
                <w:rFonts w:ascii="Arial" w:cs="Arial" w:eastAsia="Arial" w:hAnsi="Arial"/>
                <w:sz w:val="12"/>
                <w:szCs w:val="12"/>
                <w:color w:val="auto"/>
              </w:rPr>
              <w:t>48.8%</w:t>
            </w:r>
          </w:p>
        </w:tc>
      </w:tr>
      <w:tr>
        <w:trPr>
          <w:trHeight w:val="153"/>
        </w:trPr>
        <w:tc>
          <w:tcPr>
            <w:tcW w:w="62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Expected annual dividend</w:t>
            </w: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0.0%</w:t>
            </w:r>
          </w:p>
        </w:tc>
        <w:tc>
          <w:tcPr>
            <w:tcW w:w="230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0.0%</w:t>
            </w:r>
          </w:p>
        </w:tc>
        <w:tc>
          <w:tcPr>
            <w:tcW w:w="216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0.0%</w:t>
            </w:r>
          </w:p>
        </w:tc>
      </w:tr>
      <w:tr>
        <w:trPr>
          <w:trHeight w:val="153"/>
        </w:trPr>
        <w:tc>
          <w:tcPr>
            <w:tcW w:w="6200" w:type="dxa"/>
            <w:vAlign w:val="bottom"/>
            <w:gridSpan w:val="2"/>
          </w:tcPr>
          <w:p>
            <w:pPr>
              <w:spacing w:after="0"/>
              <w:rPr>
                <w:sz w:val="20"/>
                <w:szCs w:val="20"/>
                <w:color w:val="auto"/>
              </w:rPr>
            </w:pPr>
            <w:r>
              <w:rPr>
                <w:rFonts w:ascii="Arial" w:cs="Arial" w:eastAsia="Arial" w:hAnsi="Arial"/>
                <w:sz w:val="12"/>
                <w:szCs w:val="12"/>
                <w:color w:val="auto"/>
              </w:rPr>
              <w:t>Risk free rate</w:t>
            </w:r>
          </w:p>
        </w:tc>
        <w:tc>
          <w:tcPr>
            <w:tcW w:w="820" w:type="dxa"/>
            <w:vAlign w:val="bottom"/>
            <w:gridSpan w:val="2"/>
          </w:tcPr>
          <w:p>
            <w:pPr>
              <w:jc w:val="right"/>
              <w:ind w:right="140"/>
              <w:spacing w:after="0"/>
              <w:rPr>
                <w:sz w:val="20"/>
                <w:szCs w:val="20"/>
                <w:color w:val="auto"/>
              </w:rPr>
            </w:pPr>
            <w:r>
              <w:rPr>
                <w:rFonts w:ascii="Arial" w:cs="Arial" w:eastAsia="Arial" w:hAnsi="Arial"/>
                <w:sz w:val="12"/>
                <w:szCs w:val="12"/>
                <w:color w:val="auto"/>
              </w:rPr>
              <w:t>2.3%</w:t>
            </w:r>
          </w:p>
        </w:tc>
        <w:tc>
          <w:tcPr>
            <w:tcW w:w="2300" w:type="dxa"/>
            <w:vAlign w:val="bottom"/>
            <w:gridSpan w:val="2"/>
          </w:tcPr>
          <w:p>
            <w:pPr>
              <w:jc w:val="right"/>
              <w:ind w:right="160"/>
              <w:spacing w:after="0"/>
              <w:rPr>
                <w:sz w:val="20"/>
                <w:szCs w:val="20"/>
                <w:color w:val="auto"/>
              </w:rPr>
            </w:pPr>
            <w:r>
              <w:rPr>
                <w:rFonts w:ascii="Arial" w:cs="Arial" w:eastAsia="Arial" w:hAnsi="Arial"/>
                <w:sz w:val="12"/>
                <w:szCs w:val="12"/>
                <w:color w:val="auto"/>
              </w:rPr>
              <w:t>1.5%</w:t>
            </w:r>
          </w:p>
        </w:tc>
        <w:tc>
          <w:tcPr>
            <w:tcW w:w="2160" w:type="dxa"/>
            <w:vAlign w:val="bottom"/>
            <w:gridSpan w:val="2"/>
          </w:tcPr>
          <w:p>
            <w:pPr>
              <w:jc w:val="right"/>
              <w:ind w:right="40"/>
              <w:spacing w:after="0"/>
              <w:rPr>
                <w:sz w:val="20"/>
                <w:szCs w:val="20"/>
                <w:color w:val="auto"/>
              </w:rPr>
            </w:pPr>
            <w:r>
              <w:rPr>
                <w:rFonts w:ascii="Arial" w:cs="Arial" w:eastAsia="Arial" w:hAnsi="Arial"/>
                <w:sz w:val="12"/>
                <w:szCs w:val="12"/>
                <w:color w:val="auto"/>
              </w:rPr>
              <w:t>0.9%</w:t>
            </w:r>
          </w:p>
        </w:tc>
      </w:tr>
    </w:tbl>
    <w:p>
      <w:pPr>
        <w:spacing w:after="0" w:line="135" w:lineRule="exact"/>
        <w:rPr>
          <w:sz w:val="20"/>
          <w:szCs w:val="20"/>
          <w:color w:val="auto"/>
        </w:rPr>
      </w:pPr>
    </w:p>
    <w:p>
      <w:pPr>
        <w:ind w:left="8"/>
        <w:spacing w:after="0"/>
        <w:rPr>
          <w:sz w:val="20"/>
          <w:szCs w:val="20"/>
          <w:color w:val="auto"/>
        </w:rPr>
      </w:pPr>
      <w:r>
        <w:rPr>
          <w:rFonts w:ascii="Arial" w:cs="Arial" w:eastAsia="Arial" w:hAnsi="Arial"/>
          <w:sz w:val="12"/>
          <w:szCs w:val="12"/>
          <w:b w:val="1"/>
          <w:bCs w:val="1"/>
          <w:i w:val="1"/>
          <w:iCs w:val="1"/>
          <w:color w:val="auto"/>
        </w:rPr>
        <w:t>Employee Stock Purchase Plan</w:t>
      </w:r>
    </w:p>
    <w:p>
      <w:pPr>
        <w:spacing w:after="0" w:line="150" w:lineRule="exact"/>
        <w:rPr>
          <w:sz w:val="20"/>
          <w:szCs w:val="20"/>
          <w:color w:val="auto"/>
        </w:rPr>
      </w:pPr>
    </w:p>
    <w:p>
      <w:pPr>
        <w:jc w:val="center"/>
        <w:ind w:right="372"/>
        <w:spacing w:after="0"/>
        <w:rPr>
          <w:sz w:val="20"/>
          <w:szCs w:val="20"/>
          <w:color w:val="auto"/>
        </w:rPr>
      </w:pPr>
      <w:r>
        <w:rPr>
          <w:rFonts w:ascii="Arial" w:cs="Arial" w:eastAsia="Arial" w:hAnsi="Arial"/>
          <w:sz w:val="10"/>
          <w:szCs w:val="10"/>
          <w:color w:val="auto"/>
        </w:rPr>
        <w:t>On May 17, 2018, our stockholders approved and adopted the Uniti Group Inc. Employee Stock Purchase Plan (the “ESPP”). The ESPP authorizes us to issue up to 2,000,000 shares of our common stock to any of our employees so</w:t>
      </w:r>
    </w:p>
    <w:p>
      <w:pPr>
        <w:spacing w:after="0" w:line="173" w:lineRule="exact"/>
        <w:rPr>
          <w:sz w:val="20"/>
          <w:szCs w:val="20"/>
          <w:color w:val="auto"/>
        </w:rPr>
      </w:pPr>
    </w:p>
    <w:p>
      <w:pPr>
        <w:jc w:val="center"/>
        <w:ind w:right="-7"/>
        <w:spacing w:after="0"/>
        <w:rPr>
          <w:sz w:val="20"/>
          <w:szCs w:val="20"/>
          <w:color w:val="auto"/>
        </w:rPr>
      </w:pPr>
      <w:r>
        <w:rPr>
          <w:rFonts w:ascii="Arial" w:cs="Arial" w:eastAsia="Arial" w:hAnsi="Arial"/>
          <w:sz w:val="12"/>
          <w:szCs w:val="12"/>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1" w:right="199" w:bottom="1440" w:gutter="0" w:footer="0" w:header="0"/>
        </w:sectPr>
      </w:pPr>
    </w:p>
    <w:bookmarkStart w:id="91" w:name="page92"/>
    <w:bookmarkEnd w:id="9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60"/>
        <w:spacing w:after="0" w:line="290" w:lineRule="auto"/>
        <w:rPr>
          <w:sz w:val="20"/>
          <w:szCs w:val="20"/>
          <w:color w:val="auto"/>
        </w:rPr>
      </w:pPr>
      <w:r>
        <w:rPr>
          <w:rFonts w:ascii="Arial" w:cs="Arial" w:eastAsia="Arial" w:hAnsi="Arial"/>
          <w:sz w:val="11"/>
          <w:szCs w:val="11"/>
          <w:color w:val="auto"/>
        </w:rPr>
        <w:t>long as the employee is employed on the first day of the applicable offering period. Under the ESPP, there are two six-month plan periods during each calendar year, one beginning January 1 and ending on June 30, and one beginning on July 1 and ending on December 31. Under the terms of the ESPP, employees can choose each plan period to have up to 15% of their annual base earnings, limited to $25,000 withheld to purchase our common stock. The purchase price of the stock is 85% of the lower of its beginning-of-period or end-of-period market price. Under the ESPP, no shares were sold to employees during the year ended 2018. As of December 31, 2018, there were 2,000,000 shares available for future issuance under the ESPP. The following table summarizes the assumptions used to value the purchase rights granted under the ESPP during the year ended December 31, 2018:</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7840" w:type="dxa"/>
            <w:vAlign w:val="bottom"/>
          </w:tcPr>
          <w:p>
            <w:pPr>
              <w:spacing w:after="0"/>
              <w:rPr>
                <w:sz w:val="10"/>
                <w:szCs w:val="10"/>
                <w:color w:val="auto"/>
              </w:rPr>
            </w:pPr>
          </w:p>
        </w:tc>
        <w:tc>
          <w:tcPr>
            <w:tcW w:w="3640" w:type="dxa"/>
            <w:vAlign w:val="bottom"/>
            <w:gridSpan w:val="2"/>
          </w:tcPr>
          <w:p>
            <w:pPr>
              <w:jc w:val="right"/>
              <w:ind w:right="1300"/>
              <w:spacing w:after="0"/>
              <w:rPr>
                <w:sz w:val="20"/>
                <w:szCs w:val="20"/>
                <w:color w:val="auto"/>
              </w:rPr>
            </w:pPr>
            <w:r>
              <w:rPr>
                <w:rFonts w:ascii="Arial" w:cs="Arial" w:eastAsia="Arial" w:hAnsi="Arial"/>
                <w:sz w:val="10"/>
                <w:szCs w:val="10"/>
                <w:b w:val="1"/>
                <w:bCs w:val="1"/>
                <w:color w:val="auto"/>
              </w:rPr>
              <w:t>Year Ended December 31, 2018</w:t>
            </w:r>
          </w:p>
        </w:tc>
      </w:tr>
      <w:tr>
        <w:trPr>
          <w:trHeight w:val="142"/>
        </w:trPr>
        <w:tc>
          <w:tcPr>
            <w:tcW w:w="7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2"/>
                <w:szCs w:val="12"/>
                <w:color w:val="auto"/>
              </w:rPr>
              <w:t>Expected term (years)</w:t>
            </w:r>
          </w:p>
        </w:tc>
        <w:tc>
          <w:tcPr>
            <w:tcW w:w="3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0.5</w:t>
            </w:r>
          </w:p>
        </w:tc>
        <w:tc>
          <w:tcPr>
            <w:tcW w:w="220" w:type="dxa"/>
            <w:vAlign w:val="bottom"/>
            <w:tcBorders>
              <w:top w:val="single" w:sz="8" w:color="CFF0FC"/>
            </w:tcBorders>
            <w:shd w:val="clear" w:color="auto" w:fill="CFF0FC"/>
          </w:tcPr>
          <w:p>
            <w:pPr>
              <w:spacing w:after="0"/>
              <w:rPr>
                <w:sz w:val="12"/>
                <w:szCs w:val="12"/>
                <w:color w:val="auto"/>
              </w:rPr>
            </w:pPr>
          </w:p>
        </w:tc>
      </w:tr>
      <w:tr>
        <w:trPr>
          <w:trHeight w:val="153"/>
        </w:trPr>
        <w:tc>
          <w:tcPr>
            <w:tcW w:w="7840" w:type="dxa"/>
            <w:vAlign w:val="bottom"/>
          </w:tcPr>
          <w:p>
            <w:pPr>
              <w:spacing w:after="0"/>
              <w:rPr>
                <w:sz w:val="20"/>
                <w:szCs w:val="20"/>
                <w:color w:val="auto"/>
              </w:rPr>
            </w:pPr>
            <w:r>
              <w:rPr>
                <w:rFonts w:ascii="Arial" w:cs="Arial" w:eastAsia="Arial" w:hAnsi="Arial"/>
                <w:sz w:val="12"/>
                <w:szCs w:val="12"/>
                <w:color w:val="auto"/>
              </w:rPr>
              <w:t>Expected volatility</w:t>
            </w:r>
          </w:p>
        </w:tc>
        <w:tc>
          <w:tcPr>
            <w:tcW w:w="3640" w:type="dxa"/>
            <w:vAlign w:val="bottom"/>
            <w:gridSpan w:val="2"/>
          </w:tcPr>
          <w:p>
            <w:pPr>
              <w:jc w:val="right"/>
              <w:ind w:right="120"/>
              <w:spacing w:after="0"/>
              <w:rPr>
                <w:sz w:val="20"/>
                <w:szCs w:val="20"/>
                <w:color w:val="auto"/>
              </w:rPr>
            </w:pPr>
            <w:r>
              <w:rPr>
                <w:rFonts w:ascii="Arial" w:cs="Arial" w:eastAsia="Arial" w:hAnsi="Arial"/>
                <w:sz w:val="12"/>
                <w:szCs w:val="12"/>
                <w:color w:val="auto"/>
              </w:rPr>
              <w:t>37.0%</w:t>
            </w:r>
          </w:p>
        </w:tc>
      </w:tr>
      <w:tr>
        <w:trPr>
          <w:trHeight w:val="153"/>
        </w:trPr>
        <w:tc>
          <w:tcPr>
            <w:tcW w:w="7840" w:type="dxa"/>
            <w:vAlign w:val="bottom"/>
            <w:shd w:val="clear" w:color="auto" w:fill="CFF0FC"/>
          </w:tcPr>
          <w:p>
            <w:pPr>
              <w:spacing w:after="0"/>
              <w:rPr>
                <w:sz w:val="20"/>
                <w:szCs w:val="20"/>
                <w:color w:val="auto"/>
              </w:rPr>
            </w:pPr>
            <w:r>
              <w:rPr>
                <w:rFonts w:ascii="Arial" w:cs="Arial" w:eastAsia="Arial" w:hAnsi="Arial"/>
                <w:sz w:val="12"/>
                <w:szCs w:val="12"/>
                <w:color w:val="auto"/>
              </w:rPr>
              <w:t>Expected annual dividend</w:t>
            </w:r>
          </w:p>
        </w:tc>
        <w:tc>
          <w:tcPr>
            <w:tcW w:w="3640" w:type="dxa"/>
            <w:vAlign w:val="bottom"/>
            <w:gridSpan w:val="2"/>
            <w:shd w:val="clear" w:color="auto" w:fill="CFF0FC"/>
          </w:tcPr>
          <w:p>
            <w:pPr>
              <w:jc w:val="right"/>
              <w:ind w:right="120"/>
              <w:spacing w:after="0"/>
              <w:rPr>
                <w:sz w:val="20"/>
                <w:szCs w:val="20"/>
                <w:color w:val="auto"/>
              </w:rPr>
            </w:pPr>
            <w:r>
              <w:rPr>
                <w:rFonts w:ascii="Arial" w:cs="Arial" w:eastAsia="Arial" w:hAnsi="Arial"/>
                <w:sz w:val="12"/>
                <w:szCs w:val="12"/>
                <w:color w:val="auto"/>
              </w:rPr>
              <w:t>11.3%</w:t>
            </w:r>
          </w:p>
        </w:tc>
      </w:tr>
      <w:tr>
        <w:trPr>
          <w:trHeight w:val="153"/>
        </w:trPr>
        <w:tc>
          <w:tcPr>
            <w:tcW w:w="7840" w:type="dxa"/>
            <w:vAlign w:val="bottom"/>
          </w:tcPr>
          <w:p>
            <w:pPr>
              <w:spacing w:after="0"/>
              <w:rPr>
                <w:sz w:val="20"/>
                <w:szCs w:val="20"/>
                <w:color w:val="auto"/>
              </w:rPr>
            </w:pPr>
            <w:r>
              <w:rPr>
                <w:rFonts w:ascii="Arial" w:cs="Arial" w:eastAsia="Arial" w:hAnsi="Arial"/>
                <w:sz w:val="12"/>
                <w:szCs w:val="12"/>
                <w:color w:val="auto"/>
              </w:rPr>
              <w:t>Risk free rate</w:t>
            </w:r>
          </w:p>
        </w:tc>
        <w:tc>
          <w:tcPr>
            <w:tcW w:w="3640" w:type="dxa"/>
            <w:vAlign w:val="bottom"/>
            <w:gridSpan w:val="2"/>
          </w:tcPr>
          <w:p>
            <w:pPr>
              <w:jc w:val="right"/>
              <w:ind w:right="120"/>
              <w:spacing w:after="0"/>
              <w:rPr>
                <w:sz w:val="20"/>
                <w:szCs w:val="20"/>
                <w:color w:val="auto"/>
              </w:rPr>
            </w:pPr>
            <w:r>
              <w:rPr>
                <w:rFonts w:ascii="Arial" w:cs="Arial" w:eastAsia="Arial" w:hAnsi="Arial"/>
                <w:sz w:val="12"/>
                <w:szCs w:val="12"/>
                <w:color w:val="auto"/>
              </w:rPr>
              <w:t>2.1%</w:t>
            </w:r>
          </w:p>
        </w:tc>
      </w:tr>
    </w:tbl>
    <w:p>
      <w:pPr>
        <w:spacing w:after="0" w:line="135"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For the years ended December 31, 2018, 2017 and 2016, we recognized $8.1 million, $7.7 million and $4.8 million, respectively, of compensation expense related to restricted stock awards, performance-based awards and the ESPP, which is recorded in general and administrative expense on our Consolidated Statement of Income.</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12. Related Party Transactions</w:t>
      </w:r>
    </w:p>
    <w:p>
      <w:pPr>
        <w:spacing w:after="0" w:line="154" w:lineRule="exact"/>
        <w:rPr>
          <w:sz w:val="20"/>
          <w:szCs w:val="20"/>
          <w:color w:val="auto"/>
        </w:rPr>
      </w:pPr>
    </w:p>
    <w:p>
      <w:pPr>
        <w:ind w:right="120"/>
        <w:spacing w:after="0" w:line="263" w:lineRule="auto"/>
        <w:rPr>
          <w:sz w:val="20"/>
          <w:szCs w:val="20"/>
          <w:color w:val="auto"/>
        </w:rPr>
      </w:pPr>
      <w:r>
        <w:rPr>
          <w:rFonts w:ascii="Arial" w:cs="Arial" w:eastAsia="Arial" w:hAnsi="Arial"/>
          <w:sz w:val="12"/>
          <w:szCs w:val="12"/>
          <w:color w:val="auto"/>
        </w:rPr>
        <w:t>In connection with the Spin-Off, we issued approximately 149.8 million shares of our common stock, par value $0.0001 per share, to Windstream as partial consideration for the contribution of the Distribution Systems and the Consumer CLEC Business. Windstream Holdings distributed approximately 80.4% of the Uniti shares it received to existing stockholders of Windstream Holdings and retained a passive ownership interest of approximately 19.6% of the common stock of Uniti. As a result of this ownership Windstream was deemed to be a related party.</w:t>
      </w:r>
    </w:p>
    <w:p>
      <w:pPr>
        <w:spacing w:after="0" w:line="123" w:lineRule="exact"/>
        <w:rPr>
          <w:sz w:val="20"/>
          <w:szCs w:val="20"/>
          <w:color w:val="auto"/>
        </w:rPr>
      </w:pPr>
    </w:p>
    <w:p>
      <w:pPr>
        <w:ind w:right="260"/>
        <w:spacing w:after="0" w:line="298" w:lineRule="auto"/>
        <w:rPr>
          <w:sz w:val="20"/>
          <w:szCs w:val="20"/>
          <w:color w:val="auto"/>
        </w:rPr>
      </w:pPr>
      <w:r>
        <w:rPr>
          <w:rFonts w:ascii="Arial" w:cs="Arial" w:eastAsia="Arial" w:hAnsi="Arial"/>
          <w:sz w:val="11"/>
          <w:szCs w:val="11"/>
          <w:color w:val="auto"/>
        </w:rPr>
        <w:t>On June 15, 2016, Windstream Holdings disposed of 14.7 million shares of our common stock, representing approximately half of its retained ownership interest. On June 24, 2016, Windstream Holdings disposed of its remaining 14.7 million shares of our common stock as part of a public offering. The Company did not receive any proceeds resulting from the disposition of these shares. Accordingly, upon its disposition of these shares, Windstream was no longer deemed a related party under applicable accounting regulations. Our consolidated financial statements reflect the following transactions with Windstream during the periods in which Windstream was deemed a related party.</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u w:val="single" w:color="auto"/>
          <w:color w:val="auto"/>
        </w:rPr>
        <w:t>Revenues</w:t>
      </w:r>
      <w:r>
        <w:rPr>
          <w:rFonts w:ascii="Arial" w:cs="Arial" w:eastAsia="Arial" w:hAnsi="Arial"/>
          <w:sz w:val="12"/>
          <w:szCs w:val="12"/>
          <w:color w:val="auto"/>
        </w:rPr>
        <w:t xml:space="preserve"> – The Company records leasing revenue pursuant to the Master Lease. For the six months ended June 30, 2016, we recognized leasing revenues of $337.6 million related to the Master Lease.</w:t>
      </w:r>
    </w:p>
    <w:p>
      <w:pPr>
        <w:spacing w:after="0" w:line="150" w:lineRule="exact"/>
        <w:rPr>
          <w:sz w:val="20"/>
          <w:szCs w:val="20"/>
          <w:color w:val="auto"/>
        </w:rPr>
      </w:pPr>
    </w:p>
    <w:p>
      <w:pPr>
        <w:spacing w:after="0" w:line="263" w:lineRule="auto"/>
        <w:rPr>
          <w:sz w:val="20"/>
          <w:szCs w:val="20"/>
          <w:color w:val="auto"/>
        </w:rPr>
      </w:pPr>
      <w:r>
        <w:rPr>
          <w:rFonts w:ascii="Arial" w:cs="Arial" w:eastAsia="Arial" w:hAnsi="Arial"/>
          <w:sz w:val="12"/>
          <w:szCs w:val="12"/>
          <w:u w:val="single" w:color="auto"/>
          <w:color w:val="auto"/>
        </w:rPr>
        <w:t>General and Administrative Expenses</w:t>
      </w:r>
      <w:r>
        <w:rPr>
          <w:rFonts w:ascii="Arial" w:cs="Arial" w:eastAsia="Arial" w:hAnsi="Arial"/>
          <w:sz w:val="12"/>
          <w:szCs w:val="12"/>
          <w:color w:val="auto"/>
        </w:rPr>
        <w:t xml:space="preserve"> – We are party to a Transition Services Agreement (“TSA”) pursuant to which Windstream and its affiliates provide, on an interim basis, various services, including but not limited to information technology services, payment processing and collection services, financial and tax services, regulatory compliance and other support services. On April 1, 2016, the TSA ceased and we incurred $19,000 of related TSA expense for the three months ended March 31, 2016.</w:t>
      </w:r>
    </w:p>
    <w:p>
      <w:pPr>
        <w:spacing w:after="0" w:line="123" w:lineRule="exact"/>
        <w:rPr>
          <w:sz w:val="20"/>
          <w:szCs w:val="20"/>
          <w:color w:val="auto"/>
        </w:rPr>
      </w:pPr>
    </w:p>
    <w:p>
      <w:pPr>
        <w:ind w:right="60"/>
        <w:spacing w:after="0" w:line="259" w:lineRule="auto"/>
        <w:rPr>
          <w:sz w:val="20"/>
          <w:szCs w:val="20"/>
          <w:color w:val="auto"/>
        </w:rPr>
      </w:pPr>
      <w:r>
        <w:rPr>
          <w:rFonts w:ascii="Arial" w:cs="Arial" w:eastAsia="Arial" w:hAnsi="Arial"/>
          <w:sz w:val="12"/>
          <w:szCs w:val="12"/>
          <w:u w:val="single" w:color="auto"/>
          <w:color w:val="auto"/>
        </w:rPr>
        <w:t>CLEC Operating Expenses</w:t>
      </w:r>
      <w:r>
        <w:rPr>
          <w:rFonts w:ascii="Arial" w:cs="Arial" w:eastAsia="Arial" w:hAnsi="Arial"/>
          <w:sz w:val="12"/>
          <w:szCs w:val="12"/>
          <w:color w:val="auto"/>
        </w:rPr>
        <w:t xml:space="preserve"> – We are party to a Wholesale Master Services Agreement (“Wholesale Agreement”) and a Master Services Agreement with Windstream related to the Consumer CLEC Business. Under the Wholesale Agreement, Windstream provides us transport services (local and long distance telecommunications service), provisioning services (directory assistance, directory listing, service activation and service changes), and repair services (routine and emergency network maintenance, network audits and network security). Under the Master Services Agreement, Windstream provides billing and collections services to Uniti. During the six months ended June 30, 2016, we incurred expenses of $6.6 million and $0.9 million related to the Wholesale Agreement and Master Services Agreement, respectively.</w:t>
      </w:r>
    </w:p>
    <w:p>
      <w:pPr>
        <w:spacing w:after="0" w:line="125" w:lineRule="exact"/>
        <w:rPr>
          <w:sz w:val="20"/>
          <w:szCs w:val="20"/>
          <w:color w:val="auto"/>
        </w:rPr>
      </w:pPr>
    </w:p>
    <w:p>
      <w:pPr>
        <w:jc w:val="center"/>
        <w:ind w:right="400"/>
        <w:spacing w:after="0"/>
        <w:rPr>
          <w:sz w:val="20"/>
          <w:szCs w:val="20"/>
          <w:color w:val="auto"/>
        </w:rPr>
      </w:pPr>
      <w:r>
        <w:rPr>
          <w:rFonts w:ascii="Arial" w:cs="Arial" w:eastAsia="Arial" w:hAnsi="Arial"/>
          <w:sz w:val="10"/>
          <w:szCs w:val="10"/>
          <w:u w:val="single" w:color="auto"/>
          <w:color w:val="auto"/>
        </w:rPr>
        <w:t>Employee Matters Agreement</w:t>
      </w:r>
      <w:r>
        <w:rPr>
          <w:rFonts w:ascii="Arial" w:cs="Arial" w:eastAsia="Arial" w:hAnsi="Arial"/>
          <w:sz w:val="10"/>
          <w:szCs w:val="10"/>
          <w:color w:val="auto"/>
        </w:rPr>
        <w:t xml:space="preserve"> – We are party to an Employee Matters Agreement (“Employee Matters Agreement”) with Windstream that governs the respective compensation and employee benefit obligations of the Company and</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0" w:right="199" w:bottom="1440" w:gutter="0" w:footer="0" w:header="0"/>
        </w:sectPr>
      </w:pPr>
    </w:p>
    <w:bookmarkStart w:id="92" w:name="page93"/>
    <w:bookmarkEnd w:id="9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0"/>
        <w:spacing w:after="0" w:line="290" w:lineRule="auto"/>
        <w:rPr>
          <w:sz w:val="20"/>
          <w:szCs w:val="20"/>
          <w:color w:val="auto"/>
        </w:rPr>
      </w:pPr>
      <w:r>
        <w:rPr>
          <w:rFonts w:ascii="Arial" w:cs="Arial" w:eastAsia="Arial" w:hAnsi="Arial"/>
          <w:sz w:val="11"/>
          <w:szCs w:val="11"/>
          <w:color w:val="auto"/>
        </w:rPr>
        <w:t>Windstream in connection with and following the Spin-Off. Under the Employee Matters Agreement, if requested by a Windstream employee, the Company is required to withhold shares to satisfy the employee’s tax obligations arising from the recognition of income and the vesting of shares related to awards of Uniti restricted stock held by the employee that were granted in connection with the Spin-Off. In that case, the Company must pay to Windstream an amount of cash equal to the amount required to be withheld to satisfy minimum statutory tax withholding obligations or, at the request of Windstream, remit such cash directly to the applicable taxing authorities. During the six months ended June 30, 2016, we withheld 91,412 common shares to satisfy these minimum statutory tax-withholding obligations and delivered $1.9 million to Windstream for remittance to the applicable taxing authorities.</w:t>
      </w:r>
    </w:p>
    <w:p>
      <w:pPr>
        <w:spacing w:after="0" w:line="109"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u w:val="single" w:color="auto"/>
          <w:color w:val="auto"/>
        </w:rPr>
        <w:t>Tower Purchase</w:t>
      </w:r>
      <w:r>
        <w:rPr>
          <w:rFonts w:ascii="Arial" w:cs="Arial" w:eastAsia="Arial" w:hAnsi="Arial"/>
          <w:sz w:val="12"/>
          <w:szCs w:val="12"/>
          <w:color w:val="auto"/>
        </w:rPr>
        <w:t xml:space="preserve"> – In May, 2016, we completed the previously announced transaction with Windstream to acquire 32 wireless towers owned by Windstream and operating rights for 49 wireless towers previously conveyed to the Company in the Spin-Off for a purchase price of approximately $3 million.</w:t>
      </w:r>
    </w:p>
    <w:p>
      <w:pPr>
        <w:spacing w:after="0" w:line="115" w:lineRule="exact"/>
        <w:rPr>
          <w:sz w:val="20"/>
          <w:szCs w:val="20"/>
          <w:color w:val="auto"/>
        </w:rPr>
      </w:pPr>
    </w:p>
    <w:p>
      <w:pPr>
        <w:ind w:right="40"/>
        <w:spacing w:after="0" w:line="283" w:lineRule="auto"/>
        <w:rPr>
          <w:sz w:val="20"/>
          <w:szCs w:val="20"/>
          <w:color w:val="auto"/>
        </w:rPr>
      </w:pPr>
      <w:r>
        <w:rPr>
          <w:rFonts w:ascii="Arial" w:cs="Arial" w:eastAsia="Arial" w:hAnsi="Arial"/>
          <w:sz w:val="11"/>
          <w:szCs w:val="11"/>
          <w:u w:val="single" w:color="auto"/>
          <w:color w:val="auto"/>
        </w:rPr>
        <w:t>Lease Amendment</w:t>
      </w:r>
      <w:r>
        <w:rPr>
          <w:rFonts w:ascii="Arial" w:cs="Arial" w:eastAsia="Arial" w:hAnsi="Arial"/>
          <w:sz w:val="11"/>
          <w:szCs w:val="11"/>
          <w:color w:val="auto"/>
        </w:rPr>
        <w:t xml:space="preserve"> – During the quarter ended March 31, 2016, we amended the Master Lease with Windstream (the “Master Lease Amendment”) to allow for the transfer of ownership rights or exchanges of indefeasible rights of use (an “IRU”) and other long term rights in certain fiber and associated assets constituting leased property under the Master Lease. We will enter into such transactions pursuant to certain fiber exchange agreements under which we will grant to a third party ownership rights in certain fiber assets or an IRU in certain fiber assets that constitute leased property under the Master Lease in exchange for Uniti receiving ownership rights in certain fiber assets or an IRU in certain fiber assets of the third party, which we will then lease to Windstream as leased property under the Master Lease. Under the terms of the Master Lease Amendment, Windstream is responsible for any taxes imposed on Uniti related to the sale, exchange or other disposition of the fiber assets delivered to a third party or the granting of rights to the leased property that arise from fiber exchange agreements. As of June 30, 2016, no such transactions had been consummated. The Master Lease Amendment also permits us to install, own and operate certain wireless communication towers, antennas and related equipment on designated portions of the leased property.</w:t>
      </w:r>
    </w:p>
    <w:p>
      <w:pPr>
        <w:spacing w:after="0" w:line="110"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13. Earnings Per Share</w:t>
      </w:r>
    </w:p>
    <w:p>
      <w:pPr>
        <w:spacing w:after="0" w:line="154" w:lineRule="exact"/>
        <w:rPr>
          <w:sz w:val="20"/>
          <w:szCs w:val="20"/>
          <w:color w:val="auto"/>
        </w:rPr>
      </w:pPr>
    </w:p>
    <w:p>
      <w:pPr>
        <w:ind w:right="360"/>
        <w:spacing w:after="0" w:line="276" w:lineRule="auto"/>
        <w:rPr>
          <w:sz w:val="20"/>
          <w:szCs w:val="20"/>
          <w:color w:val="auto"/>
        </w:rPr>
      </w:pPr>
      <w:r>
        <w:rPr>
          <w:rFonts w:ascii="Arial" w:cs="Arial" w:eastAsia="Arial" w:hAnsi="Arial"/>
          <w:sz w:val="12"/>
          <w:szCs w:val="12"/>
          <w:color w:val="auto"/>
        </w:rPr>
        <w:t xml:space="preserve">Our restricted stock awards are considered participating securities as they receive non-forfeitable rights to dividends at the same rate as common stock. As participating securities, we included these instruments in the computation of earnings per share under the two-class method described in FASB ASC 260, </w:t>
      </w:r>
      <w:r>
        <w:rPr>
          <w:rFonts w:ascii="Arial" w:cs="Arial" w:eastAsia="Arial" w:hAnsi="Arial"/>
          <w:sz w:val="12"/>
          <w:szCs w:val="12"/>
          <w:i w:val="1"/>
          <w:iCs w:val="1"/>
          <w:color w:val="auto"/>
        </w:rPr>
        <w:t>Earnings per Share</w:t>
      </w:r>
      <w:r>
        <w:rPr>
          <w:rFonts w:ascii="Arial" w:cs="Arial" w:eastAsia="Arial" w:hAnsi="Arial"/>
          <w:sz w:val="12"/>
          <w:szCs w:val="12"/>
          <w:color w:val="auto"/>
        </w:rPr>
        <w:t>.</w:t>
      </w:r>
    </w:p>
    <w:p>
      <w:pPr>
        <w:spacing w:after="0" w:line="115" w:lineRule="exact"/>
        <w:rPr>
          <w:sz w:val="20"/>
          <w:szCs w:val="20"/>
          <w:color w:val="auto"/>
        </w:rPr>
      </w:pPr>
    </w:p>
    <w:p>
      <w:pPr>
        <w:jc w:val="both"/>
        <w:spacing w:after="0" w:line="263" w:lineRule="auto"/>
        <w:rPr>
          <w:sz w:val="20"/>
          <w:szCs w:val="20"/>
          <w:color w:val="auto"/>
        </w:rPr>
      </w:pPr>
      <w:r>
        <w:rPr>
          <w:rFonts w:ascii="Arial" w:cs="Arial" w:eastAsia="Arial" w:hAnsi="Arial"/>
          <w:sz w:val="12"/>
          <w:szCs w:val="12"/>
          <w:color w:val="auto"/>
        </w:rPr>
        <w:t>We also issue PSUs; however these units contain forfeitable rights to receive dividends and are therefore considered non-participating restrictive shares and are not dilutive under the two-class method until performance conditions are met. During the years ended December 31, 2017 and 2016, approximately76,000 and 220,000 PSUs, respectively, were excluded from the computation of diluted net loss per share because their effect is anti-dilutive as a result of our net loss for these periods.</w:t>
      </w:r>
    </w:p>
    <w:p>
      <w:pPr>
        <w:spacing w:after="0" w:line="123" w:lineRule="exact"/>
        <w:rPr>
          <w:sz w:val="20"/>
          <w:szCs w:val="20"/>
          <w:color w:val="auto"/>
        </w:rPr>
      </w:pPr>
    </w:p>
    <w:p>
      <w:pPr>
        <w:ind w:right="80"/>
        <w:spacing w:after="0" w:line="323" w:lineRule="auto"/>
        <w:rPr>
          <w:rFonts w:ascii="Arial" w:cs="Arial" w:eastAsia="Arial" w:hAnsi="Arial"/>
          <w:sz w:val="11"/>
          <w:szCs w:val="11"/>
          <w:color w:val="auto"/>
        </w:rPr>
      </w:pPr>
      <w:r>
        <w:rPr>
          <w:rFonts w:ascii="Arial" w:cs="Arial" w:eastAsia="Arial" w:hAnsi="Arial"/>
          <w:sz w:val="11"/>
          <w:szCs w:val="11"/>
          <w:color w:val="auto"/>
        </w:rPr>
        <w:t>The earnings per share impact of the Series A Shares (See Note 19</w:t>
      </w:r>
      <w:hyperlink w:anchor="page102">
        <w:r>
          <w:rPr>
            <w:rFonts w:ascii="Arial" w:cs="Arial" w:eastAsia="Arial" w:hAnsi="Arial"/>
            <w:sz w:val="11"/>
            <w:szCs w:val="11"/>
            <w:u w:val="single" w:color="auto"/>
            <w:color w:val="0000EE"/>
          </w:rPr>
          <w:t>) is cal</w:t>
        </w:r>
      </w:hyperlink>
      <w:r>
        <w:rPr>
          <w:rFonts w:ascii="Arial" w:cs="Arial" w:eastAsia="Arial" w:hAnsi="Arial"/>
          <w:sz w:val="11"/>
          <w:szCs w:val="11"/>
          <w:color w:val="auto"/>
        </w:rPr>
        <w:t>culated using the net share settlement method, whereby the redemption value of the instrument is assumed to be settled in cash and only the conversion premium, if any, is assumed to be settled in shares. The Series A Shares provide Uniti the option to cash or share settle the instrument, and as of December 31, 2018, it is our policy to settle the instrument in cash upon conversion.</w:t>
      </w:r>
    </w:p>
    <w:p>
      <w:pPr>
        <w:spacing w:after="0" w:line="92" w:lineRule="exact"/>
        <w:rPr>
          <w:sz w:val="20"/>
          <w:szCs w:val="20"/>
          <w:color w:val="auto"/>
        </w:rPr>
      </w:pPr>
    </w:p>
    <w:p>
      <w:pPr>
        <w:ind w:right="80"/>
        <w:spacing w:after="0" w:line="298" w:lineRule="auto"/>
        <w:rPr>
          <w:rFonts w:ascii="Arial" w:cs="Arial" w:eastAsia="Arial" w:hAnsi="Arial"/>
          <w:sz w:val="11"/>
          <w:szCs w:val="11"/>
          <w:color w:val="auto"/>
        </w:rPr>
      </w:pPr>
      <w:r>
        <w:rPr>
          <w:rFonts w:ascii="Arial" w:cs="Arial" w:eastAsia="Arial" w:hAnsi="Arial"/>
          <w:sz w:val="11"/>
          <w:szCs w:val="11"/>
          <w:color w:val="auto"/>
        </w:rPr>
        <w:t xml:space="preserve">As part of the acquisition of Tower Cloud on August 31, 2016, we may be obligated to pay contingent consideration upon achievement of certain defined operational and financial milestones. See </w:t>
      </w:r>
      <w:hyperlink w:anchor="page76">
        <w:r>
          <w:rPr>
            <w:rFonts w:ascii="Arial" w:cs="Arial" w:eastAsia="Arial" w:hAnsi="Arial"/>
            <w:sz w:val="11"/>
            <w:szCs w:val="11"/>
            <w:u w:val="single" w:color="auto"/>
            <w:color w:val="0000EE"/>
          </w:rPr>
          <w:t>Note 5</w:t>
        </w:r>
      </w:hyperlink>
      <w:r>
        <w:rPr>
          <w:rFonts w:ascii="Arial" w:cs="Arial" w:eastAsia="Arial" w:hAnsi="Arial"/>
          <w:sz w:val="11"/>
          <w:szCs w:val="11"/>
          <w:color w:val="auto"/>
        </w:rPr>
        <w:t>. At the Company’s discretion, a combination of cash and Uniti common shares may be used to satisfy the contingent consideration payments, provided that at least 50% of the aggregate amount of payments is satisfied in cash. The arrangement provides Uniti the option to cash settle, and it is our policy to settle 100% of the obligation in cash upon the achievement of the defined milestones. As such, there is no impact to our share count for the purposes of the earnings per share calculation.</w:t>
      </w:r>
    </w:p>
    <w:p>
      <w:pPr>
        <w:spacing w:after="0" w:line="105" w:lineRule="exact"/>
        <w:rPr>
          <w:sz w:val="20"/>
          <w:szCs w:val="20"/>
          <w:color w:val="auto"/>
        </w:rPr>
      </w:pPr>
    </w:p>
    <w:p>
      <w:pPr>
        <w:ind w:right="480"/>
        <w:spacing w:after="0" w:line="323" w:lineRule="auto"/>
        <w:rPr>
          <w:rFonts w:ascii="Arial" w:cs="Arial" w:eastAsia="Arial" w:hAnsi="Arial"/>
          <w:sz w:val="11"/>
          <w:szCs w:val="11"/>
          <w:color w:val="auto"/>
        </w:rPr>
      </w:pPr>
      <w:r>
        <w:rPr>
          <w:rFonts w:ascii="Arial" w:cs="Arial" w:eastAsia="Arial" w:hAnsi="Arial"/>
          <w:sz w:val="11"/>
          <w:szCs w:val="11"/>
          <w:color w:val="auto"/>
        </w:rPr>
        <w:t xml:space="preserve">The Hunt merger agreement provides for the issuance of additional common shares upon the achievement of certain defined revenue milestones. See </w:t>
      </w:r>
      <w:hyperlink w:anchor="page76">
        <w:r>
          <w:rPr>
            <w:rFonts w:ascii="Arial" w:cs="Arial" w:eastAsia="Arial" w:hAnsi="Arial"/>
            <w:sz w:val="11"/>
            <w:szCs w:val="11"/>
            <w:u w:val="single" w:color="auto"/>
            <w:color w:val="0000EE"/>
          </w:rPr>
          <w:t>Note 5. The</w:t>
        </w:r>
        <w:r>
          <w:rPr>
            <w:rFonts w:ascii="Arial" w:cs="Arial" w:eastAsia="Arial" w:hAnsi="Arial"/>
            <w:sz w:val="11"/>
            <w:szCs w:val="11"/>
            <w:u w:val="single" w:color="auto"/>
            <w:color w:val="auto"/>
          </w:rPr>
          <w:t xml:space="preserve"> </w:t>
        </w:r>
      </w:hyperlink>
      <w:r>
        <w:rPr>
          <w:rFonts w:ascii="Arial" w:cs="Arial" w:eastAsia="Arial" w:hAnsi="Arial"/>
          <w:sz w:val="11"/>
          <w:szCs w:val="11"/>
          <w:color w:val="auto"/>
        </w:rPr>
        <w:t>earnings per share impact of the Hunt Contingent Consideration is calculated under the method described in ASC 260 for the treatment of contingently issuable shares in weighted-average shares outstanding. See the accompanying table for the impact.</w:t>
      </w:r>
    </w:p>
    <w:p>
      <w:pPr>
        <w:spacing w:after="0" w:line="92"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93" w:name="page94"/>
    <w:bookmarkEnd w:id="9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The following sets forth the computation of basic and diluted earnings per share under the two-class method: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24"/>
        </w:trPr>
        <w:tc>
          <w:tcPr>
            <w:tcW w:w="5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80" w:type="dxa"/>
            <w:vAlign w:val="bottom"/>
            <w:gridSpan w:val="2"/>
          </w:tcPr>
          <w:p>
            <w:pPr>
              <w:jc w:val="center"/>
              <w:ind w:right="480"/>
              <w:spacing w:after="0"/>
              <w:rPr>
                <w:sz w:val="20"/>
                <w:szCs w:val="20"/>
                <w:color w:val="auto"/>
              </w:rPr>
            </w:pPr>
            <w:r>
              <w:rPr>
                <w:rFonts w:ascii="Arial" w:cs="Arial" w:eastAsia="Arial" w:hAnsi="Arial"/>
                <w:sz w:val="10"/>
                <w:szCs w:val="10"/>
                <w:b w:val="1"/>
                <w:bCs w:val="1"/>
                <w:color w:val="auto"/>
                <w:w w:val="87"/>
              </w:rPr>
              <w:t>Year Ended December 31,</w:t>
            </w:r>
          </w:p>
        </w:tc>
        <w:tc>
          <w:tcPr>
            <w:tcW w:w="46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508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140" w:type="dxa"/>
            <w:vAlign w:val="bottom"/>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440" w:type="dxa"/>
            <w:vAlign w:val="bottom"/>
            <w:tcBorders>
              <w:bottom w:val="single" w:sz="8" w:color="auto"/>
            </w:tcBorders>
          </w:tcPr>
          <w:p>
            <w:pPr>
              <w:jc w:val="right"/>
              <w:ind w:right="801"/>
              <w:spacing w:after="0"/>
              <w:rPr>
                <w:sz w:val="20"/>
                <w:szCs w:val="20"/>
                <w:color w:val="auto"/>
              </w:rPr>
            </w:pPr>
            <w:r>
              <w:rPr>
                <w:rFonts w:ascii="Arial" w:cs="Arial" w:eastAsia="Arial" w:hAnsi="Arial"/>
                <w:sz w:val="10"/>
                <w:szCs w:val="10"/>
                <w:b w:val="1"/>
                <w:bCs w:val="1"/>
                <w:color w:val="auto"/>
              </w:rPr>
              <w:t>2018</w:t>
            </w:r>
          </w:p>
        </w:tc>
        <w:tc>
          <w:tcPr>
            <w:tcW w:w="24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1640" w:type="dxa"/>
            <w:vAlign w:val="bottom"/>
            <w:tcBorders>
              <w:bottom w:val="single" w:sz="8" w:color="auto"/>
            </w:tcBorders>
          </w:tcPr>
          <w:p>
            <w:pPr>
              <w:jc w:val="center"/>
              <w:ind w:right="182"/>
              <w:spacing w:after="0"/>
              <w:rPr>
                <w:sz w:val="20"/>
                <w:szCs w:val="20"/>
                <w:color w:val="auto"/>
              </w:rPr>
            </w:pPr>
            <w:r>
              <w:rPr>
                <w:rFonts w:ascii="Arial" w:cs="Arial" w:eastAsia="Arial" w:hAnsi="Arial"/>
                <w:sz w:val="10"/>
                <w:szCs w:val="10"/>
                <w:b w:val="1"/>
                <w:bCs w:val="1"/>
                <w:color w:val="auto"/>
                <w:w w:val="89"/>
              </w:rPr>
              <w:t>2017</w:t>
            </w:r>
          </w:p>
        </w:tc>
        <w:tc>
          <w:tcPr>
            <w:tcW w:w="240" w:type="dxa"/>
            <w:vAlign w:val="bottom"/>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440" w:type="dxa"/>
            <w:vAlign w:val="bottom"/>
            <w:tcBorders>
              <w:bottom w:val="single" w:sz="8" w:color="auto"/>
            </w:tcBorders>
          </w:tcPr>
          <w:p>
            <w:pPr>
              <w:jc w:val="right"/>
              <w:ind w:right="801"/>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080" w:type="dxa"/>
            <w:vAlign w:val="bottom"/>
          </w:tcPr>
          <w:p>
            <w:pPr>
              <w:spacing w:after="0"/>
              <w:rPr>
                <w:sz w:val="20"/>
                <w:szCs w:val="20"/>
                <w:color w:val="auto"/>
              </w:rPr>
            </w:pPr>
            <w:r>
              <w:rPr>
                <w:rFonts w:ascii="Arial" w:cs="Arial" w:eastAsia="Arial" w:hAnsi="Arial"/>
                <w:sz w:val="12"/>
                <w:szCs w:val="12"/>
                <w:color w:val="auto"/>
              </w:rPr>
              <w:t>Basic earnings per share:</w:t>
            </w:r>
          </w:p>
        </w:tc>
        <w:tc>
          <w:tcPr>
            <w:tcW w:w="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spacing w:after="0"/>
              <w:rPr>
                <w:sz w:val="20"/>
                <w:szCs w:val="20"/>
                <w:color w:val="auto"/>
              </w:rPr>
            </w:pPr>
            <w:r>
              <w:rPr>
                <w:rFonts w:ascii="Arial" w:cs="Arial" w:eastAsia="Arial" w:hAnsi="Arial"/>
                <w:sz w:val="12"/>
                <w:szCs w:val="12"/>
                <w:color w:val="auto"/>
              </w:rPr>
              <w:t>Numerator:</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080" w:type="dxa"/>
            <w:vAlign w:val="bottom"/>
          </w:tcPr>
          <w:p>
            <w:pPr>
              <w:ind w:left="160"/>
              <w:spacing w:after="0"/>
              <w:rPr>
                <w:sz w:val="20"/>
                <w:szCs w:val="20"/>
                <w:color w:val="auto"/>
              </w:rPr>
            </w:pPr>
            <w:r>
              <w:rPr>
                <w:rFonts w:ascii="Arial" w:cs="Arial" w:eastAsia="Arial" w:hAnsi="Arial"/>
                <w:sz w:val="12"/>
                <w:szCs w:val="12"/>
                <w:color w:val="auto"/>
              </w:rPr>
              <w:t>Net income (loss) attributable to shareholders</w:t>
            </w:r>
          </w:p>
        </w:tc>
        <w:tc>
          <w:tcPr>
            <w:tcW w:w="580" w:type="dxa"/>
            <w:vAlign w:val="bottom"/>
            <w:gridSpan w:val="2"/>
          </w:tcPr>
          <w:p>
            <w:pPr>
              <w:jc w:val="right"/>
              <w:ind w:right="380"/>
              <w:spacing w:after="0"/>
              <w:rPr>
                <w:sz w:val="20"/>
                <w:szCs w:val="20"/>
                <w:color w:val="auto"/>
              </w:rPr>
            </w:pPr>
            <w:r>
              <w:rPr>
                <w:rFonts w:ascii="Arial" w:cs="Arial" w:eastAsia="Arial" w:hAnsi="Arial"/>
                <w:sz w:val="12"/>
                <w:szCs w:val="12"/>
                <w:color w:val="auto"/>
              </w:rPr>
              <w:t>$</w:t>
            </w:r>
          </w:p>
        </w:tc>
        <w:tc>
          <w:tcPr>
            <w:tcW w:w="1440" w:type="dxa"/>
            <w:vAlign w:val="bottom"/>
          </w:tcPr>
          <w:p>
            <w:pPr>
              <w:jc w:val="right"/>
              <w:spacing w:after="0"/>
              <w:rPr>
                <w:sz w:val="20"/>
                <w:szCs w:val="20"/>
                <w:color w:val="auto"/>
              </w:rPr>
            </w:pPr>
            <w:r>
              <w:rPr>
                <w:rFonts w:ascii="Arial" w:cs="Arial" w:eastAsia="Arial" w:hAnsi="Arial"/>
                <w:sz w:val="12"/>
                <w:szCs w:val="12"/>
                <w:color w:val="auto"/>
              </w:rPr>
              <w:t>16,187</w:t>
            </w:r>
          </w:p>
        </w:tc>
        <w:tc>
          <w:tcPr>
            <w:tcW w:w="240" w:type="dxa"/>
            <w:vAlign w:val="bottom"/>
          </w:tcPr>
          <w:p>
            <w:pPr>
              <w:spacing w:after="0"/>
              <w:rPr>
                <w:sz w:val="13"/>
                <w:szCs w:val="13"/>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880" w:type="dxa"/>
            <w:vAlign w:val="bottom"/>
            <w:gridSpan w:val="2"/>
          </w:tcPr>
          <w:p>
            <w:pPr>
              <w:jc w:val="right"/>
              <w:ind w:right="200"/>
              <w:spacing w:after="0"/>
              <w:rPr>
                <w:sz w:val="20"/>
                <w:szCs w:val="20"/>
                <w:color w:val="auto"/>
              </w:rPr>
            </w:pPr>
            <w:r>
              <w:rPr>
                <w:rFonts w:ascii="Arial" w:cs="Arial" w:eastAsia="Arial" w:hAnsi="Arial"/>
                <w:sz w:val="12"/>
                <w:szCs w:val="12"/>
                <w:color w:val="auto"/>
              </w:rPr>
              <w:t>(9,439)</w:t>
            </w:r>
          </w:p>
        </w:tc>
        <w:tc>
          <w:tcPr>
            <w:tcW w:w="460" w:type="dxa"/>
            <w:vAlign w:val="bottom"/>
          </w:tcPr>
          <w:p>
            <w:pPr>
              <w:jc w:val="right"/>
              <w:ind w:right="350"/>
              <w:spacing w:after="0"/>
              <w:rPr>
                <w:sz w:val="20"/>
                <w:szCs w:val="20"/>
                <w:color w:val="auto"/>
              </w:rPr>
            </w:pPr>
            <w:r>
              <w:rPr>
                <w:rFonts w:ascii="Arial" w:cs="Arial" w:eastAsia="Arial" w:hAnsi="Arial"/>
                <w:sz w:val="10"/>
                <w:szCs w:val="10"/>
                <w:color w:val="auto"/>
                <w:w w:val="71"/>
              </w:rPr>
              <w:t>$</w:t>
            </w:r>
          </w:p>
        </w:tc>
        <w:tc>
          <w:tcPr>
            <w:tcW w:w="1560" w:type="dxa"/>
            <w:vAlign w:val="bottom"/>
            <w:gridSpan w:val="2"/>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ind w:left="320"/>
              <w:spacing w:after="0"/>
              <w:rPr>
                <w:sz w:val="20"/>
                <w:szCs w:val="20"/>
                <w:color w:val="auto"/>
              </w:rPr>
            </w:pPr>
            <w:r>
              <w:rPr>
                <w:rFonts w:ascii="Arial" w:cs="Arial" w:eastAsia="Arial" w:hAnsi="Arial"/>
                <w:sz w:val="12"/>
                <w:szCs w:val="12"/>
                <w:color w:val="auto"/>
              </w:rPr>
              <w:t>Less: Income allocated to participating securities</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6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(2,594)</w:t>
            </w:r>
          </w:p>
        </w:tc>
        <w:tc>
          <w:tcPr>
            <w:tcW w:w="24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(1,509)</w:t>
            </w:r>
          </w:p>
        </w:tc>
        <w:tc>
          <w:tcPr>
            <w:tcW w:w="46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(1,557)</w:t>
            </w:r>
          </w:p>
        </w:tc>
        <w:tc>
          <w:tcPr>
            <w:tcW w:w="0" w:type="dxa"/>
            <w:vAlign w:val="bottom"/>
          </w:tcPr>
          <w:p>
            <w:pPr>
              <w:spacing w:after="0"/>
              <w:rPr>
                <w:sz w:val="1"/>
                <w:szCs w:val="1"/>
                <w:color w:val="auto"/>
              </w:rPr>
            </w:pPr>
          </w:p>
        </w:tc>
      </w:tr>
      <w:tr>
        <w:trPr>
          <w:trHeight w:val="153"/>
        </w:trPr>
        <w:tc>
          <w:tcPr>
            <w:tcW w:w="5080" w:type="dxa"/>
            <w:vAlign w:val="bottom"/>
          </w:tcPr>
          <w:p>
            <w:pPr>
              <w:ind w:left="320"/>
              <w:spacing w:after="0"/>
              <w:rPr>
                <w:sz w:val="20"/>
                <w:szCs w:val="20"/>
                <w:color w:val="auto"/>
              </w:rPr>
            </w:pPr>
            <w:r>
              <w:rPr>
                <w:rFonts w:ascii="Arial" w:cs="Arial" w:eastAsia="Arial" w:hAnsi="Arial"/>
                <w:sz w:val="12"/>
                <w:szCs w:val="12"/>
                <w:color w:val="auto"/>
              </w:rPr>
              <w:t>Dividends declared on convertible preferred stock</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2"/>
                <w:szCs w:val="12"/>
                <w:color w:val="auto"/>
              </w:rPr>
              <w:t>(2,624)</w:t>
            </w:r>
          </w:p>
        </w:tc>
        <w:tc>
          <w:tcPr>
            <w:tcW w:w="240" w:type="dxa"/>
            <w:vAlign w:val="bottom"/>
          </w:tcPr>
          <w:p>
            <w:pPr>
              <w:spacing w:after="0"/>
              <w:rPr>
                <w:sz w:val="13"/>
                <w:szCs w:val="13"/>
                <w:color w:val="auto"/>
              </w:rPr>
            </w:pPr>
          </w:p>
        </w:tc>
        <w:tc>
          <w:tcPr>
            <w:tcW w:w="1880" w:type="dxa"/>
            <w:vAlign w:val="bottom"/>
            <w:gridSpan w:val="2"/>
          </w:tcPr>
          <w:p>
            <w:pPr>
              <w:jc w:val="right"/>
              <w:ind w:right="200"/>
              <w:spacing w:after="0"/>
              <w:rPr>
                <w:sz w:val="20"/>
                <w:szCs w:val="20"/>
                <w:color w:val="auto"/>
              </w:rPr>
            </w:pPr>
            <w:r>
              <w:rPr>
                <w:rFonts w:ascii="Arial" w:cs="Arial" w:eastAsia="Arial" w:hAnsi="Arial"/>
                <w:sz w:val="12"/>
                <w:szCs w:val="12"/>
                <w:color w:val="auto"/>
              </w:rPr>
              <w:t>(2,624)</w:t>
            </w:r>
          </w:p>
        </w:tc>
        <w:tc>
          <w:tcPr>
            <w:tcW w:w="460" w:type="dxa"/>
            <w:vAlign w:val="bottom"/>
          </w:tcPr>
          <w:p>
            <w:pPr>
              <w:spacing w:after="0"/>
              <w:rPr>
                <w:sz w:val="13"/>
                <w:szCs w:val="13"/>
                <w:color w:val="auto"/>
              </w:rPr>
            </w:pPr>
          </w:p>
        </w:tc>
        <w:tc>
          <w:tcPr>
            <w:tcW w:w="1560" w:type="dxa"/>
            <w:vAlign w:val="bottom"/>
            <w:gridSpan w:val="2"/>
          </w:tcPr>
          <w:p>
            <w:pPr>
              <w:jc w:val="right"/>
              <w:ind w:right="80"/>
              <w:spacing w:after="0"/>
              <w:rPr>
                <w:sz w:val="20"/>
                <w:szCs w:val="20"/>
                <w:color w:val="auto"/>
              </w:rPr>
            </w:pPr>
            <w:r>
              <w:rPr>
                <w:rFonts w:ascii="Arial" w:cs="Arial" w:eastAsia="Arial" w:hAnsi="Arial"/>
                <w:sz w:val="12"/>
                <w:szCs w:val="12"/>
                <w:color w:val="auto"/>
              </w:rPr>
              <w:t>(1,743)</w:t>
            </w: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ind w:left="320"/>
              <w:spacing w:after="0"/>
              <w:rPr>
                <w:sz w:val="20"/>
                <w:szCs w:val="20"/>
                <w:color w:val="auto"/>
              </w:rPr>
            </w:pPr>
            <w:r>
              <w:rPr>
                <w:rFonts w:ascii="Arial" w:cs="Arial" w:eastAsia="Arial" w:hAnsi="Arial"/>
                <w:sz w:val="12"/>
                <w:szCs w:val="12"/>
                <w:color w:val="auto"/>
              </w:rPr>
              <w:t>Amortization of discount on convertible preferred stock</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6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(2,980)</w:t>
            </w:r>
          </w:p>
        </w:tc>
        <w:tc>
          <w:tcPr>
            <w:tcW w:w="24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(2,980)</w:t>
            </w:r>
          </w:p>
        </w:tc>
        <w:tc>
          <w:tcPr>
            <w:tcW w:w="46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(1,985)</w:t>
            </w:r>
          </w:p>
        </w:tc>
        <w:tc>
          <w:tcPr>
            <w:tcW w:w="0" w:type="dxa"/>
            <w:vAlign w:val="bottom"/>
          </w:tcPr>
          <w:p>
            <w:pPr>
              <w:spacing w:after="0"/>
              <w:rPr>
                <w:sz w:val="1"/>
                <w:szCs w:val="1"/>
                <w:color w:val="auto"/>
              </w:rPr>
            </w:pPr>
          </w:p>
        </w:tc>
      </w:tr>
      <w:tr>
        <w:trPr>
          <w:trHeight w:val="20"/>
        </w:trPr>
        <w:tc>
          <w:tcPr>
            <w:tcW w:w="5080" w:type="dxa"/>
            <w:vAlign w:val="bottom"/>
            <w:vMerge w:val="restart"/>
          </w:tcPr>
          <w:p>
            <w:pPr>
              <w:ind w:left="160"/>
              <w:spacing w:after="0"/>
              <w:rPr>
                <w:sz w:val="20"/>
                <w:szCs w:val="20"/>
                <w:color w:val="auto"/>
              </w:rPr>
            </w:pPr>
            <w:r>
              <w:rPr>
                <w:rFonts w:ascii="Arial" w:cs="Arial" w:eastAsia="Arial" w:hAnsi="Arial"/>
                <w:sz w:val="12"/>
                <w:szCs w:val="12"/>
                <w:color w:val="auto"/>
              </w:rPr>
              <w:t>Net income (loss) attributable to common shares</w:t>
            </w:r>
          </w:p>
        </w:tc>
        <w:tc>
          <w:tcPr>
            <w:tcW w:w="1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080" w:type="dxa"/>
            <w:vAlign w:val="bottom"/>
            <w:vMerge w:val="continue"/>
          </w:tcPr>
          <w:p>
            <w:pPr>
              <w:spacing w:after="0"/>
              <w:rPr>
                <w:sz w:val="12"/>
                <w:szCs w:val="12"/>
                <w:color w:val="auto"/>
              </w:rPr>
            </w:pPr>
          </w:p>
        </w:tc>
        <w:tc>
          <w:tcPr>
            <w:tcW w:w="580" w:type="dxa"/>
            <w:vAlign w:val="bottom"/>
            <w:gridSpan w:val="2"/>
          </w:tcPr>
          <w:p>
            <w:pPr>
              <w:jc w:val="right"/>
              <w:ind w:right="380"/>
              <w:spacing w:after="0"/>
              <w:rPr>
                <w:sz w:val="20"/>
                <w:szCs w:val="20"/>
                <w:color w:val="auto"/>
              </w:rPr>
            </w:pPr>
            <w:r>
              <w:rPr>
                <w:rFonts w:ascii="Arial" w:cs="Arial" w:eastAsia="Arial" w:hAnsi="Arial"/>
                <w:sz w:val="12"/>
                <w:szCs w:val="12"/>
                <w:color w:val="auto"/>
              </w:rPr>
              <w:t>$</w:t>
            </w:r>
          </w:p>
        </w:tc>
        <w:tc>
          <w:tcPr>
            <w:tcW w:w="1440" w:type="dxa"/>
            <w:vAlign w:val="bottom"/>
          </w:tcPr>
          <w:p>
            <w:pPr>
              <w:jc w:val="right"/>
              <w:spacing w:after="0"/>
              <w:rPr>
                <w:sz w:val="20"/>
                <w:szCs w:val="20"/>
                <w:color w:val="auto"/>
              </w:rPr>
            </w:pPr>
            <w:r>
              <w:rPr>
                <w:rFonts w:ascii="Arial" w:cs="Arial" w:eastAsia="Arial" w:hAnsi="Arial"/>
                <w:sz w:val="12"/>
                <w:szCs w:val="12"/>
                <w:color w:val="auto"/>
              </w:rPr>
              <w:t>7,989</w:t>
            </w:r>
          </w:p>
        </w:tc>
        <w:tc>
          <w:tcPr>
            <w:tcW w:w="240" w:type="dxa"/>
            <w:vAlign w:val="bottom"/>
          </w:tcPr>
          <w:p>
            <w:pPr>
              <w:spacing w:after="0"/>
              <w:rPr>
                <w:sz w:val="12"/>
                <w:szCs w:val="12"/>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880" w:type="dxa"/>
            <w:vAlign w:val="bottom"/>
            <w:gridSpan w:val="2"/>
          </w:tcPr>
          <w:p>
            <w:pPr>
              <w:jc w:val="right"/>
              <w:ind w:right="200"/>
              <w:spacing w:after="0"/>
              <w:rPr>
                <w:sz w:val="20"/>
                <w:szCs w:val="20"/>
                <w:color w:val="auto"/>
              </w:rPr>
            </w:pPr>
            <w:r>
              <w:rPr>
                <w:rFonts w:ascii="Arial" w:cs="Arial" w:eastAsia="Arial" w:hAnsi="Arial"/>
                <w:sz w:val="12"/>
                <w:szCs w:val="12"/>
                <w:color w:val="auto"/>
              </w:rPr>
              <w:t>(16,552)</w:t>
            </w:r>
          </w:p>
        </w:tc>
        <w:tc>
          <w:tcPr>
            <w:tcW w:w="460" w:type="dxa"/>
            <w:vAlign w:val="bottom"/>
          </w:tcPr>
          <w:p>
            <w:pPr>
              <w:jc w:val="right"/>
              <w:ind w:right="350"/>
              <w:spacing w:after="0"/>
              <w:rPr>
                <w:sz w:val="20"/>
                <w:szCs w:val="20"/>
                <w:color w:val="auto"/>
              </w:rPr>
            </w:pPr>
            <w:r>
              <w:rPr>
                <w:rFonts w:ascii="Arial" w:cs="Arial" w:eastAsia="Arial" w:hAnsi="Arial"/>
                <w:sz w:val="10"/>
                <w:szCs w:val="10"/>
                <w:color w:val="auto"/>
                <w:w w:val="71"/>
              </w:rPr>
              <w:t>$</w:t>
            </w:r>
          </w:p>
        </w:tc>
        <w:tc>
          <w:tcPr>
            <w:tcW w:w="1560" w:type="dxa"/>
            <w:vAlign w:val="bottom"/>
            <w:gridSpan w:val="2"/>
          </w:tcPr>
          <w:p>
            <w:pPr>
              <w:jc w:val="right"/>
              <w:ind w:right="80"/>
              <w:spacing w:after="0"/>
              <w:rPr>
                <w:sz w:val="20"/>
                <w:szCs w:val="20"/>
                <w:color w:val="auto"/>
              </w:rPr>
            </w:pPr>
            <w:r>
              <w:rPr>
                <w:rFonts w:ascii="Arial" w:cs="Arial" w:eastAsia="Arial" w:hAnsi="Arial"/>
                <w:sz w:val="12"/>
                <w:szCs w:val="12"/>
                <w:color w:val="auto"/>
              </w:rPr>
              <w:t>(5,497)</w:t>
            </w: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spacing w:after="0"/>
              <w:rPr>
                <w:sz w:val="20"/>
                <w:szCs w:val="20"/>
                <w:color w:val="auto"/>
              </w:rPr>
            </w:pPr>
            <w:r>
              <w:rPr>
                <w:rFonts w:ascii="Arial" w:cs="Arial" w:eastAsia="Arial" w:hAnsi="Arial"/>
                <w:sz w:val="12"/>
                <w:szCs w:val="12"/>
                <w:color w:val="auto"/>
              </w:rPr>
              <w:t>Denominator:</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080" w:type="dxa"/>
            <w:vAlign w:val="bottom"/>
            <w:tcBorders>
              <w:bottom w:val="single" w:sz="8" w:color="CFF0FC"/>
            </w:tcBorders>
          </w:tcPr>
          <w:p>
            <w:pPr>
              <w:ind w:left="160"/>
              <w:spacing w:after="0"/>
              <w:rPr>
                <w:sz w:val="20"/>
                <w:szCs w:val="20"/>
                <w:color w:val="auto"/>
              </w:rPr>
            </w:pPr>
            <w:r>
              <w:rPr>
                <w:rFonts w:ascii="Arial" w:cs="Arial" w:eastAsia="Arial" w:hAnsi="Arial"/>
                <w:sz w:val="12"/>
                <w:szCs w:val="12"/>
                <w:color w:val="auto"/>
              </w:rPr>
              <w:t>Basic weighted-average common shares outstanding</w:t>
            </w:r>
          </w:p>
        </w:tc>
        <w:tc>
          <w:tcPr>
            <w:tcW w:w="140" w:type="dxa"/>
            <w:vAlign w:val="bottom"/>
            <w:tcBorders>
              <w:bottom w:val="single" w:sz="8" w:color="CFF0FC"/>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176,169</w:t>
            </w:r>
          </w:p>
        </w:tc>
        <w:tc>
          <w:tcPr>
            <w:tcW w:w="24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168,693</w:t>
            </w:r>
          </w:p>
        </w:tc>
        <w:tc>
          <w:tcPr>
            <w:tcW w:w="240" w:type="dxa"/>
            <w:vAlign w:val="bottom"/>
            <w:tcBorders>
              <w:bottom w:val="single" w:sz="8" w:color="CFF0FC"/>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152,473</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080" w:type="dxa"/>
            <w:vAlign w:val="bottom"/>
            <w:shd w:val="clear" w:color="auto" w:fill="CFF0FC"/>
          </w:tcPr>
          <w:p>
            <w:pPr>
              <w:spacing w:after="0"/>
              <w:rPr>
                <w:sz w:val="20"/>
                <w:szCs w:val="20"/>
                <w:color w:val="auto"/>
              </w:rPr>
            </w:pPr>
            <w:r>
              <w:rPr>
                <w:rFonts w:ascii="Arial" w:cs="Arial" w:eastAsia="Arial" w:hAnsi="Arial"/>
                <w:sz w:val="12"/>
                <w:szCs w:val="12"/>
                <w:color w:val="auto"/>
              </w:rPr>
              <w:t>Basic earnings (loss) per common share</w:t>
            </w:r>
          </w:p>
        </w:tc>
        <w:tc>
          <w:tcPr>
            <w:tcW w:w="580" w:type="dxa"/>
            <w:vAlign w:val="bottom"/>
            <w:gridSpan w:val="2"/>
            <w:shd w:val="clear" w:color="auto" w:fill="CFF0FC"/>
          </w:tcPr>
          <w:p>
            <w:pPr>
              <w:jc w:val="right"/>
              <w:ind w:right="380"/>
              <w:spacing w:after="0"/>
              <w:rPr>
                <w:sz w:val="20"/>
                <w:szCs w:val="20"/>
                <w:color w:val="auto"/>
              </w:rPr>
            </w:pPr>
            <w:r>
              <w:rPr>
                <w:rFonts w:ascii="Arial" w:cs="Arial" w:eastAsia="Arial" w:hAnsi="Arial"/>
                <w:sz w:val="12"/>
                <w:szCs w:val="12"/>
                <w:color w:val="auto"/>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0.05</w:t>
            </w:r>
          </w:p>
        </w:tc>
        <w:tc>
          <w:tcPr>
            <w:tcW w:w="240" w:type="dxa"/>
            <w:vAlign w:val="bottom"/>
            <w:shd w:val="clear" w:color="auto" w:fill="CFF0FC"/>
          </w:tcPr>
          <w:p>
            <w:pPr>
              <w:spacing w:after="0"/>
              <w:rPr>
                <w:sz w:val="12"/>
                <w:szCs w:val="12"/>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(0.10)</w:t>
            </w:r>
          </w:p>
        </w:tc>
        <w:tc>
          <w:tcPr>
            <w:tcW w:w="460" w:type="dxa"/>
            <w:vAlign w:val="bottom"/>
            <w:shd w:val="clear" w:color="auto" w:fill="CFF0FC"/>
          </w:tcPr>
          <w:p>
            <w:pPr>
              <w:jc w:val="right"/>
              <w:ind w:right="350"/>
              <w:spacing w:after="0"/>
              <w:rPr>
                <w:sz w:val="20"/>
                <w:szCs w:val="20"/>
                <w:color w:val="auto"/>
              </w:rPr>
            </w:pPr>
            <w:r>
              <w:rPr>
                <w:rFonts w:ascii="Arial" w:cs="Arial" w:eastAsia="Arial" w:hAnsi="Arial"/>
                <w:sz w:val="10"/>
                <w:szCs w:val="10"/>
                <w:color w:val="auto"/>
                <w:w w:val="71"/>
              </w:rPr>
              <w:t>$</w:t>
            </w: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(0.04)</w:t>
            </w:r>
          </w:p>
        </w:tc>
        <w:tc>
          <w:tcPr>
            <w:tcW w:w="0" w:type="dxa"/>
            <w:vAlign w:val="bottom"/>
          </w:tcPr>
          <w:p>
            <w:pPr>
              <w:spacing w:after="0"/>
              <w:rPr>
                <w:sz w:val="1"/>
                <w:szCs w:val="1"/>
                <w:color w:val="auto"/>
              </w:rPr>
            </w:pPr>
          </w:p>
        </w:tc>
      </w:tr>
      <w:tr>
        <w:trPr>
          <w:trHeight w:val="496"/>
        </w:trPr>
        <w:tc>
          <w:tcPr>
            <w:tcW w:w="5080" w:type="dxa"/>
            <w:vAlign w:val="bottom"/>
            <w:tcBorders>
              <w:top w:val="single" w:sz="8" w:color="CFF0FC"/>
            </w:tcBorders>
          </w:tcPr>
          <w:p>
            <w:pPr>
              <w:spacing w:after="0"/>
              <w:rPr>
                <w:sz w:val="24"/>
                <w:szCs w:val="24"/>
                <w:color w:val="auto"/>
              </w:rPr>
            </w:pPr>
          </w:p>
        </w:tc>
        <w:tc>
          <w:tcPr>
            <w:tcW w:w="140" w:type="dxa"/>
            <w:vAlign w:val="bottom"/>
            <w:tcBorders>
              <w:top w:val="single" w:sz="8" w:color="CFF0FC"/>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440" w:type="dxa"/>
            <w:vAlign w:val="bottom"/>
            <w:tcBorders>
              <w:top w:val="single" w:sz="8" w:color="auto"/>
            </w:tcBorders>
          </w:tcPr>
          <w:p>
            <w:pPr>
              <w:spacing w:after="0"/>
              <w:rPr>
                <w:sz w:val="24"/>
                <w:szCs w:val="24"/>
                <w:color w:val="auto"/>
              </w:rPr>
            </w:pPr>
          </w:p>
        </w:tc>
        <w:tc>
          <w:tcPr>
            <w:tcW w:w="240" w:type="dxa"/>
            <w:vAlign w:val="bottom"/>
            <w:tcBorders>
              <w:top w:val="single" w:sz="8" w:color="CFF0FC"/>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640" w:type="dxa"/>
            <w:vAlign w:val="bottom"/>
            <w:tcBorders>
              <w:top w:val="single" w:sz="8" w:color="auto"/>
            </w:tcBorders>
          </w:tcPr>
          <w:p>
            <w:pPr>
              <w:jc w:val="center"/>
              <w:ind w:right="182"/>
              <w:spacing w:after="0"/>
              <w:rPr>
                <w:sz w:val="20"/>
                <w:szCs w:val="20"/>
                <w:color w:val="auto"/>
              </w:rPr>
            </w:pPr>
            <w:r>
              <w:rPr>
                <w:rFonts w:ascii="Arial" w:cs="Arial" w:eastAsia="Arial" w:hAnsi="Arial"/>
                <w:sz w:val="10"/>
                <w:szCs w:val="10"/>
                <w:b w:val="1"/>
                <w:bCs w:val="1"/>
                <w:color w:val="auto"/>
                <w:w w:val="87"/>
              </w:rPr>
              <w:t>Year Ended December 31,</w:t>
            </w:r>
          </w:p>
        </w:tc>
        <w:tc>
          <w:tcPr>
            <w:tcW w:w="240" w:type="dxa"/>
            <w:vAlign w:val="bottom"/>
            <w:tcBorders>
              <w:top w:val="single" w:sz="8" w:color="CFF0FC"/>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440" w:type="dxa"/>
            <w:vAlign w:val="bottom"/>
            <w:tcBorders>
              <w:top w:val="single" w:sz="8" w:color="auto"/>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508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140" w:type="dxa"/>
            <w:vAlign w:val="bottom"/>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440" w:type="dxa"/>
            <w:vAlign w:val="bottom"/>
            <w:tcBorders>
              <w:bottom w:val="single" w:sz="8" w:color="auto"/>
            </w:tcBorders>
          </w:tcPr>
          <w:p>
            <w:pPr>
              <w:jc w:val="right"/>
              <w:ind w:right="801"/>
              <w:spacing w:after="0"/>
              <w:rPr>
                <w:sz w:val="20"/>
                <w:szCs w:val="20"/>
                <w:color w:val="auto"/>
              </w:rPr>
            </w:pPr>
            <w:r>
              <w:rPr>
                <w:rFonts w:ascii="Arial" w:cs="Arial" w:eastAsia="Arial" w:hAnsi="Arial"/>
                <w:sz w:val="10"/>
                <w:szCs w:val="10"/>
                <w:b w:val="1"/>
                <w:bCs w:val="1"/>
                <w:color w:val="auto"/>
              </w:rPr>
              <w:t>2018</w:t>
            </w:r>
          </w:p>
        </w:tc>
        <w:tc>
          <w:tcPr>
            <w:tcW w:w="24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1640" w:type="dxa"/>
            <w:vAlign w:val="bottom"/>
            <w:tcBorders>
              <w:bottom w:val="single" w:sz="8" w:color="auto"/>
            </w:tcBorders>
          </w:tcPr>
          <w:p>
            <w:pPr>
              <w:jc w:val="center"/>
              <w:ind w:right="182"/>
              <w:spacing w:after="0"/>
              <w:rPr>
                <w:sz w:val="20"/>
                <w:szCs w:val="20"/>
                <w:color w:val="auto"/>
              </w:rPr>
            </w:pPr>
            <w:r>
              <w:rPr>
                <w:rFonts w:ascii="Arial" w:cs="Arial" w:eastAsia="Arial" w:hAnsi="Arial"/>
                <w:sz w:val="10"/>
                <w:szCs w:val="10"/>
                <w:b w:val="1"/>
                <w:bCs w:val="1"/>
                <w:color w:val="auto"/>
                <w:w w:val="89"/>
              </w:rPr>
              <w:t>2017</w:t>
            </w:r>
          </w:p>
        </w:tc>
        <w:tc>
          <w:tcPr>
            <w:tcW w:w="240" w:type="dxa"/>
            <w:vAlign w:val="bottom"/>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1440" w:type="dxa"/>
            <w:vAlign w:val="bottom"/>
            <w:tcBorders>
              <w:bottom w:val="single" w:sz="8" w:color="auto"/>
            </w:tcBorders>
          </w:tcPr>
          <w:p>
            <w:pPr>
              <w:jc w:val="right"/>
              <w:ind w:right="801"/>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080" w:type="dxa"/>
            <w:vAlign w:val="bottom"/>
          </w:tcPr>
          <w:p>
            <w:pPr>
              <w:spacing w:after="0"/>
              <w:rPr>
                <w:sz w:val="20"/>
                <w:szCs w:val="20"/>
                <w:color w:val="auto"/>
              </w:rPr>
            </w:pPr>
            <w:r>
              <w:rPr>
                <w:rFonts w:ascii="Arial" w:cs="Arial" w:eastAsia="Arial" w:hAnsi="Arial"/>
                <w:sz w:val="12"/>
                <w:szCs w:val="12"/>
                <w:color w:val="auto"/>
              </w:rPr>
              <w:t>Diluted earnings per share:</w:t>
            </w:r>
          </w:p>
        </w:tc>
        <w:tc>
          <w:tcPr>
            <w:tcW w:w="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spacing w:after="0"/>
              <w:rPr>
                <w:sz w:val="20"/>
                <w:szCs w:val="20"/>
                <w:color w:val="auto"/>
              </w:rPr>
            </w:pPr>
            <w:r>
              <w:rPr>
                <w:rFonts w:ascii="Arial" w:cs="Arial" w:eastAsia="Arial" w:hAnsi="Arial"/>
                <w:sz w:val="12"/>
                <w:szCs w:val="12"/>
                <w:color w:val="auto"/>
              </w:rPr>
              <w:t>Numerator:</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080" w:type="dxa"/>
            <w:vAlign w:val="bottom"/>
          </w:tcPr>
          <w:p>
            <w:pPr>
              <w:ind w:left="160"/>
              <w:spacing w:after="0"/>
              <w:rPr>
                <w:sz w:val="20"/>
                <w:szCs w:val="20"/>
                <w:color w:val="auto"/>
              </w:rPr>
            </w:pPr>
            <w:r>
              <w:rPr>
                <w:rFonts w:ascii="Arial" w:cs="Arial" w:eastAsia="Arial" w:hAnsi="Arial"/>
                <w:sz w:val="12"/>
                <w:szCs w:val="12"/>
                <w:color w:val="auto"/>
              </w:rPr>
              <w:t>Net income (loss) attributable to shareholders</w:t>
            </w:r>
          </w:p>
        </w:tc>
        <w:tc>
          <w:tcPr>
            <w:tcW w:w="580" w:type="dxa"/>
            <w:vAlign w:val="bottom"/>
            <w:gridSpan w:val="2"/>
          </w:tcPr>
          <w:p>
            <w:pPr>
              <w:jc w:val="right"/>
              <w:ind w:right="380"/>
              <w:spacing w:after="0"/>
              <w:rPr>
                <w:sz w:val="20"/>
                <w:szCs w:val="20"/>
                <w:color w:val="auto"/>
              </w:rPr>
            </w:pPr>
            <w:r>
              <w:rPr>
                <w:rFonts w:ascii="Arial" w:cs="Arial" w:eastAsia="Arial" w:hAnsi="Arial"/>
                <w:sz w:val="12"/>
                <w:szCs w:val="12"/>
                <w:color w:val="auto"/>
              </w:rPr>
              <w:t>$</w:t>
            </w:r>
          </w:p>
        </w:tc>
        <w:tc>
          <w:tcPr>
            <w:tcW w:w="1440" w:type="dxa"/>
            <w:vAlign w:val="bottom"/>
          </w:tcPr>
          <w:p>
            <w:pPr>
              <w:jc w:val="right"/>
              <w:spacing w:after="0"/>
              <w:rPr>
                <w:sz w:val="20"/>
                <w:szCs w:val="20"/>
                <w:color w:val="auto"/>
              </w:rPr>
            </w:pPr>
            <w:r>
              <w:rPr>
                <w:rFonts w:ascii="Arial" w:cs="Arial" w:eastAsia="Arial" w:hAnsi="Arial"/>
                <w:sz w:val="12"/>
                <w:szCs w:val="12"/>
                <w:color w:val="auto"/>
              </w:rPr>
              <w:t>16,187</w:t>
            </w:r>
          </w:p>
        </w:tc>
        <w:tc>
          <w:tcPr>
            <w:tcW w:w="240" w:type="dxa"/>
            <w:vAlign w:val="bottom"/>
          </w:tcPr>
          <w:p>
            <w:pPr>
              <w:spacing w:after="0"/>
              <w:rPr>
                <w:sz w:val="13"/>
                <w:szCs w:val="13"/>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880" w:type="dxa"/>
            <w:vAlign w:val="bottom"/>
            <w:gridSpan w:val="2"/>
          </w:tcPr>
          <w:p>
            <w:pPr>
              <w:jc w:val="right"/>
              <w:ind w:right="200"/>
              <w:spacing w:after="0"/>
              <w:rPr>
                <w:sz w:val="20"/>
                <w:szCs w:val="20"/>
                <w:color w:val="auto"/>
              </w:rPr>
            </w:pPr>
            <w:r>
              <w:rPr>
                <w:rFonts w:ascii="Arial" w:cs="Arial" w:eastAsia="Arial" w:hAnsi="Arial"/>
                <w:sz w:val="12"/>
                <w:szCs w:val="12"/>
                <w:color w:val="auto"/>
              </w:rPr>
              <w:t>(9,439)</w:t>
            </w:r>
          </w:p>
        </w:tc>
        <w:tc>
          <w:tcPr>
            <w:tcW w:w="460" w:type="dxa"/>
            <w:vAlign w:val="bottom"/>
          </w:tcPr>
          <w:p>
            <w:pPr>
              <w:jc w:val="right"/>
              <w:ind w:right="350"/>
              <w:spacing w:after="0"/>
              <w:rPr>
                <w:sz w:val="20"/>
                <w:szCs w:val="20"/>
                <w:color w:val="auto"/>
              </w:rPr>
            </w:pPr>
            <w:r>
              <w:rPr>
                <w:rFonts w:ascii="Arial" w:cs="Arial" w:eastAsia="Arial" w:hAnsi="Arial"/>
                <w:sz w:val="10"/>
                <w:szCs w:val="10"/>
                <w:color w:val="auto"/>
                <w:w w:val="71"/>
              </w:rPr>
              <w:t>$</w:t>
            </w:r>
          </w:p>
        </w:tc>
        <w:tc>
          <w:tcPr>
            <w:tcW w:w="1560" w:type="dxa"/>
            <w:vAlign w:val="bottom"/>
            <w:gridSpan w:val="2"/>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ind w:left="320"/>
              <w:spacing w:after="0"/>
              <w:rPr>
                <w:sz w:val="20"/>
                <w:szCs w:val="20"/>
                <w:color w:val="auto"/>
              </w:rPr>
            </w:pPr>
            <w:r>
              <w:rPr>
                <w:rFonts w:ascii="Arial" w:cs="Arial" w:eastAsia="Arial" w:hAnsi="Arial"/>
                <w:sz w:val="12"/>
                <w:szCs w:val="12"/>
                <w:color w:val="auto"/>
              </w:rPr>
              <w:t>Less: Income allocated to participating securities</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6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(1,665)</w:t>
            </w:r>
          </w:p>
        </w:tc>
        <w:tc>
          <w:tcPr>
            <w:tcW w:w="24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(1,509)</w:t>
            </w:r>
          </w:p>
        </w:tc>
        <w:tc>
          <w:tcPr>
            <w:tcW w:w="46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(1,557)</w:t>
            </w:r>
          </w:p>
        </w:tc>
        <w:tc>
          <w:tcPr>
            <w:tcW w:w="0" w:type="dxa"/>
            <w:vAlign w:val="bottom"/>
          </w:tcPr>
          <w:p>
            <w:pPr>
              <w:spacing w:after="0"/>
              <w:rPr>
                <w:sz w:val="1"/>
                <w:szCs w:val="1"/>
                <w:color w:val="auto"/>
              </w:rPr>
            </w:pPr>
          </w:p>
        </w:tc>
      </w:tr>
      <w:tr>
        <w:trPr>
          <w:trHeight w:val="153"/>
        </w:trPr>
        <w:tc>
          <w:tcPr>
            <w:tcW w:w="5080" w:type="dxa"/>
            <w:vAlign w:val="bottom"/>
          </w:tcPr>
          <w:p>
            <w:pPr>
              <w:ind w:left="320"/>
              <w:spacing w:after="0"/>
              <w:rPr>
                <w:sz w:val="20"/>
                <w:szCs w:val="20"/>
                <w:color w:val="auto"/>
              </w:rPr>
            </w:pPr>
            <w:r>
              <w:rPr>
                <w:rFonts w:ascii="Arial" w:cs="Arial" w:eastAsia="Arial" w:hAnsi="Arial"/>
                <w:sz w:val="12"/>
                <w:szCs w:val="12"/>
                <w:color w:val="auto"/>
              </w:rPr>
              <w:t>Dividends declared on convertible preferred stock</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2"/>
                <w:szCs w:val="12"/>
                <w:color w:val="auto"/>
              </w:rPr>
              <w:t>(2,624)</w:t>
            </w:r>
          </w:p>
        </w:tc>
        <w:tc>
          <w:tcPr>
            <w:tcW w:w="240" w:type="dxa"/>
            <w:vAlign w:val="bottom"/>
          </w:tcPr>
          <w:p>
            <w:pPr>
              <w:spacing w:after="0"/>
              <w:rPr>
                <w:sz w:val="13"/>
                <w:szCs w:val="13"/>
                <w:color w:val="auto"/>
              </w:rPr>
            </w:pPr>
          </w:p>
        </w:tc>
        <w:tc>
          <w:tcPr>
            <w:tcW w:w="1880" w:type="dxa"/>
            <w:vAlign w:val="bottom"/>
            <w:gridSpan w:val="2"/>
          </w:tcPr>
          <w:p>
            <w:pPr>
              <w:jc w:val="right"/>
              <w:ind w:right="200"/>
              <w:spacing w:after="0"/>
              <w:rPr>
                <w:sz w:val="20"/>
                <w:szCs w:val="20"/>
                <w:color w:val="auto"/>
              </w:rPr>
            </w:pPr>
            <w:r>
              <w:rPr>
                <w:rFonts w:ascii="Arial" w:cs="Arial" w:eastAsia="Arial" w:hAnsi="Arial"/>
                <w:sz w:val="12"/>
                <w:szCs w:val="12"/>
                <w:color w:val="auto"/>
              </w:rPr>
              <w:t>(2,624)</w:t>
            </w:r>
          </w:p>
        </w:tc>
        <w:tc>
          <w:tcPr>
            <w:tcW w:w="460" w:type="dxa"/>
            <w:vAlign w:val="bottom"/>
          </w:tcPr>
          <w:p>
            <w:pPr>
              <w:spacing w:after="0"/>
              <w:rPr>
                <w:sz w:val="13"/>
                <w:szCs w:val="13"/>
                <w:color w:val="auto"/>
              </w:rPr>
            </w:pPr>
          </w:p>
        </w:tc>
        <w:tc>
          <w:tcPr>
            <w:tcW w:w="1560" w:type="dxa"/>
            <w:vAlign w:val="bottom"/>
            <w:gridSpan w:val="2"/>
          </w:tcPr>
          <w:p>
            <w:pPr>
              <w:jc w:val="right"/>
              <w:ind w:right="80"/>
              <w:spacing w:after="0"/>
              <w:rPr>
                <w:sz w:val="20"/>
                <w:szCs w:val="20"/>
                <w:color w:val="auto"/>
              </w:rPr>
            </w:pPr>
            <w:r>
              <w:rPr>
                <w:rFonts w:ascii="Arial" w:cs="Arial" w:eastAsia="Arial" w:hAnsi="Arial"/>
                <w:sz w:val="12"/>
                <w:szCs w:val="12"/>
                <w:color w:val="auto"/>
              </w:rPr>
              <w:t>(1,743)</w:t>
            </w: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ind w:left="320"/>
              <w:spacing w:after="0"/>
              <w:rPr>
                <w:sz w:val="20"/>
                <w:szCs w:val="20"/>
                <w:color w:val="auto"/>
              </w:rPr>
            </w:pPr>
            <w:r>
              <w:rPr>
                <w:rFonts w:ascii="Arial" w:cs="Arial" w:eastAsia="Arial" w:hAnsi="Arial"/>
                <w:sz w:val="12"/>
                <w:szCs w:val="12"/>
                <w:color w:val="auto"/>
              </w:rPr>
              <w:t>Amortization of discount on convertible preferred stock</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6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(2,980)</w:t>
            </w:r>
          </w:p>
        </w:tc>
        <w:tc>
          <w:tcPr>
            <w:tcW w:w="24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(2,980)</w:t>
            </w:r>
          </w:p>
        </w:tc>
        <w:tc>
          <w:tcPr>
            <w:tcW w:w="46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(1,985)</w:t>
            </w:r>
          </w:p>
        </w:tc>
        <w:tc>
          <w:tcPr>
            <w:tcW w:w="0" w:type="dxa"/>
            <w:vAlign w:val="bottom"/>
          </w:tcPr>
          <w:p>
            <w:pPr>
              <w:spacing w:after="0"/>
              <w:rPr>
                <w:sz w:val="1"/>
                <w:szCs w:val="1"/>
                <w:color w:val="auto"/>
              </w:rPr>
            </w:pPr>
          </w:p>
        </w:tc>
      </w:tr>
      <w:tr>
        <w:trPr>
          <w:trHeight w:val="153"/>
        </w:trPr>
        <w:tc>
          <w:tcPr>
            <w:tcW w:w="5080" w:type="dxa"/>
            <w:vAlign w:val="bottom"/>
          </w:tcPr>
          <w:p>
            <w:pPr>
              <w:ind w:left="320"/>
              <w:spacing w:after="0"/>
              <w:rPr>
                <w:sz w:val="20"/>
                <w:szCs w:val="20"/>
                <w:color w:val="auto"/>
              </w:rPr>
            </w:pPr>
            <w:r>
              <w:rPr>
                <w:rFonts w:ascii="Arial" w:cs="Arial" w:eastAsia="Arial" w:hAnsi="Arial"/>
                <w:sz w:val="12"/>
                <w:szCs w:val="12"/>
                <w:color w:val="auto"/>
              </w:rPr>
              <w:t>Mark-to-market gain on share settled contingent consideration arrangements</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2"/>
                <w:szCs w:val="12"/>
                <w:color w:val="auto"/>
              </w:rPr>
              <w:t>(1,433)</w:t>
            </w:r>
          </w:p>
        </w:tc>
        <w:tc>
          <w:tcPr>
            <w:tcW w:w="240" w:type="dxa"/>
            <w:vAlign w:val="bottom"/>
          </w:tcPr>
          <w:p>
            <w:pPr>
              <w:spacing w:after="0"/>
              <w:rPr>
                <w:sz w:val="13"/>
                <w:szCs w:val="13"/>
                <w:color w:val="auto"/>
              </w:rPr>
            </w:pPr>
          </w:p>
        </w:tc>
        <w:tc>
          <w:tcPr>
            <w:tcW w:w="1880" w:type="dxa"/>
            <w:vAlign w:val="bottom"/>
            <w:gridSpan w:val="2"/>
          </w:tcPr>
          <w:p>
            <w:pPr>
              <w:jc w:val="right"/>
              <w:ind w:right="200"/>
              <w:spacing w:after="0"/>
              <w:rPr>
                <w:sz w:val="20"/>
                <w:szCs w:val="20"/>
                <w:color w:val="auto"/>
              </w:rPr>
            </w:pPr>
            <w:r>
              <w:rPr>
                <w:rFonts w:ascii="Arial" w:cs="Arial" w:eastAsia="Arial" w:hAnsi="Arial"/>
                <w:sz w:val="12"/>
                <w:szCs w:val="12"/>
                <w:color w:val="auto"/>
              </w:rPr>
              <w:t>(4,944)</w:t>
            </w:r>
          </w:p>
        </w:tc>
        <w:tc>
          <w:tcPr>
            <w:tcW w:w="460" w:type="dxa"/>
            <w:vAlign w:val="bottom"/>
          </w:tcPr>
          <w:p>
            <w:pPr>
              <w:spacing w:after="0"/>
              <w:rPr>
                <w:sz w:val="13"/>
                <w:szCs w:val="13"/>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20"/>
        </w:trPr>
        <w:tc>
          <w:tcPr>
            <w:tcW w:w="5080" w:type="dxa"/>
            <w:vAlign w:val="bottom"/>
            <w:vMerge w:val="restart"/>
            <w:shd w:val="clear" w:color="auto" w:fill="CFF0FC"/>
          </w:tcPr>
          <w:p>
            <w:pPr>
              <w:ind w:left="160"/>
              <w:spacing w:after="0"/>
              <w:rPr>
                <w:sz w:val="20"/>
                <w:szCs w:val="20"/>
                <w:color w:val="auto"/>
              </w:rPr>
            </w:pPr>
            <w:r>
              <w:rPr>
                <w:rFonts w:ascii="Arial" w:cs="Arial" w:eastAsia="Arial" w:hAnsi="Arial"/>
                <w:sz w:val="12"/>
                <w:szCs w:val="12"/>
                <w:color w:val="auto"/>
              </w:rPr>
              <w:t>Net income (loss) attributable to common shares</w:t>
            </w:r>
          </w:p>
        </w:tc>
        <w:tc>
          <w:tcPr>
            <w:tcW w:w="140" w:type="dxa"/>
            <w:vAlign w:val="bottom"/>
            <w:shd w:val="clear" w:color="auto" w:fill="CFF0FC"/>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080" w:type="dxa"/>
            <w:vAlign w:val="bottom"/>
            <w:vMerge w:val="continue"/>
            <w:shd w:val="clear" w:color="auto" w:fill="CFF0FC"/>
          </w:tcPr>
          <w:p>
            <w:pPr>
              <w:spacing w:after="0"/>
              <w:rPr>
                <w:sz w:val="12"/>
                <w:szCs w:val="12"/>
                <w:color w:val="auto"/>
              </w:rPr>
            </w:pPr>
          </w:p>
        </w:tc>
        <w:tc>
          <w:tcPr>
            <w:tcW w:w="580" w:type="dxa"/>
            <w:vAlign w:val="bottom"/>
            <w:gridSpan w:val="2"/>
            <w:shd w:val="clear" w:color="auto" w:fill="CFF0FC"/>
          </w:tcPr>
          <w:p>
            <w:pPr>
              <w:jc w:val="right"/>
              <w:ind w:right="380"/>
              <w:spacing w:after="0"/>
              <w:rPr>
                <w:sz w:val="20"/>
                <w:szCs w:val="20"/>
                <w:color w:val="auto"/>
              </w:rPr>
            </w:pPr>
            <w:r>
              <w:rPr>
                <w:rFonts w:ascii="Arial" w:cs="Arial" w:eastAsia="Arial" w:hAnsi="Arial"/>
                <w:sz w:val="12"/>
                <w:szCs w:val="12"/>
                <w:color w:val="auto"/>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7,485</w:t>
            </w:r>
          </w:p>
        </w:tc>
        <w:tc>
          <w:tcPr>
            <w:tcW w:w="240" w:type="dxa"/>
            <w:vAlign w:val="bottom"/>
            <w:shd w:val="clear" w:color="auto" w:fill="CFF0FC"/>
          </w:tcPr>
          <w:p>
            <w:pPr>
              <w:spacing w:after="0"/>
              <w:rPr>
                <w:sz w:val="12"/>
                <w:szCs w:val="12"/>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(21,496)</w:t>
            </w:r>
          </w:p>
        </w:tc>
        <w:tc>
          <w:tcPr>
            <w:tcW w:w="460" w:type="dxa"/>
            <w:vAlign w:val="bottom"/>
            <w:shd w:val="clear" w:color="auto" w:fill="CFF0FC"/>
          </w:tcPr>
          <w:p>
            <w:pPr>
              <w:jc w:val="right"/>
              <w:ind w:right="350"/>
              <w:spacing w:after="0"/>
              <w:rPr>
                <w:sz w:val="20"/>
                <w:szCs w:val="20"/>
                <w:color w:val="auto"/>
              </w:rPr>
            </w:pPr>
            <w:r>
              <w:rPr>
                <w:rFonts w:ascii="Arial" w:cs="Arial" w:eastAsia="Arial" w:hAnsi="Arial"/>
                <w:sz w:val="10"/>
                <w:szCs w:val="10"/>
                <w:color w:val="auto"/>
                <w:w w:val="71"/>
              </w:rPr>
              <w:t>$</w:t>
            </w: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(5,497)</w:t>
            </w:r>
          </w:p>
        </w:tc>
        <w:tc>
          <w:tcPr>
            <w:tcW w:w="0" w:type="dxa"/>
            <w:vAlign w:val="bottom"/>
          </w:tcPr>
          <w:p>
            <w:pPr>
              <w:spacing w:after="0"/>
              <w:rPr>
                <w:sz w:val="1"/>
                <w:szCs w:val="1"/>
                <w:color w:val="auto"/>
              </w:rPr>
            </w:pPr>
          </w:p>
        </w:tc>
      </w:tr>
      <w:tr>
        <w:trPr>
          <w:trHeight w:val="153"/>
        </w:trPr>
        <w:tc>
          <w:tcPr>
            <w:tcW w:w="5080" w:type="dxa"/>
            <w:vAlign w:val="bottom"/>
          </w:tcPr>
          <w:p>
            <w:pPr>
              <w:spacing w:after="0"/>
              <w:rPr>
                <w:sz w:val="20"/>
                <w:szCs w:val="20"/>
                <w:color w:val="auto"/>
              </w:rPr>
            </w:pPr>
            <w:r>
              <w:rPr>
                <w:rFonts w:ascii="Arial" w:cs="Arial" w:eastAsia="Arial" w:hAnsi="Arial"/>
                <w:sz w:val="12"/>
                <w:szCs w:val="12"/>
                <w:color w:val="auto"/>
              </w:rPr>
              <w:t>Denominator:</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ind w:left="160"/>
              <w:spacing w:after="0"/>
              <w:rPr>
                <w:sz w:val="20"/>
                <w:szCs w:val="20"/>
                <w:color w:val="auto"/>
              </w:rPr>
            </w:pPr>
            <w:r>
              <w:rPr>
                <w:rFonts w:ascii="Arial" w:cs="Arial" w:eastAsia="Arial" w:hAnsi="Arial"/>
                <w:sz w:val="12"/>
                <w:szCs w:val="12"/>
                <w:color w:val="auto"/>
              </w:rPr>
              <w:t>Basic weighted-average common shares outstanding</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176,169</w:t>
            </w:r>
          </w:p>
        </w:tc>
        <w:tc>
          <w:tcPr>
            <w:tcW w:w="2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168,693</w:t>
            </w:r>
          </w:p>
        </w:tc>
        <w:tc>
          <w:tcPr>
            <w:tcW w:w="24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152,473</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080" w:type="dxa"/>
            <w:vAlign w:val="bottom"/>
          </w:tcPr>
          <w:p>
            <w:pPr>
              <w:ind w:left="320"/>
              <w:spacing w:after="0"/>
              <w:rPr>
                <w:sz w:val="20"/>
                <w:szCs w:val="20"/>
                <w:color w:val="auto"/>
              </w:rPr>
            </w:pPr>
            <w:r>
              <w:rPr>
                <w:rFonts w:ascii="Arial" w:cs="Arial" w:eastAsia="Arial" w:hAnsi="Arial"/>
                <w:sz w:val="12"/>
                <w:szCs w:val="12"/>
                <w:color w:val="auto"/>
              </w:rPr>
              <w:t>Contingent consideration (See Note 5)</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40" w:type="dxa"/>
            <w:vAlign w:val="bottom"/>
          </w:tcPr>
          <w:p>
            <w:pPr>
              <w:jc w:val="right"/>
              <w:spacing w:after="0"/>
              <w:rPr>
                <w:sz w:val="20"/>
                <w:szCs w:val="20"/>
                <w:color w:val="auto"/>
              </w:rPr>
            </w:pPr>
            <w:r>
              <w:rPr>
                <w:rFonts w:ascii="Arial" w:cs="Arial" w:eastAsia="Arial" w:hAnsi="Arial"/>
                <w:sz w:val="12"/>
                <w:szCs w:val="12"/>
                <w:color w:val="auto"/>
              </w:rPr>
              <w:t>645</w:t>
            </w:r>
          </w:p>
        </w:tc>
        <w:tc>
          <w:tcPr>
            <w:tcW w:w="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296</w:t>
            </w: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53"/>
        </w:trPr>
        <w:tc>
          <w:tcPr>
            <w:tcW w:w="5080" w:type="dxa"/>
            <w:vAlign w:val="bottom"/>
            <w:shd w:val="clear" w:color="auto" w:fill="CFF0FC"/>
          </w:tcPr>
          <w:p>
            <w:pPr>
              <w:ind w:left="320"/>
              <w:spacing w:after="0"/>
              <w:rPr>
                <w:sz w:val="20"/>
                <w:szCs w:val="20"/>
                <w:color w:val="auto"/>
              </w:rPr>
            </w:pPr>
            <w:r>
              <w:rPr>
                <w:rFonts w:ascii="Arial" w:cs="Arial" w:eastAsia="Arial" w:hAnsi="Arial"/>
                <w:sz w:val="12"/>
                <w:szCs w:val="12"/>
                <w:color w:val="auto"/>
              </w:rPr>
              <w:t>Effect of dilutive non-participating securities</w:t>
            </w:r>
          </w:p>
        </w:tc>
        <w:tc>
          <w:tcPr>
            <w:tcW w:w="14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257</w:t>
            </w:r>
          </w:p>
        </w:tc>
        <w:tc>
          <w:tcPr>
            <w:tcW w:w="2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240"/>
              <w:spacing w:after="0"/>
              <w:rPr>
                <w:sz w:val="20"/>
                <w:szCs w:val="20"/>
                <w:color w:val="auto"/>
              </w:rPr>
            </w:pPr>
            <w:r>
              <w:rPr>
                <w:rFonts w:ascii="Arial" w:cs="Arial" w:eastAsia="Arial" w:hAnsi="Arial"/>
                <w:sz w:val="12"/>
                <w:szCs w:val="12"/>
                <w:color w:val="auto"/>
              </w:rPr>
              <w:t>—</w:t>
            </w:r>
          </w:p>
        </w:tc>
        <w:tc>
          <w:tcPr>
            <w:tcW w:w="460" w:type="dxa"/>
            <w:vAlign w:val="bottom"/>
            <w:shd w:val="clear" w:color="auto" w:fill="CFF0FC"/>
          </w:tcPr>
          <w:p>
            <w:pPr>
              <w:spacing w:after="0"/>
              <w:rPr>
                <w:sz w:val="13"/>
                <w:szCs w:val="13"/>
                <w:color w:val="auto"/>
              </w:rPr>
            </w:pPr>
          </w:p>
        </w:tc>
        <w:tc>
          <w:tcPr>
            <w:tcW w:w="156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42"/>
        </w:trPr>
        <w:tc>
          <w:tcPr>
            <w:tcW w:w="5080" w:type="dxa"/>
            <w:vAlign w:val="bottom"/>
            <w:tcBorders>
              <w:bottom w:val="single" w:sz="8" w:color="CFF0FC"/>
            </w:tcBorders>
          </w:tcPr>
          <w:p>
            <w:pPr>
              <w:ind w:left="160"/>
              <w:spacing w:after="0"/>
              <w:rPr>
                <w:sz w:val="20"/>
                <w:szCs w:val="20"/>
                <w:color w:val="auto"/>
              </w:rPr>
            </w:pPr>
            <w:r>
              <w:rPr>
                <w:rFonts w:ascii="Arial" w:cs="Arial" w:eastAsia="Arial" w:hAnsi="Arial"/>
                <w:sz w:val="12"/>
                <w:szCs w:val="12"/>
                <w:color w:val="auto"/>
              </w:rPr>
              <w:t>Weighted-average shares for dilutive earnings per common share</w:t>
            </w:r>
          </w:p>
        </w:tc>
        <w:tc>
          <w:tcPr>
            <w:tcW w:w="140" w:type="dxa"/>
            <w:vAlign w:val="bottom"/>
            <w:tcBorders>
              <w:bottom w:val="single" w:sz="8" w:color="CFF0FC"/>
            </w:tcBorders>
          </w:tcPr>
          <w:p>
            <w:pPr>
              <w:spacing w:after="0"/>
              <w:rPr>
                <w:sz w:val="12"/>
                <w:szCs w:val="12"/>
                <w:color w:val="auto"/>
              </w:rPr>
            </w:pPr>
          </w:p>
        </w:tc>
        <w:tc>
          <w:tcPr>
            <w:tcW w:w="440" w:type="dxa"/>
            <w:vAlign w:val="bottom"/>
            <w:tcBorders>
              <w:top w:val="single" w:sz="8" w:color="auto"/>
              <w:bottom w:val="single" w:sz="8" w:color="auto"/>
            </w:tcBorders>
          </w:tcPr>
          <w:p>
            <w:pPr>
              <w:spacing w:after="0"/>
              <w:rPr>
                <w:sz w:val="12"/>
                <w:szCs w:val="12"/>
                <w:color w:val="auto"/>
              </w:rPr>
            </w:pP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177,071</w:t>
            </w:r>
          </w:p>
        </w:tc>
        <w:tc>
          <w:tcPr>
            <w:tcW w:w="240" w:type="dxa"/>
            <w:vAlign w:val="bottom"/>
            <w:tcBorders>
              <w:bottom w:val="single" w:sz="8" w:color="CFF0FC"/>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1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168,989</w:t>
            </w:r>
          </w:p>
        </w:tc>
        <w:tc>
          <w:tcPr>
            <w:tcW w:w="240" w:type="dxa"/>
            <w:vAlign w:val="bottom"/>
            <w:tcBorders>
              <w:bottom w:val="single" w:sz="8" w:color="CFF0FC"/>
            </w:tcBorders>
          </w:tcPr>
          <w:p>
            <w:pPr>
              <w:spacing w:after="0"/>
              <w:rPr>
                <w:sz w:val="12"/>
                <w:szCs w:val="12"/>
                <w:color w:val="auto"/>
              </w:rPr>
            </w:pPr>
          </w:p>
        </w:tc>
        <w:tc>
          <w:tcPr>
            <w:tcW w:w="460" w:type="dxa"/>
            <w:vAlign w:val="bottom"/>
            <w:tcBorders>
              <w:top w:val="single" w:sz="8" w:color="auto"/>
              <w:bottom w:val="single" w:sz="8" w:color="auto"/>
            </w:tcBorders>
          </w:tcPr>
          <w:p>
            <w:pPr>
              <w:spacing w:after="0"/>
              <w:rPr>
                <w:sz w:val="12"/>
                <w:szCs w:val="12"/>
                <w:color w:val="auto"/>
              </w:rPr>
            </w:pP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152,473</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080" w:type="dxa"/>
            <w:vAlign w:val="bottom"/>
            <w:shd w:val="clear" w:color="auto" w:fill="CFF0FC"/>
          </w:tcPr>
          <w:p>
            <w:pPr>
              <w:spacing w:after="0"/>
              <w:rPr>
                <w:sz w:val="20"/>
                <w:szCs w:val="20"/>
                <w:color w:val="auto"/>
              </w:rPr>
            </w:pPr>
            <w:r>
              <w:rPr>
                <w:rFonts w:ascii="Arial" w:cs="Arial" w:eastAsia="Arial" w:hAnsi="Arial"/>
                <w:sz w:val="12"/>
                <w:szCs w:val="12"/>
                <w:color w:val="auto"/>
              </w:rPr>
              <w:t>Dilutive earnings (loss) per common share</w:t>
            </w:r>
          </w:p>
        </w:tc>
        <w:tc>
          <w:tcPr>
            <w:tcW w:w="580" w:type="dxa"/>
            <w:vAlign w:val="bottom"/>
            <w:gridSpan w:val="2"/>
            <w:shd w:val="clear" w:color="auto" w:fill="CFF0FC"/>
          </w:tcPr>
          <w:p>
            <w:pPr>
              <w:jc w:val="right"/>
              <w:ind w:right="380"/>
              <w:spacing w:after="0"/>
              <w:rPr>
                <w:sz w:val="20"/>
                <w:szCs w:val="20"/>
                <w:color w:val="auto"/>
              </w:rPr>
            </w:pPr>
            <w:r>
              <w:rPr>
                <w:rFonts w:ascii="Arial" w:cs="Arial" w:eastAsia="Arial" w:hAnsi="Arial"/>
                <w:sz w:val="12"/>
                <w:szCs w:val="12"/>
                <w:color w:val="auto"/>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0.04</w:t>
            </w:r>
          </w:p>
        </w:tc>
        <w:tc>
          <w:tcPr>
            <w:tcW w:w="240" w:type="dxa"/>
            <w:vAlign w:val="bottom"/>
            <w:shd w:val="clear" w:color="auto" w:fill="CFF0FC"/>
          </w:tcPr>
          <w:p>
            <w:pPr>
              <w:spacing w:after="0"/>
              <w:rPr>
                <w:sz w:val="12"/>
                <w:szCs w:val="12"/>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8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(0.13)</w:t>
            </w:r>
          </w:p>
        </w:tc>
        <w:tc>
          <w:tcPr>
            <w:tcW w:w="460" w:type="dxa"/>
            <w:vAlign w:val="bottom"/>
            <w:shd w:val="clear" w:color="auto" w:fill="CFF0FC"/>
          </w:tcPr>
          <w:p>
            <w:pPr>
              <w:jc w:val="right"/>
              <w:ind w:right="350"/>
              <w:spacing w:after="0"/>
              <w:rPr>
                <w:sz w:val="20"/>
                <w:szCs w:val="20"/>
                <w:color w:val="auto"/>
              </w:rPr>
            </w:pPr>
            <w:r>
              <w:rPr>
                <w:rFonts w:ascii="Arial" w:cs="Arial" w:eastAsia="Arial" w:hAnsi="Arial"/>
                <w:sz w:val="10"/>
                <w:szCs w:val="10"/>
                <w:color w:val="auto"/>
                <w:w w:val="71"/>
              </w:rPr>
              <w:t>$</w:t>
            </w:r>
          </w:p>
        </w:tc>
        <w:tc>
          <w:tcPr>
            <w:tcW w:w="15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(0.04)</w:t>
            </w:r>
          </w:p>
        </w:tc>
        <w:tc>
          <w:tcPr>
            <w:tcW w:w="0" w:type="dxa"/>
            <w:vAlign w:val="bottom"/>
          </w:tcPr>
          <w:p>
            <w:pPr>
              <w:spacing w:after="0"/>
              <w:rPr>
                <w:sz w:val="1"/>
                <w:szCs w:val="1"/>
                <w:color w:val="auto"/>
              </w:rPr>
            </w:pPr>
          </w:p>
        </w:tc>
      </w:tr>
      <w:tr>
        <w:trPr>
          <w:trHeight w:val="27"/>
        </w:trPr>
        <w:tc>
          <w:tcPr>
            <w:tcW w:w="5080" w:type="dxa"/>
            <w:vAlign w:val="bottom"/>
            <w:shd w:val="clear" w:color="auto" w:fill="CFF0FC"/>
          </w:tcPr>
          <w:p>
            <w:pPr>
              <w:spacing w:after="0"/>
              <w:rPr>
                <w:sz w:val="2"/>
                <w:szCs w:val="2"/>
                <w:color w:val="auto"/>
              </w:rPr>
            </w:pPr>
          </w:p>
        </w:tc>
        <w:tc>
          <w:tcPr>
            <w:tcW w:w="140" w:type="dxa"/>
            <w:vAlign w:val="bottom"/>
            <w:shd w:val="clear" w:color="auto" w:fill="CFF0FC"/>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40" w:type="dxa"/>
            <w:vAlign w:val="bottom"/>
            <w:shd w:val="clear" w:color="auto" w:fill="000000"/>
          </w:tcPr>
          <w:p>
            <w:pPr>
              <w:spacing w:after="0"/>
              <w:rPr>
                <w:sz w:val="2"/>
                <w:szCs w:val="2"/>
                <w:color w:val="auto"/>
              </w:rPr>
            </w:pPr>
          </w:p>
        </w:tc>
        <w:tc>
          <w:tcPr>
            <w:tcW w:w="240" w:type="dxa"/>
            <w:vAlign w:val="bottom"/>
            <w:shd w:val="clear" w:color="auto" w:fill="CFF0F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40" w:type="dxa"/>
            <w:vAlign w:val="bottom"/>
            <w:shd w:val="clear" w:color="auto" w:fill="000000"/>
          </w:tcPr>
          <w:p>
            <w:pPr>
              <w:spacing w:after="0"/>
              <w:rPr>
                <w:sz w:val="2"/>
                <w:szCs w:val="2"/>
                <w:color w:val="auto"/>
              </w:rPr>
            </w:pPr>
          </w:p>
        </w:tc>
        <w:tc>
          <w:tcPr>
            <w:tcW w:w="240" w:type="dxa"/>
            <w:vAlign w:val="bottom"/>
            <w:shd w:val="clear" w:color="auto" w:fill="CFF0FC"/>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440" w:type="dxa"/>
            <w:vAlign w:val="bottom"/>
            <w:shd w:val="clear" w:color="auto" w:fill="000000"/>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7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14. Segment Information</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Our management, including our chief executive officer, who is our chief operating decision maker, manages our operations as four operating business segments in addition to our corporate operations and include:</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94" w:name="page95"/>
    <w:bookmarkEnd w:id="9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40"/>
        <w:spacing w:after="0" w:line="276" w:lineRule="auto"/>
        <w:rPr>
          <w:sz w:val="20"/>
          <w:szCs w:val="20"/>
          <w:color w:val="auto"/>
        </w:rPr>
      </w:pPr>
      <w:r>
        <w:rPr>
          <w:rFonts w:ascii="Arial" w:cs="Arial" w:eastAsia="Arial" w:hAnsi="Arial"/>
          <w:sz w:val="12"/>
          <w:szCs w:val="12"/>
          <w:i w:val="1"/>
          <w:iCs w:val="1"/>
          <w:u w:val="single" w:color="auto"/>
          <w:color w:val="auto"/>
        </w:rPr>
        <w:t>Leasing</w:t>
      </w:r>
      <w:r>
        <w:rPr>
          <w:rFonts w:ascii="Arial" w:cs="Arial" w:eastAsia="Arial" w:hAnsi="Arial"/>
          <w:sz w:val="12"/>
          <w:szCs w:val="12"/>
          <w:color w:val="auto"/>
        </w:rPr>
        <w:t>: Represents a component of our REIT operations and includes the results from our leasing business, Uniti Leasing, which is engaged in the acquisition of mission-critical communications assets and leasing them back to anchor</w:t>
      </w:r>
      <w:r>
        <w:rPr>
          <w:rFonts w:ascii="Arial" w:cs="Arial" w:eastAsia="Arial" w:hAnsi="Arial"/>
          <w:sz w:val="12"/>
          <w:szCs w:val="12"/>
          <w:i w:val="1"/>
          <w:iCs w:val="1"/>
          <w:color w:val="auto"/>
        </w:rPr>
        <w:t xml:space="preserve"> </w:t>
      </w:r>
      <w:r>
        <w:rPr>
          <w:rFonts w:ascii="Arial" w:cs="Arial" w:eastAsia="Arial" w:hAnsi="Arial"/>
          <w:sz w:val="12"/>
          <w:szCs w:val="12"/>
          <w:color w:val="auto"/>
        </w:rPr>
        <w:t>customers on either an exclusive or shared-tenant basis.</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i w:val="1"/>
          <w:iCs w:val="1"/>
          <w:u w:val="single" w:color="auto"/>
          <w:color w:val="auto"/>
        </w:rPr>
        <w:t>Fiber Infrastructure</w:t>
      </w:r>
      <w:r>
        <w:rPr>
          <w:rFonts w:ascii="Arial" w:cs="Arial" w:eastAsia="Arial" w:hAnsi="Arial"/>
          <w:sz w:val="12"/>
          <w:szCs w:val="12"/>
          <w:color w:val="auto"/>
        </w:rPr>
        <w:t>: Represents the operations of our fiber business, Uniti Fiber, which is a leading provider of infrastructure solutions, including cell site backhaul and dark fiber, to the telecommunications industry.</w:t>
      </w:r>
    </w:p>
    <w:p>
      <w:pPr>
        <w:spacing w:after="0" w:line="150" w:lineRule="exact"/>
        <w:rPr>
          <w:sz w:val="20"/>
          <w:szCs w:val="20"/>
          <w:color w:val="auto"/>
        </w:rPr>
      </w:pPr>
    </w:p>
    <w:p>
      <w:pPr>
        <w:ind w:right="440"/>
        <w:spacing w:after="0" w:line="276" w:lineRule="auto"/>
        <w:rPr>
          <w:sz w:val="20"/>
          <w:szCs w:val="20"/>
          <w:color w:val="auto"/>
        </w:rPr>
      </w:pPr>
      <w:r>
        <w:rPr>
          <w:rFonts w:ascii="Arial" w:cs="Arial" w:eastAsia="Arial" w:hAnsi="Arial"/>
          <w:sz w:val="12"/>
          <w:szCs w:val="12"/>
          <w:i w:val="1"/>
          <w:iCs w:val="1"/>
          <w:u w:val="single" w:color="auto"/>
          <w:color w:val="auto"/>
        </w:rPr>
        <w:t>Towers</w:t>
      </w:r>
      <w:r>
        <w:rPr>
          <w:rFonts w:ascii="Arial" w:cs="Arial" w:eastAsia="Arial" w:hAnsi="Arial"/>
          <w:sz w:val="12"/>
          <w:szCs w:val="12"/>
          <w:color w:val="auto"/>
        </w:rPr>
        <w:t>: Represents the operations of our towers business, Uniti Towers, through which we acquire and construct tower and tower-related real estate in the United States and Latin America. Uniti Towers is a component of our REIT</w:t>
      </w:r>
      <w:r>
        <w:rPr>
          <w:rFonts w:ascii="Arial" w:cs="Arial" w:eastAsia="Arial" w:hAnsi="Arial"/>
          <w:sz w:val="12"/>
          <w:szCs w:val="12"/>
          <w:i w:val="1"/>
          <w:iCs w:val="1"/>
          <w:color w:val="auto"/>
        </w:rPr>
        <w:t xml:space="preserve"> </w:t>
      </w:r>
      <w:r>
        <w:rPr>
          <w:rFonts w:ascii="Arial" w:cs="Arial" w:eastAsia="Arial" w:hAnsi="Arial"/>
          <w:sz w:val="12"/>
          <w:szCs w:val="12"/>
          <w:color w:val="auto"/>
        </w:rPr>
        <w:t>operations.</w:t>
      </w:r>
    </w:p>
    <w:p>
      <w:pPr>
        <w:spacing w:after="0" w:line="115"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i w:val="1"/>
          <w:iCs w:val="1"/>
          <w:u w:val="single" w:color="auto"/>
          <w:color w:val="auto"/>
        </w:rPr>
        <w:t>Consumer CLEC</w:t>
      </w:r>
      <w:r>
        <w:rPr>
          <w:rFonts w:ascii="Arial" w:cs="Arial" w:eastAsia="Arial" w:hAnsi="Arial"/>
          <w:sz w:val="12"/>
          <w:szCs w:val="12"/>
          <w:color w:val="auto"/>
        </w:rPr>
        <w:t>: Represents the operations of Talk America Services (“Talk America”) through which we operate the Consumer CLEC Business, that prior to the Spin-Off was reported as an integrated operation within Windstream. Talk</w:t>
      </w:r>
      <w:r>
        <w:rPr>
          <w:rFonts w:ascii="Arial" w:cs="Arial" w:eastAsia="Arial" w:hAnsi="Arial"/>
          <w:sz w:val="12"/>
          <w:szCs w:val="12"/>
          <w:i w:val="1"/>
          <w:iCs w:val="1"/>
          <w:color w:val="auto"/>
        </w:rPr>
        <w:t xml:space="preserve"> </w:t>
      </w:r>
      <w:r>
        <w:rPr>
          <w:rFonts w:ascii="Arial" w:cs="Arial" w:eastAsia="Arial" w:hAnsi="Arial"/>
          <w:sz w:val="12"/>
          <w:szCs w:val="12"/>
          <w:color w:val="auto"/>
        </w:rPr>
        <w:t>America provides local telephone, high-speed internet and long distance services to customers in the eastern and central United States.</w:t>
      </w:r>
    </w:p>
    <w:p>
      <w:pPr>
        <w:spacing w:after="0" w:line="115" w:lineRule="exact"/>
        <w:rPr>
          <w:sz w:val="20"/>
          <w:szCs w:val="20"/>
          <w:color w:val="auto"/>
        </w:rPr>
      </w:pPr>
    </w:p>
    <w:p>
      <w:pPr>
        <w:ind w:right="20"/>
        <w:spacing w:after="0" w:line="276" w:lineRule="auto"/>
        <w:rPr>
          <w:sz w:val="20"/>
          <w:szCs w:val="20"/>
          <w:color w:val="auto"/>
        </w:rPr>
      </w:pPr>
      <w:r>
        <w:rPr>
          <w:rFonts w:ascii="Arial" w:cs="Arial" w:eastAsia="Arial" w:hAnsi="Arial"/>
          <w:sz w:val="12"/>
          <w:szCs w:val="12"/>
          <w:i w:val="1"/>
          <w:iCs w:val="1"/>
          <w:u w:val="single" w:color="auto"/>
          <w:color w:val="auto"/>
        </w:rPr>
        <w:t>Corporate</w:t>
      </w:r>
      <w:r>
        <w:rPr>
          <w:rFonts w:ascii="Arial" w:cs="Arial" w:eastAsia="Arial" w:hAnsi="Arial"/>
          <w:sz w:val="12"/>
          <w:szCs w:val="12"/>
          <w:i w:val="1"/>
          <w:iCs w:val="1"/>
          <w:color w:val="auto"/>
        </w:rPr>
        <w:t xml:space="preserve">: </w:t>
      </w:r>
      <w:r>
        <w:rPr>
          <w:rFonts w:ascii="Arial" w:cs="Arial" w:eastAsia="Arial" w:hAnsi="Arial"/>
          <w:sz w:val="12"/>
          <w:szCs w:val="12"/>
          <w:color w:val="auto"/>
        </w:rPr>
        <w:t>Represents our corporate office and shared service functions. Certain costs and expenses, primarily related to headcount, insurance, professional fees and similar charges, that are directly attributable to operations of our business</w:t>
      </w:r>
      <w:r>
        <w:rPr>
          <w:rFonts w:ascii="Arial" w:cs="Arial" w:eastAsia="Arial" w:hAnsi="Arial"/>
          <w:sz w:val="12"/>
          <w:szCs w:val="12"/>
          <w:i w:val="1"/>
          <w:iCs w:val="1"/>
          <w:color w:val="auto"/>
        </w:rPr>
        <w:t xml:space="preserve"> </w:t>
      </w:r>
      <w:r>
        <w:rPr>
          <w:rFonts w:ascii="Arial" w:cs="Arial" w:eastAsia="Arial" w:hAnsi="Arial"/>
          <w:sz w:val="12"/>
          <w:szCs w:val="12"/>
          <w:color w:val="auto"/>
        </w:rPr>
        <w:t>segments are allocated to the respective segments.</w:t>
      </w:r>
    </w:p>
    <w:p>
      <w:pPr>
        <w:spacing w:after="0" w:line="115" w:lineRule="exact"/>
        <w:rPr>
          <w:sz w:val="20"/>
          <w:szCs w:val="20"/>
          <w:color w:val="auto"/>
        </w:rPr>
      </w:pPr>
    </w:p>
    <w:p>
      <w:pPr>
        <w:ind w:right="40"/>
        <w:spacing w:after="0" w:line="257" w:lineRule="auto"/>
        <w:rPr>
          <w:sz w:val="20"/>
          <w:szCs w:val="20"/>
          <w:color w:val="auto"/>
        </w:rPr>
      </w:pPr>
      <w:r>
        <w:rPr>
          <w:rFonts w:ascii="Arial" w:cs="Arial" w:eastAsia="Arial" w:hAnsi="Arial"/>
          <w:sz w:val="12"/>
          <w:szCs w:val="12"/>
          <w:color w:val="auto"/>
        </w:rPr>
        <w:t>Management evaluates the performance of each segment using Adjusted EBITDA, which is a segment performance measure defined as net income determined in accordance with GAAP, before interest expense, provision for income taxes, depreciation and amortization, stock-based compensation expense, the impact, which may be recurring in nature, of transaction related expenses, the write off of unamortized deferred financing costs, costs incurred as a result of the early repayment of debt, changes in the fair value of contingent consideration and financial instruments, and other similar items. The Company believes that net income, as defined by GAAP, is the most appropriate earnings metric; however we believe that Adjusted EBITDA serves as a useful supplement to net income because it allows investors, analysts and management to evaluate the performance of our segments in a manner that is comparable period over period. Adjusted EBITDA should not be considered as an alternative to net income as determined in accordance with GAAP.</w:t>
      </w:r>
    </w:p>
    <w:p>
      <w:pPr>
        <w:spacing w:after="0" w:line="126" w:lineRule="exact"/>
        <w:rPr>
          <w:sz w:val="20"/>
          <w:szCs w:val="20"/>
          <w:color w:val="auto"/>
        </w:rPr>
      </w:pPr>
    </w:p>
    <w:p>
      <w:pPr>
        <w:spacing w:after="0"/>
        <w:rPr>
          <w:sz w:val="20"/>
          <w:szCs w:val="20"/>
          <w:color w:val="auto"/>
        </w:rPr>
      </w:pPr>
      <w:r>
        <w:rPr>
          <w:rFonts w:ascii="Arial" w:cs="Arial" w:eastAsia="Arial" w:hAnsi="Arial"/>
          <w:sz w:val="12"/>
          <w:szCs w:val="12"/>
          <w:color w:val="auto"/>
        </w:rPr>
        <w:t>Selected financial data related to our segments is presented below for the years ended December 31, 2018, 2017 and 2016:</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6"/>
          </w:tcPr>
          <w:p>
            <w:pPr>
              <w:jc w:val="right"/>
              <w:ind w:right="680"/>
              <w:spacing w:after="0"/>
              <w:rPr>
                <w:sz w:val="20"/>
                <w:szCs w:val="20"/>
                <w:color w:val="auto"/>
              </w:rPr>
            </w:pPr>
            <w:r>
              <w:rPr>
                <w:rFonts w:ascii="Arial" w:cs="Arial" w:eastAsia="Arial" w:hAnsi="Arial"/>
                <w:sz w:val="10"/>
                <w:szCs w:val="10"/>
                <w:b w:val="1"/>
                <w:bCs w:val="1"/>
                <w:color w:val="auto"/>
              </w:rPr>
              <w:t>Year Ended December 31, 2018</w:t>
            </w:r>
          </w:p>
        </w:tc>
        <w:tc>
          <w:tcPr>
            <w:tcW w:w="16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3"/>
        </w:trPr>
        <w:tc>
          <w:tcPr>
            <w:tcW w:w="4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880" w:type="dxa"/>
            <w:vAlign w:val="bottom"/>
          </w:tcPr>
          <w:p>
            <w:pPr>
              <w:spacing w:after="0"/>
              <w:rPr>
                <w:sz w:val="7"/>
                <w:szCs w:val="7"/>
                <w:color w:val="auto"/>
              </w:rPr>
            </w:pPr>
          </w:p>
        </w:tc>
        <w:tc>
          <w:tcPr>
            <w:tcW w:w="2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jc w:val="right"/>
              <w:ind w:right="22"/>
              <w:spacing w:after="0" w:line="83" w:lineRule="exact"/>
              <w:rPr>
                <w:sz w:val="20"/>
                <w:szCs w:val="20"/>
                <w:color w:val="auto"/>
              </w:rPr>
            </w:pPr>
            <w:r>
              <w:rPr>
                <w:rFonts w:ascii="Arial" w:cs="Arial" w:eastAsia="Arial" w:hAnsi="Arial"/>
                <w:sz w:val="8"/>
                <w:szCs w:val="8"/>
                <w:b w:val="1"/>
                <w:bCs w:val="1"/>
                <w:color w:val="auto"/>
              </w:rPr>
              <w:t>Total of Reportable</w:t>
            </w: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30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120" w:type="dxa"/>
            <w:vAlign w:val="bottom"/>
            <w:tcBorders>
              <w:bottom w:val="single" w:sz="8" w:color="CFF0FC"/>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jc w:val="right"/>
              <w:ind w:right="262"/>
              <w:spacing w:after="0" w:line="114" w:lineRule="exact"/>
              <w:rPr>
                <w:sz w:val="20"/>
                <w:szCs w:val="20"/>
                <w:color w:val="auto"/>
              </w:rPr>
            </w:pPr>
            <w:r>
              <w:rPr>
                <w:rFonts w:ascii="Arial" w:cs="Arial" w:eastAsia="Arial" w:hAnsi="Arial"/>
                <w:sz w:val="10"/>
                <w:szCs w:val="10"/>
                <w:b w:val="1"/>
                <w:bCs w:val="1"/>
                <w:color w:val="auto"/>
              </w:rPr>
              <w:t>Leasing</w:t>
            </w:r>
          </w:p>
        </w:tc>
        <w:tc>
          <w:tcPr>
            <w:tcW w:w="240" w:type="dxa"/>
            <w:vAlign w:val="bottom"/>
            <w:tcBorders>
              <w:bottom w:val="single" w:sz="8" w:color="CFF0FC"/>
            </w:tcBorders>
          </w:tcPr>
          <w:p>
            <w:pPr>
              <w:spacing w:after="0"/>
              <w:rPr>
                <w:sz w:val="9"/>
                <w:szCs w:val="9"/>
                <w:color w:val="auto"/>
              </w:rPr>
            </w:pPr>
          </w:p>
        </w:tc>
        <w:tc>
          <w:tcPr>
            <w:tcW w:w="940" w:type="dxa"/>
            <w:vAlign w:val="bottom"/>
            <w:tcBorders>
              <w:bottom w:val="single" w:sz="8" w:color="auto"/>
            </w:tcBorders>
            <w:gridSpan w:val="2"/>
          </w:tcPr>
          <w:p>
            <w:pPr>
              <w:jc w:val="right"/>
              <w:spacing w:after="0" w:line="114" w:lineRule="exact"/>
              <w:rPr>
                <w:sz w:val="20"/>
                <w:szCs w:val="20"/>
                <w:color w:val="auto"/>
              </w:rPr>
            </w:pPr>
            <w:r>
              <w:rPr>
                <w:rFonts w:ascii="Arial" w:cs="Arial" w:eastAsia="Arial" w:hAnsi="Arial"/>
                <w:sz w:val="10"/>
                <w:szCs w:val="10"/>
                <w:b w:val="1"/>
                <w:bCs w:val="1"/>
                <w:color w:val="auto"/>
                <w:w w:val="93"/>
              </w:rPr>
              <w:t>Fiber Infrastructure</w:t>
            </w:r>
          </w:p>
        </w:tc>
        <w:tc>
          <w:tcPr>
            <w:tcW w:w="240" w:type="dxa"/>
            <w:vAlign w:val="bottom"/>
            <w:tcBorders>
              <w:bottom w:val="single" w:sz="8" w:color="CFF0FC"/>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jc w:val="right"/>
              <w:ind w:right="303"/>
              <w:spacing w:after="0" w:line="114" w:lineRule="exact"/>
              <w:rPr>
                <w:sz w:val="20"/>
                <w:szCs w:val="20"/>
                <w:color w:val="auto"/>
              </w:rPr>
            </w:pPr>
            <w:r>
              <w:rPr>
                <w:rFonts w:ascii="Arial" w:cs="Arial" w:eastAsia="Arial" w:hAnsi="Arial"/>
                <w:sz w:val="10"/>
                <w:szCs w:val="10"/>
                <w:b w:val="1"/>
                <w:bCs w:val="1"/>
                <w:color w:val="auto"/>
              </w:rPr>
              <w:t>Towers</w:t>
            </w:r>
          </w:p>
        </w:tc>
        <w:tc>
          <w:tcPr>
            <w:tcW w:w="160" w:type="dxa"/>
            <w:vAlign w:val="bottom"/>
            <w:tcBorders>
              <w:bottom w:val="single" w:sz="8" w:color="CFF0FC"/>
            </w:tcBorders>
          </w:tcPr>
          <w:p>
            <w:pPr>
              <w:spacing w:after="0"/>
              <w:rPr>
                <w:sz w:val="9"/>
                <w:szCs w:val="9"/>
                <w:color w:val="auto"/>
              </w:rPr>
            </w:pPr>
          </w:p>
        </w:tc>
        <w:tc>
          <w:tcPr>
            <w:tcW w:w="60" w:type="dxa"/>
            <w:vAlign w:val="bottom"/>
            <w:tcBorders>
              <w:bottom w:val="single" w:sz="8" w:color="CFF0FC"/>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60" w:type="dxa"/>
            <w:vAlign w:val="bottom"/>
            <w:tcBorders>
              <w:bottom w:val="single" w:sz="8" w:color="auto"/>
            </w:tcBorders>
          </w:tcPr>
          <w:p>
            <w:pPr>
              <w:jc w:val="right"/>
              <w:ind w:right="62"/>
              <w:spacing w:after="0" w:line="114" w:lineRule="exact"/>
              <w:rPr>
                <w:sz w:val="20"/>
                <w:szCs w:val="20"/>
                <w:color w:val="auto"/>
              </w:rPr>
            </w:pPr>
            <w:r>
              <w:rPr>
                <w:rFonts w:ascii="Arial" w:cs="Arial" w:eastAsia="Arial" w:hAnsi="Arial"/>
                <w:sz w:val="10"/>
                <w:szCs w:val="10"/>
                <w:b w:val="1"/>
                <w:bCs w:val="1"/>
                <w:color w:val="auto"/>
                <w:w w:val="90"/>
              </w:rPr>
              <w:t>Consumer CLEC</w:t>
            </w:r>
          </w:p>
        </w:tc>
        <w:tc>
          <w:tcPr>
            <w:tcW w:w="220" w:type="dxa"/>
            <w:vAlign w:val="bottom"/>
            <w:tcBorders>
              <w:bottom w:val="single" w:sz="8" w:color="CFF0FC"/>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800" w:type="dxa"/>
            <w:vAlign w:val="bottom"/>
            <w:tcBorders>
              <w:bottom w:val="single" w:sz="8" w:color="auto"/>
            </w:tcBorders>
          </w:tcPr>
          <w:p>
            <w:pPr>
              <w:jc w:val="right"/>
              <w:ind w:right="202"/>
              <w:spacing w:after="0" w:line="114" w:lineRule="exact"/>
              <w:rPr>
                <w:sz w:val="20"/>
                <w:szCs w:val="20"/>
                <w:color w:val="auto"/>
              </w:rPr>
            </w:pPr>
            <w:r>
              <w:rPr>
                <w:rFonts w:ascii="Arial" w:cs="Arial" w:eastAsia="Arial" w:hAnsi="Arial"/>
                <w:sz w:val="10"/>
                <w:szCs w:val="10"/>
                <w:b w:val="1"/>
                <w:bCs w:val="1"/>
                <w:color w:val="auto"/>
              </w:rPr>
              <w:t>Corporate</w:t>
            </w:r>
          </w:p>
        </w:tc>
        <w:tc>
          <w:tcPr>
            <w:tcW w:w="120" w:type="dxa"/>
            <w:vAlign w:val="bottom"/>
            <w:tcBorders>
              <w:bottom w:val="single" w:sz="8" w:color="CFF0FC"/>
            </w:tcBorders>
          </w:tcPr>
          <w:p>
            <w:pPr>
              <w:spacing w:after="0"/>
              <w:rPr>
                <w:sz w:val="9"/>
                <w:szCs w:val="9"/>
                <w:color w:val="auto"/>
              </w:rPr>
            </w:pPr>
          </w:p>
        </w:tc>
        <w:tc>
          <w:tcPr>
            <w:tcW w:w="160" w:type="dxa"/>
            <w:vAlign w:val="bottom"/>
            <w:tcBorders>
              <w:bottom w:val="single" w:sz="8" w:color="CFF0FC"/>
            </w:tcBorders>
          </w:tcPr>
          <w:p>
            <w:pPr>
              <w:spacing w:after="0"/>
              <w:rPr>
                <w:sz w:val="9"/>
                <w:szCs w:val="9"/>
                <w:color w:val="auto"/>
              </w:rPr>
            </w:pPr>
          </w:p>
        </w:tc>
        <w:tc>
          <w:tcPr>
            <w:tcW w:w="900" w:type="dxa"/>
            <w:vAlign w:val="bottom"/>
            <w:tcBorders>
              <w:bottom w:val="single" w:sz="8" w:color="auto"/>
            </w:tcBorders>
          </w:tcPr>
          <w:p>
            <w:pPr>
              <w:jc w:val="right"/>
              <w:ind w:right="222"/>
              <w:spacing w:after="0" w:line="114" w:lineRule="exact"/>
              <w:rPr>
                <w:sz w:val="20"/>
                <w:szCs w:val="20"/>
                <w:color w:val="auto"/>
              </w:rPr>
            </w:pPr>
            <w:r>
              <w:rPr>
                <w:rFonts w:ascii="Arial" w:cs="Arial" w:eastAsia="Arial" w:hAnsi="Arial"/>
                <w:sz w:val="10"/>
                <w:szCs w:val="10"/>
                <w:b w:val="1"/>
                <w:bCs w:val="1"/>
                <w:color w:val="auto"/>
              </w:rPr>
              <w:t>Segments</w:t>
            </w:r>
          </w:p>
        </w:tc>
        <w:tc>
          <w:tcPr>
            <w:tcW w:w="140" w:type="dxa"/>
            <w:vAlign w:val="bottom"/>
            <w:tcBorders>
              <w:bottom w:val="single" w:sz="8" w:color="CFF0FC"/>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300" w:type="dxa"/>
            <w:vAlign w:val="bottom"/>
            <w:shd w:val="clear" w:color="auto" w:fill="CFF0FC"/>
          </w:tcPr>
          <w:p>
            <w:pPr>
              <w:spacing w:after="0"/>
              <w:rPr>
                <w:sz w:val="20"/>
                <w:szCs w:val="20"/>
                <w:color w:val="auto"/>
              </w:rPr>
            </w:pPr>
            <w:r>
              <w:rPr>
                <w:rFonts w:ascii="Arial" w:cs="Arial" w:eastAsia="Arial" w:hAnsi="Arial"/>
                <w:sz w:val="12"/>
                <w:szCs w:val="12"/>
                <w:color w:val="auto"/>
              </w:rPr>
              <w:t>Revenues</w:t>
            </w:r>
          </w:p>
        </w:tc>
        <w:tc>
          <w:tcPr>
            <w:tcW w:w="300" w:type="dxa"/>
            <w:vAlign w:val="bottom"/>
            <w:gridSpan w:val="2"/>
            <w:shd w:val="clear" w:color="auto" w:fill="CFF0FC"/>
          </w:tcPr>
          <w:p>
            <w:pPr>
              <w:jc w:val="right"/>
              <w:ind w:right="120"/>
              <w:spacing w:after="0"/>
              <w:rPr>
                <w:sz w:val="20"/>
                <w:szCs w:val="20"/>
                <w:color w:val="auto"/>
              </w:rPr>
            </w:pPr>
            <w:r>
              <w:rPr>
                <w:rFonts w:ascii="Arial" w:cs="Arial" w:eastAsia="Arial" w:hAnsi="Arial"/>
                <w:sz w:val="12"/>
                <w:szCs w:val="12"/>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699,847</w:t>
            </w:r>
          </w:p>
        </w:tc>
        <w:tc>
          <w:tcPr>
            <w:tcW w:w="240" w:type="dxa"/>
            <w:vAlign w:val="bottom"/>
            <w:shd w:val="clear" w:color="auto" w:fill="CFF0FC"/>
          </w:tcPr>
          <w:p>
            <w:pPr>
              <w:spacing w:after="0"/>
              <w:rPr>
                <w:sz w:val="12"/>
                <w:szCs w:val="12"/>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289,239</w:t>
            </w:r>
          </w:p>
        </w:tc>
        <w:tc>
          <w:tcPr>
            <w:tcW w:w="240" w:type="dxa"/>
            <w:vAlign w:val="bottom"/>
            <w:shd w:val="clear" w:color="auto" w:fill="CFF0FC"/>
          </w:tcPr>
          <w:p>
            <w:pPr>
              <w:spacing w:after="0"/>
              <w:rPr>
                <w:sz w:val="12"/>
                <w:szCs w:val="12"/>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14,617</w:t>
            </w:r>
          </w:p>
        </w:tc>
        <w:tc>
          <w:tcPr>
            <w:tcW w:w="160" w:type="dxa"/>
            <w:vAlign w:val="bottom"/>
            <w:shd w:val="clear" w:color="auto" w:fill="CFF0FC"/>
          </w:tcPr>
          <w:p>
            <w:pPr>
              <w:spacing w:after="0"/>
              <w:rPr>
                <w:sz w:val="12"/>
                <w:szCs w:val="12"/>
                <w:color w:val="auto"/>
              </w:rPr>
            </w:pPr>
          </w:p>
        </w:tc>
        <w:tc>
          <w:tcPr>
            <w:tcW w:w="16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13,931</w:t>
            </w:r>
          </w:p>
        </w:tc>
        <w:tc>
          <w:tcPr>
            <w:tcW w:w="220" w:type="dxa"/>
            <w:vAlign w:val="bottom"/>
            <w:shd w:val="clear" w:color="auto" w:fill="CFF0FC"/>
          </w:tcPr>
          <w:p>
            <w:pPr>
              <w:spacing w:after="0"/>
              <w:rPr>
                <w:sz w:val="12"/>
                <w:szCs w:val="12"/>
                <w:color w:val="auto"/>
              </w:rPr>
            </w:pPr>
          </w:p>
        </w:tc>
        <w:tc>
          <w:tcPr>
            <w:tcW w:w="160" w:type="dxa"/>
            <w:vAlign w:val="bottom"/>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2"/>
                <w:szCs w:val="12"/>
                <w:color w:val="auto"/>
              </w:rPr>
            </w:pP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1,017,634</w:t>
            </w:r>
          </w:p>
        </w:tc>
        <w:tc>
          <w:tcPr>
            <w:tcW w:w="14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300" w:type="dxa"/>
            <w:vAlign w:val="bottom"/>
            <w:gridSpan w:val="2"/>
            <w:shd w:val="clear" w:color="auto" w:fill="CFF0FC"/>
          </w:tcPr>
          <w:p>
            <w:pPr>
              <w:jc w:val="right"/>
              <w:ind w:right="120"/>
              <w:spacing w:after="0"/>
              <w:rPr>
                <w:sz w:val="20"/>
                <w:szCs w:val="20"/>
                <w:color w:val="auto"/>
              </w:rPr>
            </w:pPr>
            <w:r>
              <w:rPr>
                <w:rFonts w:ascii="Arial" w:cs="Arial" w:eastAsia="Arial" w:hAnsi="Arial"/>
                <w:sz w:val="12"/>
                <w:szCs w:val="12"/>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697,545</w:t>
            </w:r>
          </w:p>
        </w:tc>
        <w:tc>
          <w:tcPr>
            <w:tcW w:w="240" w:type="dxa"/>
            <w:vAlign w:val="bottom"/>
            <w:shd w:val="clear" w:color="auto" w:fill="CFF0FC"/>
          </w:tcPr>
          <w:p>
            <w:pPr>
              <w:spacing w:after="0"/>
              <w:rPr>
                <w:sz w:val="13"/>
                <w:szCs w:val="13"/>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123,389</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355</w:t>
            </w:r>
          </w:p>
        </w:tc>
        <w:tc>
          <w:tcPr>
            <w:tcW w:w="160" w:type="dxa"/>
            <w:vAlign w:val="bottom"/>
            <w:shd w:val="clear" w:color="auto" w:fill="CFF0FC"/>
          </w:tcPr>
          <w:p>
            <w:pPr>
              <w:spacing w:after="0"/>
              <w:rPr>
                <w:sz w:val="13"/>
                <w:szCs w:val="13"/>
                <w:color w:val="auto"/>
              </w:rPr>
            </w:pPr>
          </w:p>
        </w:tc>
        <w:tc>
          <w:tcPr>
            <w:tcW w:w="16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3,353</w:t>
            </w:r>
          </w:p>
        </w:tc>
        <w:tc>
          <w:tcPr>
            <w:tcW w:w="220" w:type="dxa"/>
            <w:vAlign w:val="bottom"/>
            <w:shd w:val="clear" w:color="auto" w:fill="CFF0FC"/>
          </w:tcPr>
          <w:p>
            <w:pPr>
              <w:spacing w:after="0"/>
              <w:rPr>
                <w:sz w:val="13"/>
                <w:szCs w:val="13"/>
                <w:color w:val="auto"/>
              </w:rPr>
            </w:pPr>
          </w:p>
        </w:tc>
        <w:tc>
          <w:tcPr>
            <w:tcW w:w="160" w:type="dxa"/>
            <w:vAlign w:val="bottom"/>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9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(21,759)</w:t>
            </w: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802,883</w:t>
            </w:r>
          </w:p>
        </w:tc>
        <w:tc>
          <w:tcPr>
            <w:tcW w:w="14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tcPr>
          <w:p>
            <w:pPr>
              <w:spacing w:after="0"/>
              <w:rPr>
                <w:sz w:val="20"/>
                <w:szCs w:val="20"/>
                <w:color w:val="auto"/>
              </w:rPr>
            </w:pPr>
            <w:r>
              <w:rPr>
                <w:rFonts w:ascii="Arial" w:cs="Arial" w:eastAsia="Arial" w:hAnsi="Arial"/>
                <w:sz w:val="12"/>
                <w:szCs w:val="12"/>
                <w:color w:val="auto"/>
              </w:rPr>
              <w:t>Adjusted EBITDA margin</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2"/>
                <w:szCs w:val="12"/>
                <w:color w:val="auto"/>
              </w:rPr>
              <w:t>99.7%</w:t>
            </w:r>
          </w:p>
        </w:tc>
        <w:tc>
          <w:tcPr>
            <w:tcW w:w="60" w:type="dxa"/>
            <w:vAlign w:val="bottom"/>
          </w:tcPr>
          <w:p>
            <w:pPr>
              <w:spacing w:after="0"/>
              <w:rPr>
                <w:sz w:val="13"/>
                <w:szCs w:val="13"/>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2"/>
                <w:szCs w:val="12"/>
                <w:color w:val="auto"/>
              </w:rPr>
              <w:t>42.7%</w:t>
            </w:r>
          </w:p>
        </w:tc>
        <w:tc>
          <w:tcPr>
            <w:tcW w:w="200" w:type="dxa"/>
            <w:vAlign w:val="bottom"/>
          </w:tcPr>
          <w:p>
            <w:pPr>
              <w:spacing w:after="0"/>
              <w:rPr>
                <w:sz w:val="13"/>
                <w:szCs w:val="13"/>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2"/>
                <w:szCs w:val="12"/>
                <w:color w:val="auto"/>
              </w:rPr>
              <w:t>2.4%</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2"/>
                <w:szCs w:val="12"/>
                <w:color w:val="auto"/>
              </w:rPr>
              <w:t>24.1%</w:t>
            </w:r>
          </w:p>
        </w:tc>
        <w:tc>
          <w:tcPr>
            <w:tcW w:w="16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2"/>
                <w:szCs w:val="12"/>
                <w:color w:val="auto"/>
              </w:rPr>
              <w:t>78.9%</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shd w:val="clear" w:color="auto" w:fill="CFF0FC"/>
          </w:tcPr>
          <w:p>
            <w:pPr>
              <w:spacing w:after="0"/>
              <w:rPr>
                <w:sz w:val="20"/>
                <w:szCs w:val="20"/>
                <w:color w:val="auto"/>
              </w:rPr>
            </w:pPr>
            <w:r>
              <w:rPr>
                <w:rFonts w:ascii="Arial" w:cs="Arial" w:eastAsia="Arial" w:hAnsi="Arial"/>
                <w:sz w:val="12"/>
                <w:szCs w:val="12"/>
                <w:color w:val="auto"/>
              </w:rPr>
              <w:t>Less:</w:t>
            </w:r>
          </w:p>
        </w:tc>
        <w:tc>
          <w:tcPr>
            <w:tcW w:w="1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tcPr>
          <w:p>
            <w:pPr>
              <w:ind w:left="80"/>
              <w:spacing w:after="0"/>
              <w:rPr>
                <w:sz w:val="20"/>
                <w:szCs w:val="20"/>
                <w:color w:val="auto"/>
              </w:rPr>
            </w:pPr>
            <w:r>
              <w:rPr>
                <w:rFonts w:ascii="Arial" w:cs="Arial" w:eastAsia="Arial" w:hAnsi="Arial"/>
                <w:sz w:val="12"/>
                <w:szCs w:val="12"/>
                <w:color w:val="auto"/>
              </w:rPr>
              <w:t>Interest expense</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319,591</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shd w:val="clear" w:color="auto" w:fill="CFF0FC"/>
          </w:tcPr>
          <w:p>
            <w:pPr>
              <w:ind w:left="80"/>
              <w:spacing w:after="0"/>
              <w:rPr>
                <w:sz w:val="20"/>
                <w:szCs w:val="20"/>
                <w:color w:val="auto"/>
              </w:rPr>
            </w:pPr>
            <w:r>
              <w:rPr>
                <w:rFonts w:ascii="Arial" w:cs="Arial" w:eastAsia="Arial" w:hAnsi="Arial"/>
                <w:sz w:val="12"/>
                <w:szCs w:val="12"/>
                <w:color w:val="auto"/>
              </w:rPr>
              <w:t>Depreciation and amortization</w:t>
            </w:r>
          </w:p>
        </w:tc>
        <w:tc>
          <w:tcPr>
            <w:tcW w:w="1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337,126</w:t>
            </w:r>
          </w:p>
        </w:tc>
        <w:tc>
          <w:tcPr>
            <w:tcW w:w="2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105,651</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6,704</w:t>
            </w: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1,994</w:t>
            </w:r>
          </w:p>
        </w:tc>
        <w:tc>
          <w:tcPr>
            <w:tcW w:w="2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275</w:t>
            </w:r>
          </w:p>
        </w:tc>
        <w:tc>
          <w:tcPr>
            <w:tcW w:w="12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451,750</w:t>
            </w:r>
          </w:p>
        </w:tc>
        <w:tc>
          <w:tcPr>
            <w:tcW w:w="14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tcPr>
          <w:p>
            <w:pPr>
              <w:ind w:left="80"/>
              <w:spacing w:after="0"/>
              <w:rPr>
                <w:sz w:val="20"/>
                <w:szCs w:val="20"/>
                <w:color w:val="auto"/>
              </w:rPr>
            </w:pPr>
            <w:r>
              <w:rPr>
                <w:rFonts w:ascii="Arial" w:cs="Arial" w:eastAsia="Arial" w:hAnsi="Arial"/>
                <w:sz w:val="12"/>
                <w:szCs w:val="12"/>
                <w:color w:val="auto"/>
              </w:rPr>
              <w:t>Other income</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2"/>
                <w:szCs w:val="12"/>
                <w:color w:val="auto"/>
              </w:rPr>
              <w:t>(4,504)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1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17,410</w:t>
            </w:r>
          </w:p>
        </w:tc>
        <w:tc>
          <w:tcPr>
            <w:tcW w:w="14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tcPr>
          <w:p>
            <w:pPr>
              <w:ind w:left="80"/>
              <w:spacing w:after="0"/>
              <w:rPr>
                <w:sz w:val="20"/>
                <w:szCs w:val="20"/>
                <w:color w:val="auto"/>
              </w:rPr>
            </w:pPr>
            <w:r>
              <w:rPr>
                <w:rFonts w:ascii="Arial" w:cs="Arial" w:eastAsia="Arial" w:hAnsi="Arial"/>
                <w:sz w:val="12"/>
                <w:szCs w:val="12"/>
                <w:color w:val="auto"/>
              </w:rPr>
              <w:t>Stock-based compensation</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8,064</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shd w:val="clear" w:color="auto" w:fill="CFF0FC"/>
          </w:tcPr>
          <w:p>
            <w:pPr>
              <w:ind w:left="80"/>
              <w:spacing w:after="0"/>
              <w:rPr>
                <w:sz w:val="20"/>
                <w:szCs w:val="20"/>
                <w:color w:val="auto"/>
              </w:rPr>
            </w:pPr>
            <w:r>
              <w:rPr>
                <w:rFonts w:ascii="Arial" w:cs="Arial" w:eastAsia="Arial" w:hAnsi="Arial"/>
                <w:sz w:val="12"/>
                <w:szCs w:val="12"/>
                <w:color w:val="auto"/>
              </w:rPr>
              <w:t>Income tax benefit</w:t>
            </w:r>
          </w:p>
        </w:tc>
        <w:tc>
          <w:tcPr>
            <w:tcW w:w="1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8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(5,421)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tcPr>
          <w:p>
            <w:pPr>
              <w:ind w:left="80"/>
              <w:spacing w:after="0"/>
              <w:rPr>
                <w:sz w:val="20"/>
                <w:szCs w:val="20"/>
                <w:color w:val="auto"/>
              </w:rPr>
            </w:pPr>
            <w:r>
              <w:rPr>
                <w:rFonts w:ascii="Arial" w:cs="Arial" w:eastAsia="Arial" w:hAnsi="Arial"/>
                <w:sz w:val="12"/>
                <w:szCs w:val="12"/>
                <w:color w:val="auto"/>
              </w:rPr>
              <w:t>Other</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2"/>
                <w:szCs w:val="12"/>
                <w:color w:val="auto"/>
              </w:rPr>
              <w:t>(552)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300" w:type="dxa"/>
            <w:vAlign w:val="bottom"/>
            <w:vMerge w:val="restart"/>
            <w:shd w:val="clear" w:color="auto" w:fill="CFF0FC"/>
          </w:tcPr>
          <w:p>
            <w:pPr>
              <w:spacing w:after="0"/>
              <w:rPr>
                <w:sz w:val="20"/>
                <w:szCs w:val="20"/>
                <w:color w:val="auto"/>
              </w:rPr>
            </w:pPr>
            <w:r>
              <w:rPr>
                <w:rFonts w:ascii="Arial" w:cs="Arial" w:eastAsia="Arial" w:hAnsi="Arial"/>
                <w:sz w:val="12"/>
                <w:szCs w:val="12"/>
                <w:color w:val="auto"/>
              </w:rPr>
              <w:t>Net income</w:t>
            </w:r>
          </w:p>
        </w:tc>
        <w:tc>
          <w:tcPr>
            <w:tcW w:w="120" w:type="dxa"/>
            <w:vAlign w:val="bottom"/>
            <w:shd w:val="clear" w:color="auto" w:fill="CFF0FC"/>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76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60" w:type="dxa"/>
            <w:vAlign w:val="bottom"/>
            <w:shd w:val="clear" w:color="auto" w:fill="CFF0FC"/>
          </w:tcPr>
          <w:p>
            <w:pPr>
              <w:spacing w:after="0" w:line="20" w:lineRule="exact"/>
              <w:rPr>
                <w:sz w:val="1"/>
                <w:szCs w:val="1"/>
                <w:color w:val="auto"/>
              </w:rPr>
            </w:pPr>
          </w:p>
        </w:tc>
        <w:tc>
          <w:tcPr>
            <w:tcW w:w="88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2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6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60" w:type="dxa"/>
            <w:vAlign w:val="bottom"/>
            <w:shd w:val="clear" w:color="auto" w:fill="CFF0FC"/>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8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60" w:type="dxa"/>
            <w:vAlign w:val="bottom"/>
            <w:tcBorders>
              <w:right w:val="single" w:sz="8" w:color="auto"/>
            </w:tcBorders>
            <w:shd w:val="clear" w:color="auto" w:fill="CFF0FC"/>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300" w:type="dxa"/>
            <w:vAlign w:val="bottom"/>
            <w:vMerge w:val="continue"/>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8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8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16,545</w:t>
            </w:r>
          </w:p>
        </w:tc>
        <w:tc>
          <w:tcPr>
            <w:tcW w:w="14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300" w:type="dxa"/>
            <w:vAlign w:val="bottom"/>
            <w:tcBorders>
              <w:top w:val="single" w:sz="8" w:color="CFF0FC"/>
            </w:tcBorders>
          </w:tcPr>
          <w:p>
            <w:pPr>
              <w:spacing w:after="0"/>
              <w:rPr>
                <w:sz w:val="13"/>
                <w:szCs w:val="13"/>
                <w:color w:val="auto"/>
              </w:rPr>
            </w:pPr>
          </w:p>
        </w:tc>
        <w:tc>
          <w:tcPr>
            <w:tcW w:w="120" w:type="dxa"/>
            <w:vAlign w:val="bottom"/>
            <w:tcBorders>
              <w:top w:val="single" w:sz="8" w:color="CFF0FC"/>
            </w:tcBorders>
          </w:tcPr>
          <w:p>
            <w:pPr>
              <w:spacing w:after="0"/>
              <w:rPr>
                <w:sz w:val="13"/>
                <w:szCs w:val="13"/>
                <w:color w:val="auto"/>
              </w:rPr>
            </w:pPr>
          </w:p>
        </w:tc>
        <w:tc>
          <w:tcPr>
            <w:tcW w:w="180" w:type="dxa"/>
            <w:vAlign w:val="bottom"/>
            <w:tcBorders>
              <w:top w:val="single" w:sz="8" w:color="CFF0FC"/>
            </w:tcBorders>
          </w:tcPr>
          <w:p>
            <w:pPr>
              <w:spacing w:after="0"/>
              <w:rPr>
                <w:sz w:val="13"/>
                <w:szCs w:val="13"/>
                <w:color w:val="auto"/>
              </w:rPr>
            </w:pPr>
          </w:p>
        </w:tc>
        <w:tc>
          <w:tcPr>
            <w:tcW w:w="760" w:type="dxa"/>
            <w:vAlign w:val="bottom"/>
            <w:tcBorders>
              <w:top w:val="single" w:sz="8" w:color="CFF0FC"/>
            </w:tcBorders>
          </w:tcPr>
          <w:p>
            <w:pPr>
              <w:spacing w:after="0"/>
              <w:rPr>
                <w:sz w:val="13"/>
                <w:szCs w:val="13"/>
                <w:color w:val="auto"/>
              </w:rPr>
            </w:pPr>
          </w:p>
        </w:tc>
        <w:tc>
          <w:tcPr>
            <w:tcW w:w="240" w:type="dxa"/>
            <w:vAlign w:val="bottom"/>
            <w:tcBorders>
              <w:top w:val="single" w:sz="8" w:color="CFF0FC"/>
            </w:tcBorders>
          </w:tcPr>
          <w:p>
            <w:pPr>
              <w:spacing w:after="0"/>
              <w:rPr>
                <w:sz w:val="13"/>
                <w:szCs w:val="13"/>
                <w:color w:val="auto"/>
              </w:rPr>
            </w:pPr>
          </w:p>
        </w:tc>
        <w:tc>
          <w:tcPr>
            <w:tcW w:w="60" w:type="dxa"/>
            <w:vAlign w:val="bottom"/>
            <w:tcBorders>
              <w:top w:val="single" w:sz="8" w:color="CFF0FC"/>
            </w:tcBorders>
          </w:tcPr>
          <w:p>
            <w:pPr>
              <w:spacing w:after="0"/>
              <w:rPr>
                <w:sz w:val="13"/>
                <w:szCs w:val="13"/>
                <w:color w:val="auto"/>
              </w:rPr>
            </w:pPr>
          </w:p>
        </w:tc>
        <w:tc>
          <w:tcPr>
            <w:tcW w:w="880" w:type="dxa"/>
            <w:vAlign w:val="bottom"/>
            <w:tcBorders>
              <w:top w:val="single" w:sz="8" w:color="CFF0FC"/>
            </w:tcBorders>
          </w:tcPr>
          <w:p>
            <w:pPr>
              <w:spacing w:after="0"/>
              <w:rPr>
                <w:sz w:val="13"/>
                <w:szCs w:val="13"/>
                <w:color w:val="auto"/>
              </w:rPr>
            </w:pPr>
          </w:p>
        </w:tc>
        <w:tc>
          <w:tcPr>
            <w:tcW w:w="240" w:type="dxa"/>
            <w:vAlign w:val="bottom"/>
            <w:tcBorders>
              <w:top w:val="single" w:sz="8" w:color="CFF0FC"/>
            </w:tcBorders>
          </w:tcPr>
          <w:p>
            <w:pPr>
              <w:spacing w:after="0"/>
              <w:rPr>
                <w:sz w:val="13"/>
                <w:szCs w:val="13"/>
                <w:color w:val="auto"/>
              </w:rPr>
            </w:pPr>
          </w:p>
        </w:tc>
        <w:tc>
          <w:tcPr>
            <w:tcW w:w="200" w:type="dxa"/>
            <w:vAlign w:val="bottom"/>
            <w:tcBorders>
              <w:top w:val="single" w:sz="8" w:color="CFF0FC"/>
            </w:tcBorders>
          </w:tcPr>
          <w:p>
            <w:pPr>
              <w:spacing w:after="0"/>
              <w:rPr>
                <w:sz w:val="13"/>
                <w:szCs w:val="13"/>
                <w:color w:val="auto"/>
              </w:rPr>
            </w:pPr>
          </w:p>
        </w:tc>
        <w:tc>
          <w:tcPr>
            <w:tcW w:w="820" w:type="dxa"/>
            <w:vAlign w:val="bottom"/>
            <w:tcBorders>
              <w:top w:val="single" w:sz="8" w:color="CFF0FC"/>
            </w:tcBorders>
          </w:tcPr>
          <w:p>
            <w:pPr>
              <w:spacing w:after="0"/>
              <w:rPr>
                <w:sz w:val="13"/>
                <w:szCs w:val="13"/>
                <w:color w:val="auto"/>
              </w:rPr>
            </w:pPr>
          </w:p>
        </w:tc>
        <w:tc>
          <w:tcPr>
            <w:tcW w:w="160" w:type="dxa"/>
            <w:vAlign w:val="bottom"/>
            <w:tcBorders>
              <w:top w:val="single" w:sz="8" w:color="CFF0FC"/>
            </w:tcBorders>
          </w:tcPr>
          <w:p>
            <w:pPr>
              <w:spacing w:after="0"/>
              <w:rPr>
                <w:sz w:val="13"/>
                <w:szCs w:val="13"/>
                <w:color w:val="auto"/>
              </w:rPr>
            </w:pPr>
          </w:p>
        </w:tc>
        <w:tc>
          <w:tcPr>
            <w:tcW w:w="60" w:type="dxa"/>
            <w:vAlign w:val="bottom"/>
            <w:tcBorders>
              <w:top w:val="single" w:sz="8" w:color="CFF0FC"/>
            </w:tcBorders>
          </w:tcPr>
          <w:p>
            <w:pPr>
              <w:spacing w:after="0"/>
              <w:rPr>
                <w:sz w:val="13"/>
                <w:szCs w:val="13"/>
                <w:color w:val="auto"/>
              </w:rPr>
            </w:pPr>
          </w:p>
        </w:tc>
        <w:tc>
          <w:tcPr>
            <w:tcW w:w="100" w:type="dxa"/>
            <w:vAlign w:val="bottom"/>
            <w:tcBorders>
              <w:top w:val="single" w:sz="8" w:color="CFF0FC"/>
            </w:tcBorders>
          </w:tcPr>
          <w:p>
            <w:pPr>
              <w:spacing w:after="0"/>
              <w:rPr>
                <w:sz w:val="13"/>
                <w:szCs w:val="13"/>
                <w:color w:val="auto"/>
              </w:rPr>
            </w:pPr>
          </w:p>
        </w:tc>
        <w:tc>
          <w:tcPr>
            <w:tcW w:w="860" w:type="dxa"/>
            <w:vAlign w:val="bottom"/>
            <w:tcBorders>
              <w:top w:val="single" w:sz="8" w:color="CFF0FC"/>
            </w:tcBorders>
          </w:tcPr>
          <w:p>
            <w:pPr>
              <w:spacing w:after="0"/>
              <w:rPr>
                <w:sz w:val="13"/>
                <w:szCs w:val="13"/>
                <w:color w:val="auto"/>
              </w:rPr>
            </w:pPr>
          </w:p>
        </w:tc>
        <w:tc>
          <w:tcPr>
            <w:tcW w:w="220" w:type="dxa"/>
            <w:vAlign w:val="bottom"/>
            <w:tcBorders>
              <w:top w:val="single" w:sz="8" w:color="CFF0FC"/>
            </w:tcBorders>
          </w:tcPr>
          <w:p>
            <w:pPr>
              <w:spacing w:after="0"/>
              <w:rPr>
                <w:sz w:val="13"/>
                <w:szCs w:val="13"/>
                <w:color w:val="auto"/>
              </w:rPr>
            </w:pPr>
          </w:p>
        </w:tc>
        <w:tc>
          <w:tcPr>
            <w:tcW w:w="160" w:type="dxa"/>
            <w:vAlign w:val="bottom"/>
            <w:tcBorders>
              <w:top w:val="single" w:sz="8" w:color="CFF0FC"/>
            </w:tcBorders>
          </w:tcPr>
          <w:p>
            <w:pPr>
              <w:spacing w:after="0"/>
              <w:rPr>
                <w:sz w:val="13"/>
                <w:szCs w:val="13"/>
                <w:color w:val="auto"/>
              </w:rPr>
            </w:pPr>
          </w:p>
        </w:tc>
        <w:tc>
          <w:tcPr>
            <w:tcW w:w="800" w:type="dxa"/>
            <w:vAlign w:val="bottom"/>
            <w:tcBorders>
              <w:top w:val="single" w:sz="8" w:color="CFF0FC"/>
            </w:tcBorders>
          </w:tcPr>
          <w:p>
            <w:pPr>
              <w:spacing w:after="0"/>
              <w:rPr>
                <w:sz w:val="13"/>
                <w:szCs w:val="13"/>
                <w:color w:val="auto"/>
              </w:rPr>
            </w:pPr>
          </w:p>
        </w:tc>
        <w:tc>
          <w:tcPr>
            <w:tcW w:w="120" w:type="dxa"/>
            <w:vAlign w:val="bottom"/>
            <w:tcBorders>
              <w:top w:val="single" w:sz="8" w:color="CFF0FC"/>
            </w:tcBorders>
          </w:tcPr>
          <w:p>
            <w:pPr>
              <w:spacing w:after="0"/>
              <w:rPr>
                <w:sz w:val="13"/>
                <w:szCs w:val="13"/>
                <w:color w:val="auto"/>
              </w:rPr>
            </w:pPr>
          </w:p>
        </w:tc>
        <w:tc>
          <w:tcPr>
            <w:tcW w:w="160" w:type="dxa"/>
            <w:vAlign w:val="bottom"/>
            <w:tcBorders>
              <w:top w:val="single" w:sz="8" w:color="CFF0FC"/>
            </w:tcBorders>
          </w:tcPr>
          <w:p>
            <w:pPr>
              <w:spacing w:after="0"/>
              <w:rPr>
                <w:sz w:val="13"/>
                <w:szCs w:val="13"/>
                <w:color w:val="auto"/>
              </w:rPr>
            </w:pPr>
          </w:p>
        </w:tc>
        <w:tc>
          <w:tcPr>
            <w:tcW w:w="900" w:type="dxa"/>
            <w:vAlign w:val="bottom"/>
            <w:tcBorders>
              <w:top w:val="single" w:sz="8" w:color="auto"/>
            </w:tcBorders>
          </w:tcPr>
          <w:p>
            <w:pPr>
              <w:spacing w:after="0"/>
              <w:rPr>
                <w:sz w:val="13"/>
                <w:szCs w:val="13"/>
                <w:color w:val="auto"/>
              </w:rPr>
            </w:pPr>
          </w:p>
        </w:tc>
        <w:tc>
          <w:tcPr>
            <w:tcW w:w="140" w:type="dxa"/>
            <w:vAlign w:val="bottom"/>
            <w:tcBorders>
              <w:top w:val="single" w:sz="8" w:color="CFF0FC"/>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300" w:type="dxa"/>
            <w:vAlign w:val="bottom"/>
            <w:shd w:val="clear" w:color="auto" w:fill="CFF0FC"/>
          </w:tcPr>
          <w:p>
            <w:pPr>
              <w:spacing w:after="0"/>
              <w:rPr>
                <w:sz w:val="20"/>
                <w:szCs w:val="20"/>
                <w:color w:val="auto"/>
              </w:rPr>
            </w:pPr>
            <w:r>
              <w:rPr>
                <w:rFonts w:ascii="Arial" w:cs="Arial" w:eastAsia="Arial" w:hAnsi="Arial"/>
                <w:sz w:val="12"/>
                <w:szCs w:val="12"/>
                <w:color w:val="auto"/>
              </w:rPr>
              <w:t xml:space="preserve">Capital expenditures </w:t>
            </w:r>
            <w:r>
              <w:rPr>
                <w:rFonts w:ascii="Arial" w:cs="Arial" w:eastAsia="Arial" w:hAnsi="Arial"/>
                <w:sz w:val="10"/>
                <w:szCs w:val="10"/>
                <w:color w:val="auto"/>
              </w:rPr>
              <w:t>(1)</w:t>
            </w:r>
          </w:p>
        </w:tc>
        <w:tc>
          <w:tcPr>
            <w:tcW w:w="300" w:type="dxa"/>
            <w:vAlign w:val="bottom"/>
            <w:gridSpan w:val="2"/>
            <w:shd w:val="clear" w:color="auto" w:fill="CFF0FC"/>
          </w:tcPr>
          <w:p>
            <w:pPr>
              <w:jc w:val="right"/>
              <w:ind w:right="120"/>
              <w:spacing w:after="0"/>
              <w:rPr>
                <w:sz w:val="20"/>
                <w:szCs w:val="20"/>
                <w:color w:val="auto"/>
              </w:rPr>
            </w:pPr>
            <w:r>
              <w:rPr>
                <w:rFonts w:ascii="Arial" w:cs="Arial" w:eastAsia="Arial" w:hAnsi="Arial"/>
                <w:sz w:val="12"/>
                <w:szCs w:val="12"/>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152,140</w:t>
            </w:r>
          </w:p>
        </w:tc>
        <w:tc>
          <w:tcPr>
            <w:tcW w:w="240" w:type="dxa"/>
            <w:vAlign w:val="bottom"/>
            <w:shd w:val="clear" w:color="auto" w:fill="CFF0FC"/>
          </w:tcPr>
          <w:p>
            <w:pPr>
              <w:spacing w:after="0"/>
              <w:rPr>
                <w:sz w:val="13"/>
                <w:szCs w:val="13"/>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199,689</w:t>
            </w:r>
          </w:p>
        </w:tc>
        <w:tc>
          <w:tcPr>
            <w:tcW w:w="240" w:type="dxa"/>
            <w:vAlign w:val="bottom"/>
            <w:shd w:val="clear" w:color="auto" w:fill="CFF0FC"/>
          </w:tcPr>
          <w:p>
            <w:pPr>
              <w:spacing w:after="0"/>
              <w:rPr>
                <w:sz w:val="13"/>
                <w:szCs w:val="13"/>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74,932</w:t>
            </w:r>
          </w:p>
        </w:tc>
        <w:tc>
          <w:tcPr>
            <w:tcW w:w="160" w:type="dxa"/>
            <w:vAlign w:val="bottom"/>
            <w:shd w:val="clear" w:color="auto" w:fill="CFF0FC"/>
          </w:tcPr>
          <w:p>
            <w:pPr>
              <w:spacing w:after="0"/>
              <w:rPr>
                <w:sz w:val="13"/>
                <w:szCs w:val="13"/>
                <w:color w:val="auto"/>
              </w:rPr>
            </w:pPr>
          </w:p>
        </w:tc>
        <w:tc>
          <w:tcPr>
            <w:tcW w:w="16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160" w:type="dxa"/>
            <w:vAlign w:val="bottom"/>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114</w:t>
            </w:r>
          </w:p>
        </w:tc>
        <w:tc>
          <w:tcPr>
            <w:tcW w:w="12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426,875</w:t>
            </w:r>
          </w:p>
        </w:tc>
        <w:tc>
          <w:tcPr>
            <w:tcW w:w="14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4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jc w:val="right"/>
              <w:ind w:right="680"/>
              <w:spacing w:after="0"/>
              <w:rPr>
                <w:sz w:val="20"/>
                <w:szCs w:val="20"/>
                <w:color w:val="auto"/>
              </w:rPr>
            </w:pPr>
            <w:r>
              <w:rPr>
                <w:rFonts w:ascii="Arial" w:cs="Arial" w:eastAsia="Arial" w:hAnsi="Arial"/>
                <w:sz w:val="12"/>
                <w:szCs w:val="12"/>
                <w:color w:val="auto"/>
                <w:w w:val="89"/>
              </w:rPr>
              <w:t>95</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430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90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95" w:name="page96"/>
    <w:bookmarkEnd w:id="95"/>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350" w:lineRule="exact"/>
        <w:rPr>
          <w:sz w:val="20"/>
          <w:szCs w:val="20"/>
          <w:color w:val="auto"/>
        </w:rPr>
      </w:pPr>
    </w:p>
    <w:tbl>
      <w:tblPr>
        <w:tblLayout w:type="fixed"/>
        <w:tblInd w:w="8" w:type="dxa"/>
        <w:tblCellMar>
          <w:top w:w="0" w:type="dxa"/>
          <w:left w:w="0" w:type="dxa"/>
          <w:bottom w:w="0" w:type="dxa"/>
          <w:right w:w="0" w:type="dxa"/>
        </w:tblCellMar>
      </w:tblPr>
      <w:tr>
        <w:trPr>
          <w:trHeight w:val="115"/>
        </w:trPr>
        <w:tc>
          <w:tcPr>
            <w:tcW w:w="4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620" w:type="dxa"/>
            <w:vAlign w:val="bottom"/>
            <w:tcBorders>
              <w:bottom w:val="single" w:sz="8" w:color="auto"/>
            </w:tcBorders>
            <w:gridSpan w:val="6"/>
          </w:tcPr>
          <w:p>
            <w:pPr>
              <w:jc w:val="right"/>
              <w:ind w:right="29"/>
              <w:spacing w:after="0"/>
              <w:rPr>
                <w:sz w:val="20"/>
                <w:szCs w:val="20"/>
                <w:color w:val="auto"/>
              </w:rPr>
            </w:pPr>
            <w:r>
              <w:rPr>
                <w:rFonts w:ascii="Arial" w:cs="Arial" w:eastAsia="Arial" w:hAnsi="Arial"/>
                <w:sz w:val="10"/>
                <w:szCs w:val="10"/>
                <w:b w:val="1"/>
                <w:bCs w:val="1"/>
                <w:color w:val="auto"/>
              </w:rPr>
              <w:t>Year Ended December 31, 2017</w:t>
            </w:r>
          </w:p>
        </w:tc>
        <w:tc>
          <w:tcPr>
            <w:tcW w:w="3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3"/>
        </w:trPr>
        <w:tc>
          <w:tcPr>
            <w:tcW w:w="4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jc w:val="center"/>
              <w:ind w:right="42"/>
              <w:spacing w:after="0" w:line="83" w:lineRule="exact"/>
              <w:rPr>
                <w:sz w:val="20"/>
                <w:szCs w:val="20"/>
                <w:color w:val="auto"/>
              </w:rPr>
            </w:pPr>
            <w:r>
              <w:rPr>
                <w:rFonts w:ascii="Arial" w:cs="Arial" w:eastAsia="Arial" w:hAnsi="Arial"/>
                <w:sz w:val="8"/>
                <w:szCs w:val="8"/>
                <w:b w:val="1"/>
                <w:bCs w:val="1"/>
                <w:color w:val="auto"/>
              </w:rPr>
              <w:t>Total of Reportable</w:t>
            </w: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22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60" w:type="dxa"/>
            <w:vAlign w:val="bottom"/>
            <w:tcBorders>
              <w:bottom w:val="single" w:sz="8" w:color="CFF0FC"/>
            </w:tcBorders>
          </w:tcPr>
          <w:p>
            <w:pPr>
              <w:spacing w:after="0"/>
              <w:rPr>
                <w:sz w:val="9"/>
                <w:szCs w:val="9"/>
                <w:color w:val="auto"/>
              </w:rPr>
            </w:pPr>
          </w:p>
        </w:tc>
        <w:tc>
          <w:tcPr>
            <w:tcW w:w="6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right"/>
              <w:ind w:right="262"/>
              <w:spacing w:after="0" w:line="114" w:lineRule="exact"/>
              <w:rPr>
                <w:sz w:val="20"/>
                <w:szCs w:val="20"/>
                <w:color w:val="auto"/>
              </w:rPr>
            </w:pPr>
            <w:r>
              <w:rPr>
                <w:rFonts w:ascii="Arial" w:cs="Arial" w:eastAsia="Arial" w:hAnsi="Arial"/>
                <w:sz w:val="10"/>
                <w:szCs w:val="10"/>
                <w:b w:val="1"/>
                <w:bCs w:val="1"/>
                <w:color w:val="auto"/>
              </w:rPr>
              <w:t>Leasing</w:t>
            </w:r>
          </w:p>
        </w:tc>
        <w:tc>
          <w:tcPr>
            <w:tcW w:w="240" w:type="dxa"/>
            <w:vAlign w:val="bottom"/>
            <w:tcBorders>
              <w:bottom w:val="single" w:sz="8" w:color="CFF0FC"/>
            </w:tcBorders>
            <w:gridSpan w:val="2"/>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gridSpan w:val="2"/>
          </w:tcPr>
          <w:p>
            <w:pPr>
              <w:jc w:val="right"/>
              <w:ind w:right="20"/>
              <w:spacing w:after="0" w:line="114" w:lineRule="exact"/>
              <w:rPr>
                <w:sz w:val="20"/>
                <w:szCs w:val="20"/>
                <w:color w:val="auto"/>
              </w:rPr>
            </w:pPr>
            <w:r>
              <w:rPr>
                <w:rFonts w:ascii="Arial" w:cs="Arial" w:eastAsia="Arial" w:hAnsi="Arial"/>
                <w:sz w:val="10"/>
                <w:szCs w:val="10"/>
                <w:b w:val="1"/>
                <w:bCs w:val="1"/>
                <w:color w:val="auto"/>
                <w:w w:val="91"/>
              </w:rPr>
              <w:t>Fiber Infrastructure</w:t>
            </w:r>
          </w:p>
        </w:tc>
        <w:tc>
          <w:tcPr>
            <w:tcW w:w="180" w:type="dxa"/>
            <w:vAlign w:val="bottom"/>
            <w:tcBorders>
              <w:bottom w:val="single" w:sz="8" w:color="CFF0FC"/>
            </w:tcBorders>
            <w:gridSpan w:val="2"/>
          </w:tcPr>
          <w:p>
            <w:pPr>
              <w:spacing w:after="0"/>
              <w:rPr>
                <w:sz w:val="9"/>
                <w:szCs w:val="9"/>
                <w:color w:val="auto"/>
              </w:rPr>
            </w:pPr>
          </w:p>
        </w:tc>
        <w:tc>
          <w:tcPr>
            <w:tcW w:w="40" w:type="dxa"/>
            <w:vAlign w:val="bottom"/>
            <w:tcBorders>
              <w:bottom w:val="single" w:sz="8" w:color="CFF0FC"/>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jc w:val="right"/>
              <w:ind w:right="283"/>
              <w:spacing w:after="0" w:line="114" w:lineRule="exact"/>
              <w:rPr>
                <w:sz w:val="20"/>
                <w:szCs w:val="20"/>
                <w:color w:val="auto"/>
              </w:rPr>
            </w:pPr>
            <w:r>
              <w:rPr>
                <w:rFonts w:ascii="Arial" w:cs="Arial" w:eastAsia="Arial" w:hAnsi="Arial"/>
                <w:sz w:val="10"/>
                <w:szCs w:val="10"/>
                <w:b w:val="1"/>
                <w:bCs w:val="1"/>
                <w:color w:val="auto"/>
              </w:rPr>
              <w:t>Towers</w:t>
            </w:r>
          </w:p>
        </w:tc>
        <w:tc>
          <w:tcPr>
            <w:tcW w:w="240" w:type="dxa"/>
            <w:vAlign w:val="bottom"/>
            <w:tcBorders>
              <w:bottom w:val="single" w:sz="8" w:color="CFF0FC"/>
            </w:tcBorders>
            <w:gridSpan w:val="2"/>
          </w:tcPr>
          <w:p>
            <w:pPr>
              <w:spacing w:after="0"/>
              <w:rPr>
                <w:sz w:val="9"/>
                <w:szCs w:val="9"/>
                <w:color w:val="auto"/>
              </w:rPr>
            </w:pPr>
          </w:p>
        </w:tc>
        <w:tc>
          <w:tcPr>
            <w:tcW w:w="40" w:type="dxa"/>
            <w:vAlign w:val="bottom"/>
            <w:tcBorders>
              <w:bottom w:val="single" w:sz="8" w:color="CFF0FC"/>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900" w:type="dxa"/>
            <w:vAlign w:val="bottom"/>
            <w:tcBorders>
              <w:bottom w:val="single" w:sz="8" w:color="auto"/>
            </w:tcBorders>
            <w:gridSpan w:val="2"/>
          </w:tcPr>
          <w:p>
            <w:pPr>
              <w:jc w:val="right"/>
              <w:ind w:right="60"/>
              <w:spacing w:after="0" w:line="114" w:lineRule="exact"/>
              <w:rPr>
                <w:sz w:val="20"/>
                <w:szCs w:val="20"/>
                <w:color w:val="auto"/>
              </w:rPr>
            </w:pPr>
            <w:r>
              <w:rPr>
                <w:rFonts w:ascii="Arial" w:cs="Arial" w:eastAsia="Arial" w:hAnsi="Arial"/>
                <w:sz w:val="10"/>
                <w:szCs w:val="10"/>
                <w:b w:val="1"/>
                <w:bCs w:val="1"/>
                <w:color w:val="auto"/>
                <w:w w:val="95"/>
              </w:rPr>
              <w:t>Consumer CLEC</w:t>
            </w:r>
          </w:p>
        </w:tc>
        <w:tc>
          <w:tcPr>
            <w:tcW w:w="240" w:type="dxa"/>
            <w:vAlign w:val="bottom"/>
            <w:tcBorders>
              <w:bottom w:val="single" w:sz="8" w:color="CFF0FC"/>
            </w:tcBorders>
            <w:gridSpan w:val="2"/>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800" w:type="dxa"/>
            <w:vAlign w:val="bottom"/>
            <w:tcBorders>
              <w:bottom w:val="single" w:sz="8" w:color="auto"/>
            </w:tcBorders>
          </w:tcPr>
          <w:p>
            <w:pPr>
              <w:jc w:val="right"/>
              <w:ind w:right="222"/>
              <w:spacing w:after="0" w:line="114" w:lineRule="exact"/>
              <w:rPr>
                <w:sz w:val="20"/>
                <w:szCs w:val="20"/>
                <w:color w:val="auto"/>
              </w:rPr>
            </w:pPr>
            <w:r>
              <w:rPr>
                <w:rFonts w:ascii="Arial" w:cs="Arial" w:eastAsia="Arial" w:hAnsi="Arial"/>
                <w:sz w:val="10"/>
                <w:szCs w:val="10"/>
                <w:b w:val="1"/>
                <w:bCs w:val="1"/>
                <w:color w:val="auto"/>
              </w:rPr>
              <w:t>Corporate</w:t>
            </w:r>
          </w:p>
        </w:tc>
        <w:tc>
          <w:tcPr>
            <w:tcW w:w="140" w:type="dxa"/>
            <w:vAlign w:val="bottom"/>
            <w:tcBorders>
              <w:bottom w:val="single" w:sz="8" w:color="CFF0FC"/>
            </w:tcBorders>
          </w:tcPr>
          <w:p>
            <w:pPr>
              <w:spacing w:after="0"/>
              <w:rPr>
                <w:sz w:val="9"/>
                <w:szCs w:val="9"/>
                <w:color w:val="auto"/>
              </w:rPr>
            </w:pPr>
          </w:p>
        </w:tc>
        <w:tc>
          <w:tcPr>
            <w:tcW w:w="160" w:type="dxa"/>
            <w:vAlign w:val="bottom"/>
            <w:tcBorders>
              <w:bottom w:val="single" w:sz="8" w:color="CFF0FC"/>
            </w:tcBorders>
          </w:tcPr>
          <w:p>
            <w:pPr>
              <w:spacing w:after="0"/>
              <w:rPr>
                <w:sz w:val="9"/>
                <w:szCs w:val="9"/>
                <w:color w:val="auto"/>
              </w:rPr>
            </w:pPr>
          </w:p>
        </w:tc>
        <w:tc>
          <w:tcPr>
            <w:tcW w:w="900" w:type="dxa"/>
            <w:vAlign w:val="bottom"/>
            <w:tcBorders>
              <w:bottom w:val="single" w:sz="8" w:color="auto"/>
            </w:tcBorders>
          </w:tcPr>
          <w:p>
            <w:pPr>
              <w:jc w:val="center"/>
              <w:ind w:right="42"/>
              <w:spacing w:after="0" w:line="114" w:lineRule="exact"/>
              <w:rPr>
                <w:sz w:val="20"/>
                <w:szCs w:val="20"/>
                <w:color w:val="auto"/>
              </w:rPr>
            </w:pPr>
            <w:r>
              <w:rPr>
                <w:rFonts w:ascii="Arial" w:cs="Arial" w:eastAsia="Arial" w:hAnsi="Arial"/>
                <w:sz w:val="10"/>
                <w:szCs w:val="10"/>
                <w:b w:val="1"/>
                <w:bCs w:val="1"/>
                <w:color w:val="auto"/>
                <w:w w:val="83"/>
              </w:rPr>
              <w:t>Segments</w:t>
            </w:r>
          </w:p>
        </w:tc>
        <w:tc>
          <w:tcPr>
            <w:tcW w:w="120" w:type="dxa"/>
            <w:vAlign w:val="bottom"/>
            <w:tcBorders>
              <w:bottom w:val="single" w:sz="8" w:color="CFF0FC"/>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220" w:type="dxa"/>
            <w:vAlign w:val="bottom"/>
            <w:shd w:val="clear" w:color="auto" w:fill="CFF0FC"/>
          </w:tcPr>
          <w:p>
            <w:pPr>
              <w:spacing w:after="0"/>
              <w:rPr>
                <w:sz w:val="20"/>
                <w:szCs w:val="20"/>
                <w:color w:val="auto"/>
              </w:rPr>
            </w:pPr>
            <w:r>
              <w:rPr>
                <w:rFonts w:ascii="Arial" w:cs="Arial" w:eastAsia="Arial" w:hAnsi="Arial"/>
                <w:sz w:val="12"/>
                <w:szCs w:val="12"/>
                <w:color w:val="auto"/>
              </w:rPr>
              <w:t>Revenues</w:t>
            </w:r>
          </w:p>
        </w:tc>
        <w:tc>
          <w:tcPr>
            <w:tcW w:w="18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60" w:type="dxa"/>
            <w:vAlign w:val="bottom"/>
            <w:shd w:val="clear" w:color="auto" w:fill="CFF0FC"/>
          </w:tcPr>
          <w:p>
            <w:pPr>
              <w:spacing w:after="0"/>
              <w:rPr>
                <w:sz w:val="12"/>
                <w:szCs w:val="12"/>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685,099</w:t>
            </w:r>
          </w:p>
        </w:tc>
        <w:tc>
          <w:tcPr>
            <w:tcW w:w="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320" w:type="dxa"/>
            <w:vAlign w:val="bottom"/>
            <w:gridSpan w:val="2"/>
            <w:shd w:val="clear" w:color="auto" w:fill="CFF0FC"/>
          </w:tcPr>
          <w:p>
            <w:pPr>
              <w:jc w:val="right"/>
              <w:ind w:right="212"/>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202,791</w:t>
            </w:r>
          </w:p>
        </w:tc>
        <w:tc>
          <w:tcPr>
            <w:tcW w:w="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60" w:type="dxa"/>
            <w:vAlign w:val="bottom"/>
            <w:gridSpan w:val="3"/>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10,055</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20" w:type="dxa"/>
            <w:vAlign w:val="bottom"/>
            <w:shd w:val="clear" w:color="auto" w:fill="CFF0FC"/>
          </w:tcPr>
          <w:p>
            <w:pPr>
              <w:spacing w:after="0"/>
              <w:rPr>
                <w:sz w:val="12"/>
                <w:szCs w:val="12"/>
                <w:color w:val="auto"/>
              </w:rPr>
            </w:pPr>
          </w:p>
        </w:tc>
        <w:tc>
          <w:tcPr>
            <w:tcW w:w="38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7"/>
              </w:rPr>
              <w:t>18,087</w:t>
            </w:r>
          </w:p>
        </w:tc>
        <w:tc>
          <w:tcPr>
            <w:tcW w:w="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80" w:type="dxa"/>
            <w:vAlign w:val="bottom"/>
            <w:gridSpan w:val="2"/>
            <w:shd w:val="clear" w:color="auto" w:fill="CFF0FC"/>
          </w:tcPr>
          <w:p>
            <w:pPr>
              <w:jc w:val="right"/>
              <w:ind w:right="120"/>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40" w:type="dxa"/>
            <w:vAlign w:val="bottom"/>
            <w:shd w:val="clear" w:color="auto" w:fill="CFF0FC"/>
          </w:tcPr>
          <w:p>
            <w:pPr>
              <w:spacing w:after="0"/>
              <w:rPr>
                <w:sz w:val="12"/>
                <w:szCs w:val="12"/>
                <w:color w:val="auto"/>
              </w:rPr>
            </w:pP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916,032</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180" w:type="dxa"/>
            <w:vAlign w:val="bottom"/>
            <w:gridSpan w:val="3"/>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683,651</w:t>
            </w: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320" w:type="dxa"/>
            <w:vAlign w:val="bottom"/>
            <w:gridSpan w:val="2"/>
            <w:shd w:val="clear" w:color="auto" w:fill="CFF0FC"/>
          </w:tcPr>
          <w:p>
            <w:pPr>
              <w:jc w:val="right"/>
              <w:ind w:right="212"/>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83,987</w:t>
            </w: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260" w:type="dxa"/>
            <w:vAlign w:val="bottom"/>
            <w:gridSpan w:val="3"/>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840" w:type="dxa"/>
            <w:vAlign w:val="bottom"/>
            <w:gridSpan w:val="2"/>
            <w:shd w:val="clear" w:color="auto" w:fill="CFF0FC"/>
          </w:tcPr>
          <w:p>
            <w:pPr>
              <w:jc w:val="right"/>
              <w:ind w:right="40"/>
              <w:spacing w:after="0"/>
              <w:rPr>
                <w:sz w:val="20"/>
                <w:szCs w:val="20"/>
                <w:color w:val="auto"/>
              </w:rPr>
            </w:pPr>
            <w:r>
              <w:rPr>
                <w:rFonts w:ascii="Arial" w:cs="Arial" w:eastAsia="Arial" w:hAnsi="Arial"/>
                <w:sz w:val="12"/>
                <w:szCs w:val="12"/>
                <w:color w:val="auto"/>
              </w:rPr>
              <w:t>(831)</w:t>
            </w:r>
          </w:p>
        </w:tc>
        <w:tc>
          <w:tcPr>
            <w:tcW w:w="160" w:type="dxa"/>
            <w:vAlign w:val="bottom"/>
            <w:shd w:val="clear" w:color="auto" w:fill="CFF0FC"/>
          </w:tcPr>
          <w:p>
            <w:pPr>
              <w:spacing w:after="0"/>
              <w:rPr>
                <w:sz w:val="13"/>
                <w:szCs w:val="13"/>
                <w:color w:val="auto"/>
              </w:rPr>
            </w:pPr>
          </w:p>
        </w:tc>
        <w:tc>
          <w:tcPr>
            <w:tcW w:w="10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4,556</w:t>
            </w: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80" w:type="dxa"/>
            <w:vAlign w:val="bottom"/>
            <w:gridSpan w:val="2"/>
            <w:shd w:val="clear" w:color="auto" w:fill="CFF0FC"/>
          </w:tcPr>
          <w:p>
            <w:pPr>
              <w:jc w:val="right"/>
              <w:ind w:right="120"/>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(21,839)</w:t>
            </w: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749,524</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spacing w:after="0"/>
              <w:rPr>
                <w:sz w:val="20"/>
                <w:szCs w:val="20"/>
                <w:color w:val="auto"/>
              </w:rPr>
            </w:pPr>
            <w:r>
              <w:rPr>
                <w:rFonts w:ascii="Arial" w:cs="Arial" w:eastAsia="Arial" w:hAnsi="Arial"/>
                <w:sz w:val="12"/>
                <w:szCs w:val="12"/>
                <w:color w:val="auto"/>
              </w:rPr>
              <w:t>Adjusted EBITDA margin</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gridSpan w:val="3"/>
          </w:tcPr>
          <w:p>
            <w:pPr>
              <w:jc w:val="right"/>
              <w:ind w:right="140"/>
              <w:spacing w:after="0"/>
              <w:rPr>
                <w:sz w:val="20"/>
                <w:szCs w:val="20"/>
                <w:color w:val="auto"/>
              </w:rPr>
            </w:pPr>
            <w:r>
              <w:rPr>
                <w:rFonts w:ascii="Arial" w:cs="Arial" w:eastAsia="Arial" w:hAnsi="Arial"/>
                <w:sz w:val="12"/>
                <w:szCs w:val="12"/>
                <w:color w:val="auto"/>
              </w:rPr>
              <w:t>99.8%</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gridSpan w:val="3"/>
          </w:tcPr>
          <w:p>
            <w:pPr>
              <w:jc w:val="right"/>
              <w:ind w:right="80"/>
              <w:spacing w:after="0"/>
              <w:rPr>
                <w:sz w:val="20"/>
                <w:szCs w:val="20"/>
                <w:color w:val="auto"/>
              </w:rPr>
            </w:pPr>
            <w:r>
              <w:rPr>
                <w:rFonts w:ascii="Arial" w:cs="Arial" w:eastAsia="Arial" w:hAnsi="Arial"/>
                <w:sz w:val="12"/>
                <w:szCs w:val="12"/>
                <w:color w:val="auto"/>
              </w:rPr>
              <w:t>41.4%</w:t>
            </w: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gridSpan w:val="3"/>
          </w:tcPr>
          <w:p>
            <w:pPr>
              <w:jc w:val="right"/>
              <w:ind w:right="100"/>
              <w:spacing w:after="0"/>
              <w:rPr>
                <w:sz w:val="20"/>
                <w:szCs w:val="20"/>
                <w:color w:val="auto"/>
              </w:rPr>
            </w:pPr>
            <w:r>
              <w:rPr>
                <w:rFonts w:ascii="Arial" w:cs="Arial" w:eastAsia="Arial" w:hAnsi="Arial"/>
                <w:sz w:val="12"/>
                <w:szCs w:val="12"/>
                <w:color w:val="auto"/>
              </w:rPr>
              <w:t>(8.3%)</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20" w:type="dxa"/>
            <w:vAlign w:val="bottom"/>
            <w:gridSpan w:val="3"/>
          </w:tcPr>
          <w:p>
            <w:pPr>
              <w:jc w:val="right"/>
              <w:ind w:right="140"/>
              <w:spacing w:after="0"/>
              <w:rPr>
                <w:sz w:val="20"/>
                <w:szCs w:val="20"/>
                <w:color w:val="auto"/>
              </w:rPr>
            </w:pPr>
            <w:r>
              <w:rPr>
                <w:rFonts w:ascii="Arial" w:cs="Arial" w:eastAsia="Arial" w:hAnsi="Arial"/>
                <w:sz w:val="12"/>
                <w:szCs w:val="12"/>
                <w:color w:val="auto"/>
              </w:rPr>
              <w:t>25.2%</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2"/>
                <w:szCs w:val="12"/>
                <w:color w:val="auto"/>
              </w:rPr>
              <w:t>81.8%</w:t>
            </w: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spacing w:after="0"/>
              <w:rPr>
                <w:sz w:val="20"/>
                <w:szCs w:val="20"/>
                <w:color w:val="auto"/>
              </w:rPr>
            </w:pPr>
            <w:r>
              <w:rPr>
                <w:rFonts w:ascii="Arial" w:cs="Arial" w:eastAsia="Arial" w:hAnsi="Arial"/>
                <w:sz w:val="12"/>
                <w:szCs w:val="12"/>
                <w:color w:val="auto"/>
              </w:rPr>
              <w:t>Less:</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right w:val="single" w:sz="8" w:color="CFF0FC"/>
            </w:tcBorders>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ind w:left="80"/>
              <w:spacing w:after="0"/>
              <w:rPr>
                <w:sz w:val="20"/>
                <w:szCs w:val="20"/>
                <w:color w:val="auto"/>
              </w:rPr>
            </w:pPr>
            <w:r>
              <w:rPr>
                <w:rFonts w:ascii="Arial" w:cs="Arial" w:eastAsia="Arial" w:hAnsi="Arial"/>
                <w:sz w:val="12"/>
                <w:szCs w:val="12"/>
                <w:color w:val="auto"/>
              </w:rPr>
              <w:t>Interest expense</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305,994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ind w:left="80"/>
              <w:spacing w:after="0"/>
              <w:rPr>
                <w:sz w:val="20"/>
                <w:szCs w:val="20"/>
                <w:color w:val="auto"/>
              </w:rPr>
            </w:pPr>
            <w:r>
              <w:rPr>
                <w:rFonts w:ascii="Arial" w:cs="Arial" w:eastAsia="Arial" w:hAnsi="Arial"/>
                <w:sz w:val="12"/>
                <w:szCs w:val="12"/>
                <w:color w:val="auto"/>
              </w:rPr>
              <w:t>Depreciation and amortization</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347,999</w:t>
            </w: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78,307</w:t>
            </w: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4,907</w:t>
            </w: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jc w:val="right"/>
              <w:ind w:right="149"/>
              <w:spacing w:after="0"/>
              <w:rPr>
                <w:sz w:val="20"/>
                <w:szCs w:val="20"/>
                <w:color w:val="auto"/>
              </w:rPr>
            </w:pPr>
            <w:r>
              <w:rPr>
                <w:rFonts w:ascii="Arial" w:cs="Arial" w:eastAsia="Arial" w:hAnsi="Arial"/>
                <w:sz w:val="12"/>
                <w:szCs w:val="12"/>
                <w:color w:val="auto"/>
                <w:w w:val="99"/>
              </w:rPr>
              <w:t>2,607</w:t>
            </w: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385</w:t>
            </w: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434,205</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ind w:left="80"/>
              <w:spacing w:after="0"/>
              <w:rPr>
                <w:sz w:val="20"/>
                <w:szCs w:val="20"/>
                <w:color w:val="auto"/>
              </w:rPr>
            </w:pPr>
            <w:r>
              <w:rPr>
                <w:rFonts w:ascii="Arial" w:cs="Arial" w:eastAsia="Arial" w:hAnsi="Arial"/>
                <w:sz w:val="12"/>
                <w:szCs w:val="12"/>
                <w:color w:val="auto"/>
              </w:rPr>
              <w:t>Other expense</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11,284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38,005</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ind w:left="80"/>
              <w:spacing w:after="0"/>
              <w:rPr>
                <w:sz w:val="20"/>
                <w:szCs w:val="20"/>
                <w:color w:val="auto"/>
              </w:rPr>
            </w:pPr>
            <w:r>
              <w:rPr>
                <w:rFonts w:ascii="Arial" w:cs="Arial" w:eastAsia="Arial" w:hAnsi="Arial"/>
                <w:sz w:val="12"/>
                <w:szCs w:val="12"/>
                <w:color w:val="auto"/>
              </w:rPr>
              <w:t>Stock-based compensation</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7,713</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ind w:left="80"/>
              <w:spacing w:after="0"/>
              <w:rPr>
                <w:sz w:val="20"/>
                <w:szCs w:val="20"/>
                <w:color w:val="auto"/>
              </w:rPr>
            </w:pPr>
            <w:r>
              <w:rPr>
                <w:rFonts w:ascii="Arial" w:cs="Arial" w:eastAsia="Arial" w:hAnsi="Arial"/>
                <w:sz w:val="12"/>
                <w:szCs w:val="12"/>
                <w:color w:val="auto"/>
              </w:rPr>
              <w:t>Income tax benefit</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1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(38,849)</w:t>
            </w:r>
          </w:p>
        </w:tc>
        <w:tc>
          <w:tcPr>
            <w:tcW w:w="0" w:type="dxa"/>
            <w:vAlign w:val="bottom"/>
          </w:tcPr>
          <w:p>
            <w:pPr>
              <w:spacing w:after="0"/>
              <w:rPr>
                <w:sz w:val="1"/>
                <w:szCs w:val="1"/>
                <w:color w:val="auto"/>
              </w:rPr>
            </w:pPr>
          </w:p>
        </w:tc>
      </w:tr>
      <w:tr>
        <w:trPr>
          <w:trHeight w:val="20"/>
        </w:trPr>
        <w:tc>
          <w:tcPr>
            <w:tcW w:w="4220" w:type="dxa"/>
            <w:vAlign w:val="bottom"/>
            <w:vMerge w:val="restart"/>
          </w:tcPr>
          <w:p>
            <w:pPr>
              <w:spacing w:after="0"/>
              <w:rPr>
                <w:sz w:val="20"/>
                <w:szCs w:val="20"/>
                <w:color w:val="auto"/>
              </w:rPr>
            </w:pPr>
            <w:r>
              <w:rPr>
                <w:rFonts w:ascii="Arial" w:cs="Arial" w:eastAsia="Arial" w:hAnsi="Arial"/>
                <w:sz w:val="12"/>
                <w:szCs w:val="12"/>
                <w:color w:val="auto"/>
              </w:rPr>
              <w:t>Net loss</w:t>
            </w: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9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2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2"/>
                <w:szCs w:val="12"/>
                <w:color w:val="auto"/>
              </w:rPr>
              <w:t>(8,828)</w:t>
            </w:r>
          </w:p>
        </w:tc>
        <w:tc>
          <w:tcPr>
            <w:tcW w:w="0" w:type="dxa"/>
            <w:vAlign w:val="bottom"/>
          </w:tcPr>
          <w:p>
            <w:pPr>
              <w:spacing w:after="0"/>
              <w:rPr>
                <w:sz w:val="1"/>
                <w:szCs w:val="1"/>
                <w:color w:val="auto"/>
              </w:rPr>
            </w:pPr>
          </w:p>
        </w:tc>
      </w:tr>
      <w:tr>
        <w:trPr>
          <w:trHeight w:val="153"/>
        </w:trPr>
        <w:tc>
          <w:tcPr>
            <w:tcW w:w="42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300" w:type="dxa"/>
            <w:vAlign w:val="bottom"/>
            <w:tcBorders>
              <w:top w:val="single" w:sz="8" w:color="CFF0FC"/>
            </w:tcBorders>
            <w:shd w:val="clear" w:color="auto" w:fill="CFF0FC"/>
          </w:tcPr>
          <w:p>
            <w:pPr>
              <w:spacing w:after="0"/>
              <w:rPr>
                <w:sz w:val="13"/>
                <w:szCs w:val="13"/>
                <w:color w:val="auto"/>
              </w:rPr>
            </w:pPr>
          </w:p>
        </w:tc>
        <w:tc>
          <w:tcPr>
            <w:tcW w:w="64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520" w:type="dxa"/>
            <w:vAlign w:val="bottom"/>
            <w:tcBorders>
              <w:top w:val="single" w:sz="8" w:color="CFF0FC"/>
            </w:tcBorders>
            <w:shd w:val="clear" w:color="auto" w:fill="CFF0FC"/>
          </w:tcPr>
          <w:p>
            <w:pPr>
              <w:spacing w:after="0"/>
              <w:rPr>
                <w:sz w:val="13"/>
                <w:szCs w:val="13"/>
                <w:color w:val="auto"/>
              </w:rPr>
            </w:pPr>
          </w:p>
        </w:tc>
        <w:tc>
          <w:tcPr>
            <w:tcW w:w="3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right w:val="single" w:sz="8" w:color="CFF0FC"/>
            </w:tcBorders>
            <w:shd w:val="clear" w:color="auto" w:fill="CFF0FC"/>
          </w:tcPr>
          <w:p>
            <w:pPr>
              <w:spacing w:after="0"/>
              <w:rPr>
                <w:sz w:val="13"/>
                <w:szCs w:val="13"/>
                <w:color w:val="auto"/>
              </w:rPr>
            </w:pPr>
          </w:p>
        </w:tc>
        <w:tc>
          <w:tcPr>
            <w:tcW w:w="900" w:type="dxa"/>
            <w:vAlign w:val="bottom"/>
            <w:tcBorders>
              <w:top w:val="single" w:sz="8" w:color="auto"/>
              <w:right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spacing w:after="0"/>
              <w:rPr>
                <w:sz w:val="20"/>
                <w:szCs w:val="20"/>
                <w:color w:val="auto"/>
              </w:rPr>
            </w:pPr>
            <w:r>
              <w:rPr>
                <w:rFonts w:ascii="Arial" w:cs="Arial" w:eastAsia="Arial" w:hAnsi="Arial"/>
                <w:sz w:val="12"/>
                <w:szCs w:val="12"/>
                <w:color w:val="auto"/>
              </w:rPr>
              <w:t xml:space="preserve">Capital expenditures </w:t>
            </w:r>
            <w:r>
              <w:rPr>
                <w:rFonts w:ascii="Arial" w:cs="Arial" w:eastAsia="Arial" w:hAnsi="Arial"/>
                <w:sz w:val="10"/>
                <w:szCs w:val="10"/>
                <w:color w:val="auto"/>
              </w:rPr>
              <w:t>(1)</w:t>
            </w:r>
          </w:p>
        </w:tc>
        <w:tc>
          <w:tcPr>
            <w:tcW w:w="180" w:type="dxa"/>
            <w:vAlign w:val="bottom"/>
            <w:gridSpan w:val="3"/>
          </w:tcPr>
          <w:p>
            <w:pPr>
              <w:jc w:val="right"/>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3"/>
                <w:szCs w:val="13"/>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gridSpan w:val="2"/>
          </w:tcPr>
          <w:p>
            <w:pPr>
              <w:jc w:val="right"/>
              <w:ind w:right="212"/>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rPr>
                <w:sz w:val="20"/>
                <w:szCs w:val="20"/>
                <w:color w:val="auto"/>
              </w:rPr>
            </w:pPr>
            <w:r>
              <w:rPr>
                <w:rFonts w:ascii="Arial" w:cs="Arial" w:eastAsia="Arial" w:hAnsi="Arial"/>
                <w:sz w:val="12"/>
                <w:szCs w:val="12"/>
                <w:color w:val="auto"/>
              </w:rPr>
              <w:t>152,918</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gridSpan w:val="3"/>
          </w:tcPr>
          <w:p>
            <w:pPr>
              <w:jc w:val="right"/>
              <w:ind w:right="160"/>
              <w:spacing w:after="0"/>
              <w:rPr>
                <w:sz w:val="20"/>
                <w:szCs w:val="20"/>
                <w:color w:val="auto"/>
              </w:rPr>
            </w:pPr>
            <w:r>
              <w:rPr>
                <w:rFonts w:ascii="Arial" w:cs="Arial" w:eastAsia="Arial" w:hAnsi="Arial"/>
                <w:sz w:val="12"/>
                <w:szCs w:val="12"/>
                <w:color w:val="auto"/>
              </w:rPr>
              <w:t>$</w:t>
            </w:r>
          </w:p>
        </w:tc>
        <w:tc>
          <w:tcPr>
            <w:tcW w:w="760" w:type="dxa"/>
            <w:vAlign w:val="bottom"/>
          </w:tcPr>
          <w:p>
            <w:pPr>
              <w:jc w:val="right"/>
              <w:spacing w:after="0"/>
              <w:rPr>
                <w:sz w:val="20"/>
                <w:szCs w:val="20"/>
                <w:color w:val="auto"/>
              </w:rPr>
            </w:pPr>
            <w:r>
              <w:rPr>
                <w:rFonts w:ascii="Arial" w:cs="Arial" w:eastAsia="Arial" w:hAnsi="Arial"/>
                <w:sz w:val="12"/>
                <w:szCs w:val="12"/>
                <w:color w:val="auto"/>
              </w:rPr>
              <w:t>104,540</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520" w:type="dxa"/>
            <w:vAlign w:val="bottom"/>
          </w:tcPr>
          <w:p>
            <w:pPr>
              <w:spacing w:after="0"/>
              <w:rPr>
                <w:sz w:val="13"/>
                <w:szCs w:val="13"/>
                <w:color w:val="auto"/>
              </w:rPr>
            </w:pPr>
          </w:p>
        </w:tc>
        <w:tc>
          <w:tcPr>
            <w:tcW w:w="380" w:type="dxa"/>
            <w:vAlign w:val="bottom"/>
          </w:tcPr>
          <w:p>
            <w:pPr>
              <w:jc w:val="right"/>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gridSpan w:val="2"/>
          </w:tcPr>
          <w:p>
            <w:pPr>
              <w:jc w:val="right"/>
              <w:ind w:right="120"/>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2"/>
                <w:szCs w:val="12"/>
                <w:color w:val="auto"/>
              </w:rPr>
              <w:t>63</w:t>
            </w:r>
          </w:p>
        </w:tc>
        <w:tc>
          <w:tcPr>
            <w:tcW w:w="140" w:type="dxa"/>
            <w:vAlign w:val="bottom"/>
          </w:tcPr>
          <w:p>
            <w:pPr>
              <w:spacing w:after="0"/>
              <w:rPr>
                <w:sz w:val="13"/>
                <w:szCs w:val="13"/>
                <w:color w:val="auto"/>
              </w:rPr>
            </w:pP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900" w:type="dxa"/>
            <w:vAlign w:val="bottom"/>
          </w:tcPr>
          <w:p>
            <w:pPr>
              <w:jc w:val="right"/>
              <w:spacing w:after="0"/>
              <w:rPr>
                <w:sz w:val="20"/>
                <w:szCs w:val="20"/>
                <w:color w:val="auto"/>
              </w:rPr>
            </w:pPr>
            <w:r>
              <w:rPr>
                <w:rFonts w:ascii="Arial" w:cs="Arial" w:eastAsia="Arial" w:hAnsi="Arial"/>
                <w:sz w:val="12"/>
                <w:szCs w:val="12"/>
                <w:color w:val="auto"/>
              </w:rPr>
              <w:t>257,521</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4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6"/>
          </w:tcPr>
          <w:p>
            <w:pPr>
              <w:jc w:val="right"/>
              <w:ind w:right="9"/>
              <w:spacing w:after="0"/>
              <w:rPr>
                <w:sz w:val="20"/>
                <w:szCs w:val="20"/>
                <w:color w:val="auto"/>
              </w:rPr>
            </w:pPr>
            <w:r>
              <w:rPr>
                <w:rFonts w:ascii="Arial" w:cs="Arial" w:eastAsia="Arial" w:hAnsi="Arial"/>
                <w:sz w:val="10"/>
                <w:szCs w:val="10"/>
                <w:b w:val="1"/>
                <w:bCs w:val="1"/>
                <w:color w:val="auto"/>
              </w:rPr>
              <w:t>Year Ended December 31, 2016</w:t>
            </w: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4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900" w:type="dxa"/>
            <w:vAlign w:val="bottom"/>
          </w:tcPr>
          <w:p>
            <w:pPr>
              <w:jc w:val="center"/>
              <w:ind w:right="42"/>
              <w:spacing w:after="0" w:line="83" w:lineRule="exact"/>
              <w:rPr>
                <w:sz w:val="20"/>
                <w:szCs w:val="20"/>
                <w:color w:val="auto"/>
              </w:rPr>
            </w:pPr>
            <w:r>
              <w:rPr>
                <w:rFonts w:ascii="Arial" w:cs="Arial" w:eastAsia="Arial" w:hAnsi="Arial"/>
                <w:sz w:val="8"/>
                <w:szCs w:val="8"/>
                <w:b w:val="1"/>
                <w:bCs w:val="1"/>
                <w:color w:val="auto"/>
              </w:rPr>
              <w:t>Total of Reportable</w:t>
            </w: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220" w:type="dxa"/>
            <w:vAlign w:val="bottom"/>
            <w:tcBorders>
              <w:bottom w:val="single" w:sz="8" w:color="auto"/>
            </w:tcBorders>
          </w:tcPr>
          <w:p>
            <w:pPr>
              <w:spacing w:after="0" w:line="114" w:lineRule="exact"/>
              <w:rPr>
                <w:sz w:val="20"/>
                <w:szCs w:val="20"/>
                <w:color w:val="auto"/>
              </w:rPr>
            </w:pPr>
            <w:r>
              <w:rPr>
                <w:rFonts w:ascii="Arial" w:cs="Arial" w:eastAsia="Arial" w:hAnsi="Arial"/>
                <w:sz w:val="10"/>
                <w:szCs w:val="10"/>
                <w:color w:val="auto"/>
              </w:rPr>
              <w:t>(Thousands)</w:t>
            </w:r>
          </w:p>
        </w:tc>
        <w:tc>
          <w:tcPr>
            <w:tcW w:w="60" w:type="dxa"/>
            <w:vAlign w:val="bottom"/>
            <w:tcBorders>
              <w:bottom w:val="single" w:sz="8" w:color="auto"/>
            </w:tcBorders>
          </w:tcPr>
          <w:p>
            <w:pPr>
              <w:spacing w:after="0"/>
              <w:rPr>
                <w:sz w:val="9"/>
                <w:szCs w:val="9"/>
                <w:color w:val="auto"/>
              </w:rPr>
            </w:pPr>
          </w:p>
        </w:tc>
        <w:tc>
          <w:tcPr>
            <w:tcW w:w="60" w:type="dxa"/>
            <w:vAlign w:val="bottom"/>
            <w:tcBorders>
              <w:bottom w:val="single" w:sz="8" w:color="CFF0FC"/>
            </w:tcBorders>
          </w:tcPr>
          <w:p>
            <w:pPr>
              <w:spacing w:after="0"/>
              <w:rPr>
                <w:sz w:val="9"/>
                <w:szCs w:val="9"/>
                <w:color w:val="auto"/>
              </w:rPr>
            </w:pPr>
          </w:p>
        </w:tc>
        <w:tc>
          <w:tcPr>
            <w:tcW w:w="60" w:type="dxa"/>
            <w:vAlign w:val="bottom"/>
            <w:tcBorders>
              <w:bottom w:val="single" w:sz="8" w:color="CFF0FC"/>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gridSpan w:val="2"/>
          </w:tcPr>
          <w:p>
            <w:pPr>
              <w:jc w:val="right"/>
              <w:ind w:right="320"/>
              <w:spacing w:after="0" w:line="114" w:lineRule="exact"/>
              <w:rPr>
                <w:sz w:val="20"/>
                <w:szCs w:val="20"/>
                <w:color w:val="auto"/>
              </w:rPr>
            </w:pPr>
            <w:r>
              <w:rPr>
                <w:rFonts w:ascii="Arial" w:cs="Arial" w:eastAsia="Arial" w:hAnsi="Arial"/>
                <w:sz w:val="10"/>
                <w:szCs w:val="10"/>
                <w:b w:val="1"/>
                <w:bCs w:val="1"/>
                <w:color w:val="auto"/>
              </w:rPr>
              <w:t>Leasing</w:t>
            </w:r>
          </w:p>
        </w:tc>
        <w:tc>
          <w:tcPr>
            <w:tcW w:w="200" w:type="dxa"/>
            <w:vAlign w:val="bottom"/>
            <w:tcBorders>
              <w:bottom w:val="single" w:sz="8" w:color="CFF0FC"/>
            </w:tcBorders>
          </w:tcPr>
          <w:p>
            <w:pPr>
              <w:spacing w:after="0"/>
              <w:rPr>
                <w:sz w:val="9"/>
                <w:szCs w:val="9"/>
                <w:color w:val="auto"/>
              </w:rPr>
            </w:pPr>
          </w:p>
        </w:tc>
        <w:tc>
          <w:tcPr>
            <w:tcW w:w="20" w:type="dxa"/>
            <w:vAlign w:val="bottom"/>
            <w:tcBorders>
              <w:bottom w:val="single" w:sz="8" w:color="CFF0FC"/>
            </w:tcBorders>
          </w:tcPr>
          <w:p>
            <w:pPr>
              <w:spacing w:after="0"/>
              <w:rPr>
                <w:sz w:val="9"/>
                <w:szCs w:val="9"/>
                <w:color w:val="auto"/>
              </w:rPr>
            </w:pPr>
          </w:p>
        </w:tc>
        <w:tc>
          <w:tcPr>
            <w:tcW w:w="960" w:type="dxa"/>
            <w:vAlign w:val="bottom"/>
            <w:tcBorders>
              <w:bottom w:val="single" w:sz="8" w:color="auto"/>
            </w:tcBorders>
            <w:gridSpan w:val="3"/>
          </w:tcPr>
          <w:p>
            <w:pPr>
              <w:jc w:val="right"/>
              <w:ind w:right="60"/>
              <w:spacing w:after="0" w:line="114" w:lineRule="exact"/>
              <w:rPr>
                <w:sz w:val="20"/>
                <w:szCs w:val="20"/>
                <w:color w:val="auto"/>
              </w:rPr>
            </w:pPr>
            <w:r>
              <w:rPr>
                <w:rFonts w:ascii="Arial" w:cs="Arial" w:eastAsia="Arial" w:hAnsi="Arial"/>
                <w:sz w:val="10"/>
                <w:szCs w:val="10"/>
                <w:b w:val="1"/>
                <w:bCs w:val="1"/>
                <w:color w:val="auto"/>
                <w:w w:val="95"/>
              </w:rPr>
              <w:t>Fiber Infrastructure</w:t>
            </w:r>
          </w:p>
        </w:tc>
        <w:tc>
          <w:tcPr>
            <w:tcW w:w="160" w:type="dxa"/>
            <w:vAlign w:val="bottom"/>
            <w:tcBorders>
              <w:bottom w:val="single" w:sz="8" w:color="CFF0FC"/>
            </w:tcBorders>
          </w:tcPr>
          <w:p>
            <w:pPr>
              <w:spacing w:after="0"/>
              <w:rPr>
                <w:sz w:val="9"/>
                <w:szCs w:val="9"/>
                <w:color w:val="auto"/>
              </w:rPr>
            </w:pPr>
          </w:p>
        </w:tc>
        <w:tc>
          <w:tcPr>
            <w:tcW w:w="40" w:type="dxa"/>
            <w:vAlign w:val="bottom"/>
            <w:tcBorders>
              <w:bottom w:val="single" w:sz="8" w:color="CFF0FC"/>
            </w:tcBorders>
          </w:tcPr>
          <w:p>
            <w:pPr>
              <w:spacing w:after="0"/>
              <w:rPr>
                <w:sz w:val="9"/>
                <w:szCs w:val="9"/>
                <w:color w:val="auto"/>
              </w:rPr>
            </w:pPr>
          </w:p>
        </w:tc>
        <w:tc>
          <w:tcPr>
            <w:tcW w:w="20" w:type="dxa"/>
            <w:vAlign w:val="bottom"/>
            <w:tcBorders>
              <w:bottom w:val="single" w:sz="8" w:color="CFF0FC"/>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40" w:type="dxa"/>
            <w:vAlign w:val="bottom"/>
            <w:tcBorders>
              <w:bottom w:val="single" w:sz="8" w:color="auto"/>
            </w:tcBorders>
            <w:gridSpan w:val="2"/>
          </w:tcPr>
          <w:p>
            <w:pPr>
              <w:jc w:val="right"/>
              <w:ind w:right="380"/>
              <w:spacing w:after="0" w:line="114" w:lineRule="exact"/>
              <w:rPr>
                <w:sz w:val="20"/>
                <w:szCs w:val="20"/>
                <w:color w:val="auto"/>
              </w:rPr>
            </w:pPr>
            <w:r>
              <w:rPr>
                <w:rFonts w:ascii="Arial" w:cs="Arial" w:eastAsia="Arial" w:hAnsi="Arial"/>
                <w:sz w:val="10"/>
                <w:szCs w:val="10"/>
                <w:b w:val="1"/>
                <w:bCs w:val="1"/>
                <w:color w:val="auto"/>
              </w:rPr>
              <w:t>Towers</w:t>
            </w:r>
          </w:p>
        </w:tc>
        <w:tc>
          <w:tcPr>
            <w:tcW w:w="160" w:type="dxa"/>
            <w:vAlign w:val="bottom"/>
            <w:tcBorders>
              <w:bottom w:val="single" w:sz="8" w:color="CFF0FC"/>
            </w:tcBorders>
          </w:tcPr>
          <w:p>
            <w:pPr>
              <w:spacing w:after="0"/>
              <w:rPr>
                <w:sz w:val="9"/>
                <w:szCs w:val="9"/>
                <w:color w:val="auto"/>
              </w:rPr>
            </w:pPr>
          </w:p>
        </w:tc>
        <w:tc>
          <w:tcPr>
            <w:tcW w:w="40" w:type="dxa"/>
            <w:vAlign w:val="bottom"/>
            <w:tcBorders>
              <w:bottom w:val="single" w:sz="8" w:color="CFF0FC"/>
            </w:tcBorders>
          </w:tcPr>
          <w:p>
            <w:pPr>
              <w:spacing w:after="0"/>
              <w:rPr>
                <w:sz w:val="9"/>
                <w:szCs w:val="9"/>
                <w:color w:val="auto"/>
              </w:rPr>
            </w:pPr>
          </w:p>
        </w:tc>
        <w:tc>
          <w:tcPr>
            <w:tcW w:w="60" w:type="dxa"/>
            <w:vAlign w:val="bottom"/>
            <w:tcBorders>
              <w:bottom w:val="single" w:sz="8" w:color="CFF0FC"/>
            </w:tcBorders>
          </w:tcPr>
          <w:p>
            <w:pPr>
              <w:spacing w:after="0"/>
              <w:rPr>
                <w:sz w:val="9"/>
                <w:szCs w:val="9"/>
                <w:color w:val="auto"/>
              </w:rPr>
            </w:pPr>
          </w:p>
        </w:tc>
        <w:tc>
          <w:tcPr>
            <w:tcW w:w="960" w:type="dxa"/>
            <w:vAlign w:val="bottom"/>
            <w:tcBorders>
              <w:bottom w:val="single" w:sz="8" w:color="auto"/>
            </w:tcBorders>
            <w:gridSpan w:val="3"/>
          </w:tcPr>
          <w:p>
            <w:pPr>
              <w:jc w:val="right"/>
              <w:ind w:right="140"/>
              <w:spacing w:after="0" w:line="114" w:lineRule="exact"/>
              <w:rPr>
                <w:sz w:val="20"/>
                <w:szCs w:val="20"/>
                <w:color w:val="auto"/>
              </w:rPr>
            </w:pPr>
            <w:r>
              <w:rPr>
                <w:rFonts w:ascii="Arial" w:cs="Arial" w:eastAsia="Arial" w:hAnsi="Arial"/>
                <w:sz w:val="10"/>
                <w:szCs w:val="10"/>
                <w:b w:val="1"/>
                <w:bCs w:val="1"/>
                <w:color w:val="auto"/>
              </w:rPr>
              <w:t>Consumer CLEC</w:t>
            </w:r>
          </w:p>
        </w:tc>
        <w:tc>
          <w:tcPr>
            <w:tcW w:w="180" w:type="dxa"/>
            <w:vAlign w:val="bottom"/>
            <w:tcBorders>
              <w:bottom w:val="single" w:sz="8" w:color="CFF0FC"/>
            </w:tcBorders>
          </w:tcPr>
          <w:p>
            <w:pPr>
              <w:spacing w:after="0"/>
              <w:rPr>
                <w:sz w:val="9"/>
                <w:szCs w:val="9"/>
                <w:color w:val="auto"/>
              </w:rPr>
            </w:pPr>
          </w:p>
        </w:tc>
        <w:tc>
          <w:tcPr>
            <w:tcW w:w="40" w:type="dxa"/>
            <w:vAlign w:val="bottom"/>
            <w:tcBorders>
              <w:bottom w:val="single" w:sz="8" w:color="CFF0FC"/>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800" w:type="dxa"/>
            <w:vAlign w:val="bottom"/>
            <w:tcBorders>
              <w:bottom w:val="single" w:sz="8" w:color="auto"/>
            </w:tcBorders>
          </w:tcPr>
          <w:p>
            <w:pPr>
              <w:jc w:val="right"/>
              <w:ind w:right="202"/>
              <w:spacing w:after="0" w:line="114" w:lineRule="exact"/>
              <w:rPr>
                <w:sz w:val="20"/>
                <w:szCs w:val="20"/>
                <w:color w:val="auto"/>
              </w:rPr>
            </w:pPr>
            <w:r>
              <w:rPr>
                <w:rFonts w:ascii="Arial" w:cs="Arial" w:eastAsia="Arial" w:hAnsi="Arial"/>
                <w:sz w:val="10"/>
                <w:szCs w:val="10"/>
                <w:b w:val="1"/>
                <w:bCs w:val="1"/>
                <w:color w:val="auto"/>
              </w:rPr>
              <w:t>Corporate</w:t>
            </w:r>
          </w:p>
        </w:tc>
        <w:tc>
          <w:tcPr>
            <w:tcW w:w="140" w:type="dxa"/>
            <w:vAlign w:val="bottom"/>
            <w:tcBorders>
              <w:bottom w:val="single" w:sz="8" w:color="CFF0FC"/>
            </w:tcBorders>
          </w:tcPr>
          <w:p>
            <w:pPr>
              <w:spacing w:after="0"/>
              <w:rPr>
                <w:sz w:val="9"/>
                <w:szCs w:val="9"/>
                <w:color w:val="auto"/>
              </w:rPr>
            </w:pPr>
          </w:p>
        </w:tc>
        <w:tc>
          <w:tcPr>
            <w:tcW w:w="160" w:type="dxa"/>
            <w:vAlign w:val="bottom"/>
            <w:tcBorders>
              <w:bottom w:val="single" w:sz="8" w:color="CFF0FC"/>
            </w:tcBorders>
          </w:tcPr>
          <w:p>
            <w:pPr>
              <w:spacing w:after="0"/>
              <w:rPr>
                <w:sz w:val="9"/>
                <w:szCs w:val="9"/>
                <w:color w:val="auto"/>
              </w:rPr>
            </w:pPr>
          </w:p>
        </w:tc>
        <w:tc>
          <w:tcPr>
            <w:tcW w:w="900" w:type="dxa"/>
            <w:vAlign w:val="bottom"/>
            <w:tcBorders>
              <w:bottom w:val="single" w:sz="8" w:color="auto"/>
            </w:tcBorders>
          </w:tcPr>
          <w:p>
            <w:pPr>
              <w:jc w:val="center"/>
              <w:ind w:right="42"/>
              <w:spacing w:after="0" w:line="114" w:lineRule="exact"/>
              <w:rPr>
                <w:sz w:val="20"/>
                <w:szCs w:val="20"/>
                <w:color w:val="auto"/>
              </w:rPr>
            </w:pPr>
            <w:r>
              <w:rPr>
                <w:rFonts w:ascii="Arial" w:cs="Arial" w:eastAsia="Arial" w:hAnsi="Arial"/>
                <w:sz w:val="10"/>
                <w:szCs w:val="10"/>
                <w:b w:val="1"/>
                <w:bCs w:val="1"/>
                <w:color w:val="auto"/>
                <w:w w:val="83"/>
              </w:rPr>
              <w:t>Segments</w:t>
            </w:r>
          </w:p>
        </w:tc>
        <w:tc>
          <w:tcPr>
            <w:tcW w:w="120" w:type="dxa"/>
            <w:vAlign w:val="bottom"/>
            <w:tcBorders>
              <w:bottom w:val="single" w:sz="8" w:color="CFF0FC"/>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4220" w:type="dxa"/>
            <w:vAlign w:val="bottom"/>
            <w:shd w:val="clear" w:color="auto" w:fill="CFF0FC"/>
          </w:tcPr>
          <w:p>
            <w:pPr>
              <w:spacing w:after="0"/>
              <w:rPr>
                <w:sz w:val="20"/>
                <w:szCs w:val="20"/>
                <w:color w:val="auto"/>
              </w:rPr>
            </w:pPr>
            <w:r>
              <w:rPr>
                <w:rFonts w:ascii="Arial" w:cs="Arial" w:eastAsia="Arial" w:hAnsi="Arial"/>
                <w:sz w:val="12"/>
                <w:szCs w:val="12"/>
                <w:color w:val="auto"/>
              </w:rPr>
              <w:t>Revenues</w:t>
            </w:r>
          </w:p>
        </w:tc>
        <w:tc>
          <w:tcPr>
            <w:tcW w:w="340" w:type="dxa"/>
            <w:vAlign w:val="bottom"/>
            <w:gridSpan w:val="4"/>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676,868</w:t>
            </w:r>
          </w:p>
        </w:tc>
        <w:tc>
          <w:tcPr>
            <w:tcW w:w="200" w:type="dxa"/>
            <w:vAlign w:val="bottom"/>
            <w:shd w:val="clear" w:color="auto" w:fill="CFF0FC"/>
          </w:tcPr>
          <w:p>
            <w:pPr>
              <w:spacing w:after="0"/>
              <w:rPr>
                <w:sz w:val="12"/>
                <w:szCs w:val="12"/>
                <w:color w:val="auto"/>
              </w:rPr>
            </w:pPr>
          </w:p>
        </w:tc>
        <w:tc>
          <w:tcPr>
            <w:tcW w:w="320" w:type="dxa"/>
            <w:vAlign w:val="bottom"/>
            <w:gridSpan w:val="2"/>
            <w:shd w:val="clear" w:color="auto" w:fill="CFF0FC"/>
          </w:tcPr>
          <w:p>
            <w:pPr>
              <w:jc w:val="right"/>
              <w:ind w:right="192"/>
              <w:spacing w:after="0"/>
              <w:rPr>
                <w:sz w:val="20"/>
                <w:szCs w:val="20"/>
                <w:color w:val="auto"/>
              </w:rPr>
            </w:pPr>
            <w:r>
              <w:rPr>
                <w:rFonts w:ascii="Arial" w:cs="Arial" w:eastAsia="Arial" w:hAnsi="Arial"/>
                <w:sz w:val="12"/>
                <w:szCs w:val="12"/>
                <w:color w:val="auto"/>
                <w:w w:val="89"/>
              </w:rPr>
              <w:t>$</w:t>
            </w:r>
          </w:p>
        </w:tc>
        <w:tc>
          <w:tcPr>
            <w:tcW w:w="66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70,568</w:t>
            </w:r>
          </w:p>
        </w:tc>
        <w:tc>
          <w:tcPr>
            <w:tcW w:w="160" w:type="dxa"/>
            <w:vAlign w:val="bottom"/>
            <w:shd w:val="clear" w:color="auto" w:fill="CFF0FC"/>
          </w:tcPr>
          <w:p>
            <w:pPr>
              <w:spacing w:after="0"/>
              <w:rPr>
                <w:sz w:val="12"/>
                <w:szCs w:val="12"/>
                <w:color w:val="auto"/>
              </w:rPr>
            </w:pPr>
          </w:p>
        </w:tc>
        <w:tc>
          <w:tcPr>
            <w:tcW w:w="260" w:type="dxa"/>
            <w:vAlign w:val="bottom"/>
            <w:gridSpan w:val="3"/>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84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500</w:t>
            </w:r>
          </w:p>
        </w:tc>
        <w:tc>
          <w:tcPr>
            <w:tcW w:w="16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20" w:type="dxa"/>
            <w:vAlign w:val="bottom"/>
            <w:shd w:val="clear" w:color="auto" w:fill="CFF0FC"/>
          </w:tcPr>
          <w:p>
            <w:pPr>
              <w:jc w:val="right"/>
              <w:ind w:right="409"/>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22,472</w:t>
            </w:r>
          </w:p>
        </w:tc>
        <w:tc>
          <w:tcPr>
            <w:tcW w:w="180" w:type="dxa"/>
            <w:vAlign w:val="bottom"/>
            <w:shd w:val="clear" w:color="auto" w:fill="CFF0FC"/>
          </w:tcPr>
          <w:p>
            <w:pPr>
              <w:spacing w:after="0"/>
              <w:rPr>
                <w:sz w:val="12"/>
                <w:szCs w:val="12"/>
                <w:color w:val="auto"/>
              </w:rPr>
            </w:pPr>
          </w:p>
        </w:tc>
        <w:tc>
          <w:tcPr>
            <w:tcW w:w="1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40" w:type="dxa"/>
            <w:vAlign w:val="bottom"/>
            <w:shd w:val="clear" w:color="auto" w:fill="CFF0FC"/>
          </w:tcPr>
          <w:p>
            <w:pPr>
              <w:spacing w:after="0"/>
              <w:rPr>
                <w:sz w:val="12"/>
                <w:szCs w:val="12"/>
                <w:color w:val="auto"/>
              </w:rPr>
            </w:pP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770,408</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4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gridSpan w:val="2"/>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gridSpan w:val="2"/>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gridSpan w:val="2"/>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gridSpan w:val="2"/>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40" w:type="dxa"/>
            <w:vAlign w:val="bottom"/>
            <w:gridSpan w:val="2"/>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spacing w:after="0"/>
              <w:rPr>
                <w:sz w:val="20"/>
                <w:szCs w:val="20"/>
                <w:color w:val="auto"/>
              </w:rPr>
            </w:pPr>
            <w:r>
              <w:rPr>
                <w:rFonts w:ascii="Arial" w:cs="Arial" w:eastAsia="Arial" w:hAnsi="Arial"/>
                <w:sz w:val="12"/>
                <w:szCs w:val="12"/>
                <w:color w:val="auto"/>
              </w:rPr>
              <w:t>Adjusted EBITDA</w:t>
            </w:r>
          </w:p>
        </w:tc>
        <w:tc>
          <w:tcPr>
            <w:tcW w:w="340" w:type="dxa"/>
            <w:vAlign w:val="bottom"/>
            <w:gridSpan w:val="4"/>
            <w:shd w:val="clear" w:color="auto" w:fill="CFF0FC"/>
          </w:tcPr>
          <w:p>
            <w:pPr>
              <w:jc w:val="right"/>
              <w:ind w:right="100"/>
              <w:spacing w:after="0"/>
              <w:rPr>
                <w:sz w:val="20"/>
                <w:szCs w:val="20"/>
                <w:color w:val="auto"/>
              </w:rPr>
            </w:pPr>
            <w:r>
              <w:rPr>
                <w:rFonts w:ascii="Arial" w:cs="Arial" w:eastAsia="Arial" w:hAnsi="Arial"/>
                <w:sz w:val="12"/>
                <w:szCs w:val="12"/>
                <w:color w:val="auto"/>
              </w:rPr>
              <w:t>$</w:t>
            </w: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675,114</w:t>
            </w:r>
          </w:p>
        </w:tc>
        <w:tc>
          <w:tcPr>
            <w:tcW w:w="200" w:type="dxa"/>
            <w:vAlign w:val="bottom"/>
            <w:shd w:val="clear" w:color="auto" w:fill="CFF0FC"/>
          </w:tcPr>
          <w:p>
            <w:pPr>
              <w:spacing w:after="0"/>
              <w:rPr>
                <w:sz w:val="13"/>
                <w:szCs w:val="13"/>
                <w:color w:val="auto"/>
              </w:rPr>
            </w:pPr>
          </w:p>
        </w:tc>
        <w:tc>
          <w:tcPr>
            <w:tcW w:w="320" w:type="dxa"/>
            <w:vAlign w:val="bottom"/>
            <w:gridSpan w:val="2"/>
            <w:shd w:val="clear" w:color="auto" w:fill="CFF0FC"/>
          </w:tcPr>
          <w:p>
            <w:pPr>
              <w:jc w:val="right"/>
              <w:ind w:right="192"/>
              <w:spacing w:after="0"/>
              <w:rPr>
                <w:sz w:val="20"/>
                <w:szCs w:val="20"/>
                <w:color w:val="auto"/>
              </w:rPr>
            </w:pPr>
            <w:r>
              <w:rPr>
                <w:rFonts w:ascii="Arial" w:cs="Arial" w:eastAsia="Arial" w:hAnsi="Arial"/>
                <w:sz w:val="12"/>
                <w:szCs w:val="12"/>
                <w:color w:val="auto"/>
                <w:w w:val="89"/>
              </w:rPr>
              <w:t>$</w:t>
            </w:r>
          </w:p>
        </w:tc>
        <w:tc>
          <w:tcPr>
            <w:tcW w:w="66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25,912</w:t>
            </w:r>
          </w:p>
        </w:tc>
        <w:tc>
          <w:tcPr>
            <w:tcW w:w="160" w:type="dxa"/>
            <w:vAlign w:val="bottom"/>
            <w:shd w:val="clear" w:color="auto" w:fill="CFF0FC"/>
          </w:tcPr>
          <w:p>
            <w:pPr>
              <w:spacing w:after="0"/>
              <w:rPr>
                <w:sz w:val="13"/>
                <w:szCs w:val="13"/>
                <w:color w:val="auto"/>
              </w:rPr>
            </w:pPr>
          </w:p>
        </w:tc>
        <w:tc>
          <w:tcPr>
            <w:tcW w:w="260" w:type="dxa"/>
            <w:vAlign w:val="bottom"/>
            <w:gridSpan w:val="3"/>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1000" w:type="dxa"/>
            <w:vAlign w:val="bottom"/>
            <w:gridSpan w:val="3"/>
            <w:shd w:val="clear" w:color="auto" w:fill="CFF0FC"/>
          </w:tcPr>
          <w:p>
            <w:pPr>
              <w:jc w:val="right"/>
              <w:ind w:right="120"/>
              <w:spacing w:after="0"/>
              <w:rPr>
                <w:sz w:val="20"/>
                <w:szCs w:val="20"/>
                <w:color w:val="auto"/>
              </w:rPr>
            </w:pPr>
            <w:r>
              <w:rPr>
                <w:rFonts w:ascii="Arial" w:cs="Arial" w:eastAsia="Arial" w:hAnsi="Arial"/>
                <w:sz w:val="12"/>
                <w:szCs w:val="12"/>
                <w:color w:val="auto"/>
              </w:rPr>
              <w:t>(1,123)</w:t>
            </w: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jc w:val="right"/>
              <w:ind w:right="409"/>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5,074</w:t>
            </w:r>
          </w:p>
        </w:tc>
        <w:tc>
          <w:tcPr>
            <w:tcW w:w="180" w:type="dxa"/>
            <w:vAlign w:val="bottom"/>
            <w:shd w:val="clear" w:color="auto" w:fill="CFF0FC"/>
          </w:tcPr>
          <w:p>
            <w:pPr>
              <w:spacing w:after="0"/>
              <w:rPr>
                <w:sz w:val="13"/>
                <w:szCs w:val="13"/>
                <w:color w:val="auto"/>
              </w:rPr>
            </w:pPr>
          </w:p>
        </w:tc>
        <w:tc>
          <w:tcPr>
            <w:tcW w:w="18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w:t>
            </w:r>
          </w:p>
        </w:tc>
        <w:tc>
          <w:tcPr>
            <w:tcW w:w="94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(14,793)</w:t>
            </w:r>
          </w:p>
        </w:tc>
        <w:tc>
          <w:tcPr>
            <w:tcW w:w="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690,184</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spacing w:after="0"/>
              <w:rPr>
                <w:sz w:val="20"/>
                <w:szCs w:val="20"/>
                <w:color w:val="auto"/>
              </w:rPr>
            </w:pPr>
            <w:r>
              <w:rPr>
                <w:rFonts w:ascii="Arial" w:cs="Arial" w:eastAsia="Arial" w:hAnsi="Arial"/>
                <w:sz w:val="12"/>
                <w:szCs w:val="12"/>
                <w:color w:val="auto"/>
              </w:rPr>
              <w:t>Adjusted EBITDA margin</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gridSpan w:val="3"/>
          </w:tcPr>
          <w:p>
            <w:pPr>
              <w:jc w:val="right"/>
              <w:ind w:right="100"/>
              <w:spacing w:after="0"/>
              <w:rPr>
                <w:sz w:val="20"/>
                <w:szCs w:val="20"/>
                <w:color w:val="auto"/>
              </w:rPr>
            </w:pPr>
            <w:r>
              <w:rPr>
                <w:rFonts w:ascii="Arial" w:cs="Arial" w:eastAsia="Arial" w:hAnsi="Arial"/>
                <w:sz w:val="12"/>
                <w:szCs w:val="12"/>
                <w:color w:val="auto"/>
              </w:rPr>
              <w:t>99.7%</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gridSpan w:val="3"/>
          </w:tcPr>
          <w:p>
            <w:pPr>
              <w:jc w:val="right"/>
              <w:ind w:right="60"/>
              <w:spacing w:after="0"/>
              <w:rPr>
                <w:sz w:val="20"/>
                <w:szCs w:val="20"/>
                <w:color w:val="auto"/>
              </w:rPr>
            </w:pPr>
            <w:r>
              <w:rPr>
                <w:rFonts w:ascii="Arial" w:cs="Arial" w:eastAsia="Arial" w:hAnsi="Arial"/>
                <w:sz w:val="12"/>
                <w:szCs w:val="12"/>
                <w:color w:val="auto"/>
              </w:rPr>
              <w:t>36.7%</w:t>
            </w: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gridSpan w:val="3"/>
          </w:tcPr>
          <w:p>
            <w:pPr>
              <w:jc w:val="right"/>
              <w:ind w:right="20"/>
              <w:spacing w:after="0"/>
              <w:rPr>
                <w:sz w:val="20"/>
                <w:szCs w:val="20"/>
                <w:color w:val="auto"/>
              </w:rPr>
            </w:pPr>
            <w:r>
              <w:rPr>
                <w:rFonts w:ascii="Arial" w:cs="Arial" w:eastAsia="Arial" w:hAnsi="Arial"/>
                <w:sz w:val="12"/>
                <w:szCs w:val="12"/>
                <w:color w:val="auto"/>
              </w:rPr>
              <w:t>(224.6%)</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20" w:type="dxa"/>
            <w:vAlign w:val="bottom"/>
            <w:gridSpan w:val="3"/>
          </w:tcPr>
          <w:p>
            <w:pPr>
              <w:jc w:val="right"/>
              <w:ind w:right="80"/>
              <w:spacing w:after="0"/>
              <w:rPr>
                <w:sz w:val="20"/>
                <w:szCs w:val="20"/>
                <w:color w:val="auto"/>
              </w:rPr>
            </w:pPr>
            <w:r>
              <w:rPr>
                <w:rFonts w:ascii="Arial" w:cs="Arial" w:eastAsia="Arial" w:hAnsi="Arial"/>
                <w:sz w:val="12"/>
                <w:szCs w:val="12"/>
                <w:color w:val="auto"/>
              </w:rPr>
              <w:t>22.6%</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2"/>
                <w:szCs w:val="12"/>
                <w:color w:val="auto"/>
              </w:rPr>
              <w:t>89.6%</w:t>
            </w: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spacing w:after="0"/>
              <w:rPr>
                <w:sz w:val="20"/>
                <w:szCs w:val="20"/>
                <w:color w:val="auto"/>
              </w:rPr>
            </w:pPr>
            <w:r>
              <w:rPr>
                <w:rFonts w:ascii="Arial" w:cs="Arial" w:eastAsia="Arial" w:hAnsi="Arial"/>
                <w:sz w:val="12"/>
                <w:szCs w:val="12"/>
                <w:color w:val="auto"/>
              </w:rPr>
              <w:t>Less:</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right w:val="single" w:sz="8" w:color="CFF0FC"/>
            </w:tcBorders>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ind w:left="80"/>
              <w:spacing w:after="0"/>
              <w:rPr>
                <w:sz w:val="20"/>
                <w:szCs w:val="20"/>
                <w:color w:val="auto"/>
              </w:rPr>
            </w:pPr>
            <w:r>
              <w:rPr>
                <w:rFonts w:ascii="Arial" w:cs="Arial" w:eastAsia="Arial" w:hAnsi="Arial"/>
                <w:sz w:val="12"/>
                <w:szCs w:val="12"/>
                <w:color w:val="auto"/>
              </w:rPr>
              <w:t>Interest expense</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275,394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ind w:left="80"/>
              <w:spacing w:after="0"/>
              <w:rPr>
                <w:sz w:val="20"/>
                <w:szCs w:val="20"/>
                <w:color w:val="auto"/>
              </w:rPr>
            </w:pPr>
            <w:r>
              <w:rPr>
                <w:rFonts w:ascii="Arial" w:cs="Arial" w:eastAsia="Arial" w:hAnsi="Arial"/>
                <w:sz w:val="12"/>
                <w:szCs w:val="12"/>
                <w:color w:val="auto"/>
              </w:rPr>
              <w:t>Depreciation and amortization</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343,368</w:t>
            </w: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6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28,629</w:t>
            </w: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84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337</w:t>
            </w: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44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3,258</w:t>
            </w: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378</w:t>
            </w: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375,970</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ind w:left="80"/>
              <w:spacing w:after="0"/>
              <w:rPr>
                <w:sz w:val="20"/>
                <w:szCs w:val="20"/>
                <w:color w:val="auto"/>
              </w:rPr>
            </w:pPr>
            <w:r>
              <w:rPr>
                <w:rFonts w:ascii="Arial" w:cs="Arial" w:eastAsia="Arial" w:hAnsi="Arial"/>
                <w:sz w:val="12"/>
                <w:szCs w:val="12"/>
                <w:color w:val="auto"/>
              </w:rPr>
              <w:t>Other expense</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ind w:left="80"/>
              <w:spacing w:after="0"/>
              <w:rPr>
                <w:sz w:val="20"/>
                <w:szCs w:val="20"/>
                <w:color w:val="auto"/>
              </w:rPr>
            </w:pPr>
            <w:r>
              <w:rPr>
                <w:rFonts w:ascii="Arial" w:cs="Arial" w:eastAsia="Arial" w:hAnsi="Arial"/>
                <w:sz w:val="12"/>
                <w:szCs w:val="12"/>
                <w:color w:val="auto"/>
              </w:rPr>
              <w:t>Transaction related costs</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33,669</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ind w:left="80"/>
              <w:spacing w:after="0"/>
              <w:rPr>
                <w:sz w:val="20"/>
                <w:szCs w:val="20"/>
                <w:color w:val="auto"/>
              </w:rPr>
            </w:pPr>
            <w:r>
              <w:rPr>
                <w:rFonts w:ascii="Arial" w:cs="Arial" w:eastAsia="Arial" w:hAnsi="Arial"/>
                <w:sz w:val="12"/>
                <w:szCs w:val="12"/>
                <w:color w:val="auto"/>
              </w:rPr>
              <w:t>Stock-based compensation</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jc w:val="right"/>
              <w:spacing w:after="0"/>
              <w:rPr>
                <w:sz w:val="20"/>
                <w:szCs w:val="20"/>
                <w:color w:val="auto"/>
              </w:rPr>
            </w:pPr>
            <w:r>
              <w:rPr>
                <w:rFonts w:ascii="Arial" w:cs="Arial" w:eastAsia="Arial" w:hAnsi="Arial"/>
                <w:sz w:val="12"/>
                <w:szCs w:val="12"/>
                <w:color w:val="auto"/>
              </w:rPr>
              <w:t>4,846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shd w:val="clear" w:color="auto" w:fill="CFF0FC"/>
          </w:tcPr>
          <w:p>
            <w:pPr>
              <w:ind w:left="80"/>
              <w:spacing w:after="0"/>
              <w:rPr>
                <w:sz w:val="20"/>
                <w:szCs w:val="20"/>
                <w:color w:val="auto"/>
              </w:rPr>
            </w:pPr>
            <w:r>
              <w:rPr>
                <w:rFonts w:ascii="Arial" w:cs="Arial" w:eastAsia="Arial" w:hAnsi="Arial"/>
                <w:sz w:val="12"/>
                <w:szCs w:val="12"/>
                <w:color w:val="auto"/>
              </w:rPr>
              <w:t>Income tax expense</w:t>
            </w: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6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520" w:type="dxa"/>
            <w:vAlign w:val="bottom"/>
            <w:shd w:val="clear" w:color="auto" w:fill="CFF0FC"/>
          </w:tcPr>
          <w:p>
            <w:pPr>
              <w:spacing w:after="0"/>
              <w:rPr>
                <w:sz w:val="13"/>
                <w:szCs w:val="13"/>
                <w:color w:val="auto"/>
              </w:rPr>
            </w:pPr>
          </w:p>
        </w:tc>
        <w:tc>
          <w:tcPr>
            <w:tcW w:w="3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60" w:type="dxa"/>
            <w:vAlign w:val="bottom"/>
            <w:tcBorders>
              <w:right w:val="single" w:sz="8" w:color="CFF0FC"/>
            </w:tcBorders>
            <w:shd w:val="clear" w:color="auto" w:fill="CFF0FC"/>
          </w:tcPr>
          <w:p>
            <w:pPr>
              <w:spacing w:after="0"/>
              <w:rPr>
                <w:sz w:val="13"/>
                <w:szCs w:val="13"/>
                <w:color w:val="auto"/>
              </w:rPr>
            </w:pPr>
          </w:p>
        </w:tc>
        <w:tc>
          <w:tcPr>
            <w:tcW w:w="900" w:type="dxa"/>
            <w:vAlign w:val="bottom"/>
            <w:tcBorders>
              <w:bottom w:val="single" w:sz="8" w:color="auto"/>
              <w:right w:val="single" w:sz="8" w:color="CFF0FC"/>
            </w:tcBorders>
            <w:shd w:val="clear" w:color="auto" w:fill="CFF0FC"/>
          </w:tcPr>
          <w:p>
            <w:pPr>
              <w:jc w:val="right"/>
              <w:spacing w:after="0"/>
              <w:rPr>
                <w:sz w:val="20"/>
                <w:szCs w:val="20"/>
                <w:color w:val="auto"/>
              </w:rPr>
            </w:pPr>
            <w:r>
              <w:rPr>
                <w:rFonts w:ascii="Arial" w:cs="Arial" w:eastAsia="Arial" w:hAnsi="Arial"/>
                <w:sz w:val="12"/>
                <w:szCs w:val="12"/>
                <w:color w:val="auto"/>
              </w:rPr>
              <w:t>517</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220" w:type="dxa"/>
            <w:vAlign w:val="bottom"/>
          </w:tcPr>
          <w:p>
            <w:pPr>
              <w:spacing w:after="0"/>
              <w:rPr>
                <w:sz w:val="20"/>
                <w:szCs w:val="20"/>
                <w:color w:val="auto"/>
              </w:rPr>
            </w:pPr>
            <w:r>
              <w:rPr>
                <w:rFonts w:ascii="Arial" w:cs="Arial" w:eastAsia="Arial" w:hAnsi="Arial"/>
                <w:sz w:val="12"/>
                <w:szCs w:val="12"/>
                <w:color w:val="auto"/>
              </w:rPr>
              <w:t>Net loss</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42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300" w:type="dxa"/>
            <w:vAlign w:val="bottom"/>
            <w:tcBorders>
              <w:top w:val="single" w:sz="8" w:color="CFF0FC"/>
            </w:tcBorders>
            <w:shd w:val="clear" w:color="auto" w:fill="CFF0FC"/>
          </w:tcPr>
          <w:p>
            <w:pPr>
              <w:spacing w:after="0"/>
              <w:rPr>
                <w:sz w:val="13"/>
                <w:szCs w:val="13"/>
                <w:color w:val="auto"/>
              </w:rPr>
            </w:pPr>
          </w:p>
        </w:tc>
        <w:tc>
          <w:tcPr>
            <w:tcW w:w="64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520" w:type="dxa"/>
            <w:vAlign w:val="bottom"/>
            <w:tcBorders>
              <w:top w:val="single" w:sz="8" w:color="CFF0FC"/>
            </w:tcBorders>
            <w:shd w:val="clear" w:color="auto" w:fill="CFF0FC"/>
          </w:tcPr>
          <w:p>
            <w:pPr>
              <w:spacing w:after="0"/>
              <w:rPr>
                <w:sz w:val="13"/>
                <w:szCs w:val="13"/>
                <w:color w:val="auto"/>
              </w:rPr>
            </w:pPr>
          </w:p>
        </w:tc>
        <w:tc>
          <w:tcPr>
            <w:tcW w:w="38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80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right w:val="single" w:sz="8" w:color="CFF0FC"/>
            </w:tcBorders>
            <w:shd w:val="clear" w:color="auto" w:fill="CFF0FC"/>
          </w:tcPr>
          <w:p>
            <w:pPr>
              <w:spacing w:after="0"/>
              <w:rPr>
                <w:sz w:val="13"/>
                <w:szCs w:val="13"/>
                <w:color w:val="auto"/>
              </w:rPr>
            </w:pPr>
          </w:p>
        </w:tc>
        <w:tc>
          <w:tcPr>
            <w:tcW w:w="900" w:type="dxa"/>
            <w:vAlign w:val="bottom"/>
            <w:tcBorders>
              <w:top w:val="single" w:sz="8" w:color="auto"/>
              <w:right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4220" w:type="dxa"/>
            <w:vAlign w:val="bottom"/>
          </w:tcPr>
          <w:p>
            <w:pPr>
              <w:spacing w:after="0"/>
              <w:rPr>
                <w:sz w:val="20"/>
                <w:szCs w:val="20"/>
                <w:color w:val="auto"/>
              </w:rPr>
            </w:pPr>
            <w:r>
              <w:rPr>
                <w:rFonts w:ascii="Arial" w:cs="Arial" w:eastAsia="Arial" w:hAnsi="Arial"/>
                <w:sz w:val="12"/>
                <w:szCs w:val="12"/>
                <w:color w:val="auto"/>
              </w:rPr>
              <w:t xml:space="preserve">Capital expenditures </w:t>
            </w:r>
            <w:r>
              <w:rPr>
                <w:rFonts w:ascii="Arial" w:cs="Arial" w:eastAsia="Arial" w:hAnsi="Arial"/>
                <w:sz w:val="10"/>
                <w:szCs w:val="10"/>
                <w:color w:val="auto"/>
              </w:rPr>
              <w:t>(1)</w:t>
            </w:r>
          </w:p>
        </w:tc>
        <w:tc>
          <w:tcPr>
            <w:tcW w:w="340" w:type="dxa"/>
            <w:vAlign w:val="bottom"/>
            <w:gridSpan w:val="4"/>
          </w:tcPr>
          <w:p>
            <w:pPr>
              <w:jc w:val="right"/>
              <w:ind w:right="100"/>
              <w:spacing w:after="0"/>
              <w:rPr>
                <w:sz w:val="20"/>
                <w:szCs w:val="20"/>
                <w:color w:val="auto"/>
              </w:rPr>
            </w:pPr>
            <w:r>
              <w:rPr>
                <w:rFonts w:ascii="Arial" w:cs="Arial" w:eastAsia="Arial" w:hAnsi="Arial"/>
                <w:sz w:val="12"/>
                <w:szCs w:val="12"/>
                <w:color w:val="auto"/>
              </w:rPr>
              <w:t>$</w:t>
            </w:r>
          </w:p>
        </w:tc>
        <w:tc>
          <w:tcPr>
            <w:tcW w:w="78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3"/>
                <w:szCs w:val="13"/>
                <w:color w:val="auto"/>
              </w:rPr>
            </w:pPr>
          </w:p>
        </w:tc>
        <w:tc>
          <w:tcPr>
            <w:tcW w:w="320" w:type="dxa"/>
            <w:vAlign w:val="bottom"/>
            <w:gridSpan w:val="2"/>
          </w:tcPr>
          <w:p>
            <w:pPr>
              <w:jc w:val="right"/>
              <w:ind w:right="192"/>
              <w:spacing w:after="0"/>
              <w:rPr>
                <w:sz w:val="20"/>
                <w:szCs w:val="20"/>
                <w:color w:val="auto"/>
              </w:rPr>
            </w:pPr>
            <w:r>
              <w:rPr>
                <w:rFonts w:ascii="Arial" w:cs="Arial" w:eastAsia="Arial" w:hAnsi="Arial"/>
                <w:sz w:val="12"/>
                <w:szCs w:val="12"/>
                <w:color w:val="auto"/>
                <w:w w:val="89"/>
              </w:rPr>
              <w:t>$</w:t>
            </w:r>
          </w:p>
        </w:tc>
        <w:tc>
          <w:tcPr>
            <w:tcW w:w="660" w:type="dxa"/>
            <w:vAlign w:val="bottom"/>
            <w:gridSpan w:val="2"/>
          </w:tcPr>
          <w:p>
            <w:pPr>
              <w:jc w:val="right"/>
              <w:spacing w:after="0"/>
              <w:rPr>
                <w:sz w:val="20"/>
                <w:szCs w:val="20"/>
                <w:color w:val="auto"/>
              </w:rPr>
            </w:pPr>
            <w:r>
              <w:rPr>
                <w:rFonts w:ascii="Arial" w:cs="Arial" w:eastAsia="Arial" w:hAnsi="Arial"/>
                <w:sz w:val="12"/>
                <w:szCs w:val="12"/>
                <w:color w:val="auto"/>
              </w:rPr>
              <w:t>31,006</w:t>
            </w:r>
          </w:p>
        </w:tc>
        <w:tc>
          <w:tcPr>
            <w:tcW w:w="160" w:type="dxa"/>
            <w:vAlign w:val="bottom"/>
          </w:tcPr>
          <w:p>
            <w:pPr>
              <w:spacing w:after="0"/>
              <w:rPr>
                <w:sz w:val="13"/>
                <w:szCs w:val="13"/>
                <w:color w:val="auto"/>
              </w:rPr>
            </w:pPr>
          </w:p>
        </w:tc>
        <w:tc>
          <w:tcPr>
            <w:tcW w:w="260" w:type="dxa"/>
            <w:vAlign w:val="bottom"/>
            <w:gridSpan w:val="3"/>
          </w:tcPr>
          <w:p>
            <w:pPr>
              <w:jc w:val="right"/>
              <w:ind w:right="140"/>
              <w:spacing w:after="0"/>
              <w:rPr>
                <w:sz w:val="20"/>
                <w:szCs w:val="20"/>
                <w:color w:val="auto"/>
              </w:rPr>
            </w:pPr>
            <w:r>
              <w:rPr>
                <w:rFonts w:ascii="Arial" w:cs="Arial" w:eastAsia="Arial" w:hAnsi="Arial"/>
                <w:sz w:val="12"/>
                <w:szCs w:val="12"/>
                <w:color w:val="auto"/>
              </w:rPr>
              <w:t>$</w:t>
            </w:r>
          </w:p>
        </w:tc>
        <w:tc>
          <w:tcPr>
            <w:tcW w:w="840" w:type="dxa"/>
            <w:vAlign w:val="bottom"/>
            <w:gridSpan w:val="2"/>
          </w:tcPr>
          <w:p>
            <w:pPr>
              <w:jc w:val="right"/>
              <w:ind w:right="20"/>
              <w:spacing w:after="0"/>
              <w:rPr>
                <w:sz w:val="20"/>
                <w:szCs w:val="20"/>
                <w:color w:val="auto"/>
              </w:rPr>
            </w:pPr>
            <w:r>
              <w:rPr>
                <w:rFonts w:ascii="Arial" w:cs="Arial" w:eastAsia="Arial" w:hAnsi="Arial"/>
                <w:sz w:val="12"/>
                <w:szCs w:val="12"/>
                <w:color w:val="auto"/>
              </w:rPr>
              <w:t>15,262</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jc w:val="right"/>
              <w:ind w:right="409"/>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2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3"/>
                <w:szCs w:val="13"/>
                <w:color w:val="auto"/>
              </w:rPr>
            </w:pPr>
          </w:p>
        </w:tc>
        <w:tc>
          <w:tcPr>
            <w:tcW w:w="180" w:type="dxa"/>
            <w:vAlign w:val="bottom"/>
            <w:gridSpan w:val="2"/>
          </w:tcPr>
          <w:p>
            <w:pPr>
              <w:jc w:val="right"/>
              <w:ind w:right="80"/>
              <w:spacing w:after="0"/>
              <w:rPr>
                <w:sz w:val="20"/>
                <w:szCs w:val="20"/>
                <w:color w:val="auto"/>
              </w:rPr>
            </w:pPr>
            <w:r>
              <w:rPr>
                <w:rFonts w:ascii="Arial" w:cs="Arial" w:eastAsia="Arial" w:hAnsi="Arial"/>
                <w:sz w:val="12"/>
                <w:szCs w:val="12"/>
                <w:color w:val="auto"/>
              </w:rPr>
              <w:t>$</w:t>
            </w:r>
          </w:p>
        </w:tc>
        <w:tc>
          <w:tcPr>
            <w:tcW w:w="800" w:type="dxa"/>
            <w:vAlign w:val="bottom"/>
          </w:tcPr>
          <w:p>
            <w:pPr>
              <w:jc w:val="right"/>
              <w:spacing w:after="0"/>
              <w:rPr>
                <w:sz w:val="20"/>
                <w:szCs w:val="20"/>
                <w:color w:val="auto"/>
              </w:rPr>
            </w:pPr>
            <w:r>
              <w:rPr>
                <w:rFonts w:ascii="Arial" w:cs="Arial" w:eastAsia="Arial" w:hAnsi="Arial"/>
                <w:sz w:val="12"/>
                <w:szCs w:val="12"/>
                <w:color w:val="auto"/>
              </w:rPr>
              <w:t>175</w:t>
            </w:r>
          </w:p>
        </w:tc>
        <w:tc>
          <w:tcPr>
            <w:tcW w:w="140" w:type="dxa"/>
            <w:vAlign w:val="bottom"/>
          </w:tcPr>
          <w:p>
            <w:pPr>
              <w:spacing w:after="0"/>
              <w:rPr>
                <w:sz w:val="13"/>
                <w:szCs w:val="13"/>
                <w:color w:val="auto"/>
              </w:rPr>
            </w:pP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900" w:type="dxa"/>
            <w:vAlign w:val="bottom"/>
          </w:tcPr>
          <w:p>
            <w:pPr>
              <w:jc w:val="right"/>
              <w:spacing w:after="0"/>
              <w:rPr>
                <w:sz w:val="20"/>
                <w:szCs w:val="20"/>
                <w:color w:val="auto"/>
              </w:rPr>
            </w:pPr>
            <w:r>
              <w:rPr>
                <w:rFonts w:ascii="Arial" w:cs="Arial" w:eastAsia="Arial" w:hAnsi="Arial"/>
                <w:sz w:val="12"/>
                <w:szCs w:val="12"/>
                <w:color w:val="auto"/>
              </w:rPr>
              <w:t>46,443</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79" w:lineRule="exact"/>
        <w:rPr>
          <w:sz w:val="20"/>
          <w:szCs w:val="20"/>
          <w:color w:val="auto"/>
        </w:rPr>
      </w:pPr>
    </w:p>
    <w:p>
      <w:pPr>
        <w:jc w:val="center"/>
        <w:ind w:left="5688" w:right="960" w:hanging="5688"/>
        <w:spacing w:after="0" w:line="527" w:lineRule="auto"/>
        <w:tabs>
          <w:tab w:leader="none" w:pos="447" w:val="left"/>
        </w:tabs>
        <w:numPr>
          <w:ilvl w:val="0"/>
          <w:numId w:val="15"/>
        </w:numPr>
        <w:rPr>
          <w:rFonts w:ascii="Arial" w:cs="Arial" w:eastAsia="Arial" w:hAnsi="Arial"/>
          <w:sz w:val="10"/>
          <w:szCs w:val="10"/>
          <w:color w:val="auto"/>
        </w:rPr>
      </w:pPr>
      <w:r>
        <w:rPr>
          <w:rFonts w:ascii="Arial" w:cs="Arial" w:eastAsia="Arial" w:hAnsi="Arial"/>
          <w:sz w:val="12"/>
          <w:szCs w:val="12"/>
          <w:color w:val="auto"/>
        </w:rPr>
        <w:t>Segment capital expenditures represents capital expenditures, the NMS asset acquisition and ground lease investments as reported in the investing activities section of the Consolidated Statement of Cash Flows. 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-71120</wp:posOffset>
            </wp:positionV>
            <wp:extent cx="7329170" cy="3683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8"/>
          </w:cols>
          <w:pgMar w:left="212" w:top="130" w:right="199" w:bottom="1440" w:gutter="0" w:footer="0" w:header="0"/>
        </w:sectPr>
      </w:pPr>
    </w:p>
    <w:bookmarkStart w:id="96" w:name="page97"/>
    <w:bookmarkEnd w:id="9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Total assets by business segment as of December 31, 2018 and December 31, 2017 are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74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gridSpan w:val="3"/>
          </w:tcPr>
          <w:p>
            <w:pPr>
              <w:jc w:val="right"/>
              <w:ind w:right="290"/>
              <w:spacing w:after="0"/>
              <w:rPr>
                <w:sz w:val="20"/>
                <w:szCs w:val="20"/>
                <w:color w:val="auto"/>
              </w:rPr>
            </w:pPr>
            <w:r>
              <w:rPr>
                <w:rFonts w:ascii="Arial" w:cs="Arial" w:eastAsia="Arial" w:hAnsi="Arial"/>
                <w:sz w:val="10"/>
                <w:szCs w:val="10"/>
                <w:b w:val="1"/>
                <w:bCs w:val="1"/>
                <w:color w:val="auto"/>
              </w:rPr>
              <w:t>December 31,</w:t>
            </w:r>
          </w:p>
        </w:tc>
        <w:tc>
          <w:tcPr>
            <w:tcW w:w="126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r>
      <w:tr>
        <w:trPr>
          <w:trHeight w:val="151"/>
        </w:trPr>
        <w:tc>
          <w:tcPr>
            <w:tcW w:w="740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200" w:type="dxa"/>
            <w:vAlign w:val="bottom"/>
            <w:tcBorders>
              <w:bottom w:val="single" w:sz="8" w:color="CFF0FC"/>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300" w:type="dxa"/>
            <w:vAlign w:val="bottom"/>
            <w:tcBorders>
              <w:bottom w:val="single" w:sz="8" w:color="auto"/>
            </w:tcBorders>
          </w:tcPr>
          <w:p>
            <w:pPr>
              <w:jc w:val="right"/>
              <w:ind w:right="683"/>
              <w:spacing w:after="0"/>
              <w:rPr>
                <w:sz w:val="20"/>
                <w:szCs w:val="20"/>
                <w:color w:val="auto"/>
              </w:rPr>
            </w:pPr>
            <w:r>
              <w:rPr>
                <w:rFonts w:ascii="Arial" w:cs="Arial" w:eastAsia="Arial" w:hAnsi="Arial"/>
                <w:sz w:val="10"/>
                <w:szCs w:val="10"/>
                <w:b w:val="1"/>
                <w:bCs w:val="1"/>
                <w:color w:val="auto"/>
              </w:rPr>
              <w:t>2018</w:t>
            </w:r>
          </w:p>
        </w:tc>
        <w:tc>
          <w:tcPr>
            <w:tcW w:w="280" w:type="dxa"/>
            <w:vAlign w:val="bottom"/>
            <w:tcBorders>
              <w:bottom w:val="single" w:sz="8" w:color="CFF0FC"/>
            </w:tcBorders>
          </w:tcPr>
          <w:p>
            <w:pPr>
              <w:spacing w:after="0"/>
              <w:rPr>
                <w:sz w:val="13"/>
                <w:szCs w:val="13"/>
                <w:color w:val="auto"/>
              </w:rPr>
            </w:pPr>
          </w:p>
        </w:tc>
        <w:tc>
          <w:tcPr>
            <w:tcW w:w="48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right"/>
              <w:ind w:right="662"/>
              <w:spacing w:after="0"/>
              <w:rPr>
                <w:sz w:val="20"/>
                <w:szCs w:val="20"/>
                <w:color w:val="auto"/>
              </w:rPr>
            </w:pPr>
            <w:r>
              <w:rPr>
                <w:rFonts w:ascii="Arial" w:cs="Arial" w:eastAsia="Arial" w:hAnsi="Arial"/>
                <w:sz w:val="10"/>
                <w:szCs w:val="10"/>
                <w:b w:val="1"/>
                <w:bCs w:val="1"/>
                <w:color w:val="auto"/>
              </w:rPr>
              <w:t>2017</w:t>
            </w:r>
          </w:p>
        </w:tc>
        <w:tc>
          <w:tcPr>
            <w:tcW w:w="120" w:type="dxa"/>
            <w:vAlign w:val="bottom"/>
            <w:tcBorders>
              <w:bottom w:val="single" w:sz="8" w:color="CFF0FC"/>
            </w:tcBorders>
          </w:tcPr>
          <w:p>
            <w:pPr>
              <w:spacing w:after="0"/>
              <w:rPr>
                <w:sz w:val="13"/>
                <w:szCs w:val="13"/>
                <w:color w:val="auto"/>
              </w:rPr>
            </w:pPr>
          </w:p>
        </w:tc>
      </w:tr>
      <w:tr>
        <w:trPr>
          <w:trHeight w:val="151"/>
        </w:trPr>
        <w:tc>
          <w:tcPr>
            <w:tcW w:w="76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Leasing</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2,119,045</w:t>
            </w:r>
          </w:p>
        </w:tc>
        <w:tc>
          <w:tcPr>
            <w:tcW w:w="280" w:type="dxa"/>
            <w:vAlign w:val="bottom"/>
            <w:shd w:val="clear" w:color="auto" w:fill="CFF0FC"/>
          </w:tcPr>
          <w:p>
            <w:pPr>
              <w:spacing w:after="0"/>
              <w:rPr>
                <w:sz w:val="13"/>
                <w:szCs w:val="13"/>
                <w:color w:val="auto"/>
              </w:rPr>
            </w:pPr>
          </w:p>
        </w:tc>
        <w:tc>
          <w:tcPr>
            <w:tcW w:w="480" w:type="dxa"/>
            <w:vAlign w:val="bottom"/>
            <w:shd w:val="clear" w:color="auto" w:fill="CFF0FC"/>
          </w:tcPr>
          <w:p>
            <w:pPr>
              <w:jc w:val="right"/>
              <w:ind w:right="370"/>
              <w:spacing w:after="0"/>
              <w:rPr>
                <w:sz w:val="20"/>
                <w:szCs w:val="20"/>
                <w:color w:val="auto"/>
              </w:rPr>
            </w:pPr>
            <w:r>
              <w:rPr>
                <w:rFonts w:ascii="Arial" w:cs="Arial" w:eastAsia="Arial" w:hAnsi="Arial"/>
                <w:sz w:val="10"/>
                <w:szCs w:val="10"/>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2,121,857</w:t>
            </w:r>
          </w:p>
        </w:tc>
        <w:tc>
          <w:tcPr>
            <w:tcW w:w="120" w:type="dxa"/>
            <w:vAlign w:val="bottom"/>
            <w:shd w:val="clear" w:color="auto" w:fill="CFF0FC"/>
          </w:tcPr>
          <w:p>
            <w:pPr>
              <w:spacing w:after="0"/>
              <w:rPr>
                <w:sz w:val="13"/>
                <w:szCs w:val="13"/>
                <w:color w:val="auto"/>
              </w:rPr>
            </w:pPr>
          </w:p>
        </w:tc>
      </w:tr>
      <w:tr>
        <w:trPr>
          <w:trHeight w:val="153"/>
        </w:trPr>
        <w:tc>
          <w:tcPr>
            <w:tcW w:w="7600" w:type="dxa"/>
            <w:vAlign w:val="bottom"/>
            <w:gridSpan w:val="2"/>
          </w:tcPr>
          <w:p>
            <w:pPr>
              <w:spacing w:after="0"/>
              <w:rPr>
                <w:sz w:val="20"/>
                <w:szCs w:val="20"/>
                <w:color w:val="auto"/>
              </w:rPr>
            </w:pPr>
            <w:r>
              <w:rPr>
                <w:rFonts w:ascii="Arial" w:cs="Arial" w:eastAsia="Arial" w:hAnsi="Arial"/>
                <w:sz w:val="12"/>
                <w:szCs w:val="12"/>
                <w:color w:val="auto"/>
              </w:rPr>
              <w:t>Fiber Infrastructure</w:t>
            </w:r>
          </w:p>
        </w:tc>
        <w:tc>
          <w:tcPr>
            <w:tcW w:w="44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2,194,311</w:t>
            </w:r>
          </w:p>
        </w:tc>
        <w:tc>
          <w:tcPr>
            <w:tcW w:w="2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60" w:type="dxa"/>
            <w:vAlign w:val="bottom"/>
          </w:tcPr>
          <w:p>
            <w:pPr>
              <w:jc w:val="right"/>
              <w:spacing w:after="0"/>
              <w:rPr>
                <w:sz w:val="20"/>
                <w:szCs w:val="20"/>
                <w:color w:val="auto"/>
              </w:rPr>
            </w:pPr>
            <w:r>
              <w:rPr>
                <w:rFonts w:ascii="Arial" w:cs="Arial" w:eastAsia="Arial" w:hAnsi="Arial"/>
                <w:sz w:val="12"/>
                <w:szCs w:val="12"/>
                <w:color w:val="auto"/>
              </w:rPr>
              <w:t>2,009,175</w:t>
            </w:r>
          </w:p>
        </w:tc>
        <w:tc>
          <w:tcPr>
            <w:tcW w:w="120" w:type="dxa"/>
            <w:vAlign w:val="bottom"/>
          </w:tcPr>
          <w:p>
            <w:pPr>
              <w:spacing w:after="0"/>
              <w:rPr>
                <w:sz w:val="13"/>
                <w:szCs w:val="13"/>
                <w:color w:val="auto"/>
              </w:rPr>
            </w:pPr>
          </w:p>
        </w:tc>
      </w:tr>
      <w:tr>
        <w:trPr>
          <w:trHeight w:val="153"/>
        </w:trPr>
        <w:tc>
          <w:tcPr>
            <w:tcW w:w="76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Towers</w:t>
            </w:r>
          </w:p>
        </w:tc>
        <w:tc>
          <w:tcPr>
            <w:tcW w:w="44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231,749</w:t>
            </w:r>
          </w:p>
        </w:tc>
        <w:tc>
          <w:tcPr>
            <w:tcW w:w="280" w:type="dxa"/>
            <w:vAlign w:val="bottom"/>
            <w:shd w:val="clear" w:color="auto" w:fill="CFF0FC"/>
          </w:tcPr>
          <w:p>
            <w:pPr>
              <w:spacing w:after="0"/>
              <w:rPr>
                <w:sz w:val="13"/>
                <w:szCs w:val="13"/>
                <w:color w:val="auto"/>
              </w:rPr>
            </w:pPr>
          </w:p>
        </w:tc>
        <w:tc>
          <w:tcPr>
            <w:tcW w:w="480" w:type="dxa"/>
            <w:vAlign w:val="bottom"/>
            <w:shd w:val="clear" w:color="auto" w:fill="CFF0FC"/>
          </w:tcPr>
          <w:p>
            <w:pPr>
              <w:spacing w:after="0"/>
              <w:rPr>
                <w:sz w:val="13"/>
                <w:szCs w:val="13"/>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157,180</w:t>
            </w:r>
          </w:p>
        </w:tc>
        <w:tc>
          <w:tcPr>
            <w:tcW w:w="120" w:type="dxa"/>
            <w:vAlign w:val="bottom"/>
            <w:shd w:val="clear" w:color="auto" w:fill="CFF0FC"/>
          </w:tcPr>
          <w:p>
            <w:pPr>
              <w:spacing w:after="0"/>
              <w:rPr>
                <w:sz w:val="13"/>
                <w:szCs w:val="13"/>
                <w:color w:val="auto"/>
              </w:rPr>
            </w:pPr>
          </w:p>
        </w:tc>
      </w:tr>
      <w:tr>
        <w:trPr>
          <w:trHeight w:val="153"/>
        </w:trPr>
        <w:tc>
          <w:tcPr>
            <w:tcW w:w="7600" w:type="dxa"/>
            <w:vAlign w:val="bottom"/>
            <w:gridSpan w:val="2"/>
          </w:tcPr>
          <w:p>
            <w:pPr>
              <w:spacing w:after="0"/>
              <w:rPr>
                <w:sz w:val="20"/>
                <w:szCs w:val="20"/>
                <w:color w:val="auto"/>
              </w:rPr>
            </w:pPr>
            <w:r>
              <w:rPr>
                <w:rFonts w:ascii="Arial" w:cs="Arial" w:eastAsia="Arial" w:hAnsi="Arial"/>
                <w:sz w:val="12"/>
                <w:szCs w:val="12"/>
                <w:color w:val="auto"/>
              </w:rPr>
              <w:t>Consumer CLEC</w:t>
            </w:r>
          </w:p>
        </w:tc>
        <w:tc>
          <w:tcPr>
            <w:tcW w:w="44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10,374</w:t>
            </w:r>
          </w:p>
        </w:tc>
        <w:tc>
          <w:tcPr>
            <w:tcW w:w="2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60" w:type="dxa"/>
            <w:vAlign w:val="bottom"/>
          </w:tcPr>
          <w:p>
            <w:pPr>
              <w:jc w:val="right"/>
              <w:spacing w:after="0"/>
              <w:rPr>
                <w:sz w:val="20"/>
                <w:szCs w:val="20"/>
                <w:color w:val="auto"/>
              </w:rPr>
            </w:pPr>
            <w:r>
              <w:rPr>
                <w:rFonts w:ascii="Arial" w:cs="Arial" w:eastAsia="Arial" w:hAnsi="Arial"/>
                <w:sz w:val="12"/>
                <w:szCs w:val="12"/>
                <w:color w:val="auto"/>
              </w:rPr>
              <w:t>10,919</w:t>
            </w:r>
          </w:p>
        </w:tc>
        <w:tc>
          <w:tcPr>
            <w:tcW w:w="120" w:type="dxa"/>
            <w:vAlign w:val="bottom"/>
          </w:tcPr>
          <w:p>
            <w:pPr>
              <w:spacing w:after="0"/>
              <w:rPr>
                <w:sz w:val="13"/>
                <w:szCs w:val="13"/>
                <w:color w:val="auto"/>
              </w:rPr>
            </w:pPr>
          </w:p>
        </w:tc>
      </w:tr>
      <w:tr>
        <w:trPr>
          <w:trHeight w:val="153"/>
        </w:trPr>
        <w:tc>
          <w:tcPr>
            <w:tcW w:w="76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Corporate</w:t>
            </w:r>
          </w:p>
        </w:tc>
        <w:tc>
          <w:tcPr>
            <w:tcW w:w="440" w:type="dxa"/>
            <w:vAlign w:val="bottom"/>
            <w:tcBorders>
              <w:bottom w:val="single" w:sz="8" w:color="auto"/>
            </w:tcBorders>
            <w:shd w:val="clear" w:color="auto" w:fill="CFF0FC"/>
          </w:tcPr>
          <w:p>
            <w:pPr>
              <w:spacing w:after="0"/>
              <w:rPr>
                <w:sz w:val="13"/>
                <w:szCs w:val="13"/>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37,458</w:t>
            </w:r>
          </w:p>
        </w:tc>
        <w:tc>
          <w:tcPr>
            <w:tcW w:w="280" w:type="dxa"/>
            <w:vAlign w:val="bottom"/>
            <w:shd w:val="clear" w:color="auto" w:fill="CFF0FC"/>
          </w:tcPr>
          <w:p>
            <w:pPr>
              <w:spacing w:after="0"/>
              <w:rPr>
                <w:sz w:val="13"/>
                <w:szCs w:val="13"/>
                <w:color w:val="auto"/>
              </w:rPr>
            </w:pPr>
          </w:p>
        </w:tc>
        <w:tc>
          <w:tcPr>
            <w:tcW w:w="480" w:type="dxa"/>
            <w:vAlign w:val="bottom"/>
            <w:tcBorders>
              <w:bottom w:val="single" w:sz="8" w:color="auto"/>
            </w:tcBorders>
            <w:shd w:val="clear" w:color="auto" w:fill="CFF0FC"/>
          </w:tcPr>
          <w:p>
            <w:pPr>
              <w:spacing w:after="0"/>
              <w:rPr>
                <w:sz w:val="13"/>
                <w:szCs w:val="13"/>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30,951</w:t>
            </w:r>
          </w:p>
        </w:tc>
        <w:tc>
          <w:tcPr>
            <w:tcW w:w="120" w:type="dxa"/>
            <w:vAlign w:val="bottom"/>
            <w:shd w:val="clear" w:color="auto" w:fill="CFF0FC"/>
          </w:tcPr>
          <w:p>
            <w:pPr>
              <w:spacing w:after="0"/>
              <w:rPr>
                <w:sz w:val="13"/>
                <w:szCs w:val="13"/>
                <w:color w:val="auto"/>
              </w:rPr>
            </w:pPr>
          </w:p>
        </w:tc>
      </w:tr>
      <w:tr>
        <w:trPr>
          <w:trHeight w:val="149"/>
        </w:trPr>
        <w:tc>
          <w:tcPr>
            <w:tcW w:w="7600" w:type="dxa"/>
            <w:vAlign w:val="bottom"/>
            <w:gridSpan w:val="2"/>
          </w:tcPr>
          <w:p>
            <w:pPr>
              <w:spacing w:after="0"/>
              <w:rPr>
                <w:sz w:val="20"/>
                <w:szCs w:val="20"/>
                <w:color w:val="auto"/>
              </w:rPr>
            </w:pPr>
            <w:r>
              <w:rPr>
                <w:rFonts w:ascii="Arial" w:cs="Arial" w:eastAsia="Arial" w:hAnsi="Arial"/>
                <w:sz w:val="12"/>
                <w:szCs w:val="12"/>
                <w:color w:val="auto"/>
              </w:rPr>
              <w:t>Total of reportable segments</w:t>
            </w:r>
          </w:p>
        </w:tc>
        <w:tc>
          <w:tcPr>
            <w:tcW w:w="440" w:type="dxa"/>
            <w:vAlign w:val="bottom"/>
            <w:tcBorders>
              <w:bottom w:val="single" w:sz="8" w:color="auto"/>
            </w:tcBorders>
          </w:tcPr>
          <w:p>
            <w:pPr>
              <w:jc w:val="right"/>
              <w:ind w:right="330"/>
              <w:spacing w:after="0"/>
              <w:rPr>
                <w:sz w:val="20"/>
                <w:szCs w:val="20"/>
                <w:color w:val="auto"/>
              </w:rPr>
            </w:pPr>
            <w:r>
              <w:rPr>
                <w:rFonts w:ascii="Arial" w:cs="Arial" w:eastAsia="Arial" w:hAnsi="Arial"/>
                <w:sz w:val="10"/>
                <w:szCs w:val="10"/>
                <w:color w:val="auto"/>
                <w:w w:val="71"/>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4,592,937</w:t>
            </w:r>
          </w:p>
        </w:tc>
        <w:tc>
          <w:tcPr>
            <w:tcW w:w="280" w:type="dxa"/>
            <w:vAlign w:val="bottom"/>
          </w:tcPr>
          <w:p>
            <w:pPr>
              <w:spacing w:after="0"/>
              <w:rPr>
                <w:sz w:val="12"/>
                <w:szCs w:val="12"/>
                <w:color w:val="auto"/>
              </w:rPr>
            </w:pPr>
          </w:p>
        </w:tc>
        <w:tc>
          <w:tcPr>
            <w:tcW w:w="480" w:type="dxa"/>
            <w:vAlign w:val="bottom"/>
            <w:tcBorders>
              <w:bottom w:val="single" w:sz="8" w:color="auto"/>
            </w:tcBorders>
          </w:tcPr>
          <w:p>
            <w:pPr>
              <w:jc w:val="right"/>
              <w:ind w:right="370"/>
              <w:spacing w:after="0"/>
              <w:rPr>
                <w:sz w:val="20"/>
                <w:szCs w:val="20"/>
                <w:color w:val="auto"/>
              </w:rPr>
            </w:pPr>
            <w:r>
              <w:rPr>
                <w:rFonts w:ascii="Arial" w:cs="Arial" w:eastAsia="Arial" w:hAnsi="Arial"/>
                <w:sz w:val="10"/>
                <w:szCs w:val="10"/>
                <w:color w:val="auto"/>
                <w:w w:val="71"/>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4,330,082</w:t>
            </w:r>
          </w:p>
        </w:tc>
        <w:tc>
          <w:tcPr>
            <w:tcW w:w="120" w:type="dxa"/>
            <w:vAlign w:val="bottom"/>
          </w:tcPr>
          <w:p>
            <w:pPr>
              <w:spacing w:after="0"/>
              <w:rPr>
                <w:sz w:val="12"/>
                <w:szCs w:val="12"/>
                <w:color w:val="auto"/>
              </w:rPr>
            </w:pPr>
          </w:p>
        </w:tc>
      </w:tr>
    </w:tbl>
    <w:p>
      <w:pPr>
        <w:spacing w:after="0" w:line="126" w:lineRule="exact"/>
        <w:rPr>
          <w:sz w:val="20"/>
          <w:szCs w:val="20"/>
          <w:color w:val="auto"/>
        </w:rPr>
      </w:pPr>
    </w:p>
    <w:p>
      <w:pPr>
        <w:jc w:val="both"/>
        <w:ind w:right="40"/>
        <w:spacing w:after="0" w:line="276" w:lineRule="auto"/>
        <w:rPr>
          <w:sz w:val="20"/>
          <w:szCs w:val="20"/>
          <w:color w:val="auto"/>
        </w:rPr>
      </w:pPr>
      <w:r>
        <w:rPr>
          <w:rFonts w:ascii="Arial" w:cs="Arial" w:eastAsia="Arial" w:hAnsi="Arial"/>
          <w:sz w:val="12"/>
          <w:szCs w:val="12"/>
          <w:color w:val="auto"/>
        </w:rPr>
        <w:t>Our principal geographical regions consist of the United States and Latin America, which includes Mexico, Colombia and Nicaragua. Summarized geographical information related to the Company’s revenues for the years ended December 31, 2018, 2017 and 2016 is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8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440" w:type="dxa"/>
            <w:vAlign w:val="bottom"/>
            <w:tcBorders>
              <w:bottom w:val="single" w:sz="8" w:color="auto"/>
            </w:tcBorders>
            <w:gridSpan w:val="2"/>
          </w:tcPr>
          <w:p>
            <w:pPr>
              <w:jc w:val="right"/>
              <w:ind w:right="260"/>
              <w:spacing w:after="0"/>
              <w:rPr>
                <w:sz w:val="20"/>
                <w:szCs w:val="20"/>
                <w:color w:val="auto"/>
              </w:rPr>
            </w:pPr>
            <w:r>
              <w:rPr>
                <w:rFonts w:ascii="Arial" w:cs="Arial" w:eastAsia="Arial" w:hAnsi="Arial"/>
                <w:sz w:val="10"/>
                <w:szCs w:val="10"/>
                <w:b w:val="1"/>
                <w:bCs w:val="1"/>
                <w:color w:val="auto"/>
                <w:w w:val="94"/>
              </w:rPr>
              <w:t>Year Ended December 31,</w:t>
            </w:r>
          </w:p>
        </w:tc>
        <w:tc>
          <w:tcPr>
            <w:tcW w:w="1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r>
      <w:tr>
        <w:trPr>
          <w:trHeight w:val="151"/>
        </w:trPr>
        <w:tc>
          <w:tcPr>
            <w:tcW w:w="582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80" w:type="dxa"/>
            <w:vAlign w:val="bottom"/>
            <w:tcBorders>
              <w:bottom w:val="single" w:sz="8" w:color="CFF0FC"/>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403"/>
              <w:spacing w:after="0"/>
              <w:rPr>
                <w:sz w:val="20"/>
                <w:szCs w:val="20"/>
                <w:color w:val="auto"/>
              </w:rPr>
            </w:pPr>
            <w:r>
              <w:rPr>
                <w:rFonts w:ascii="Arial" w:cs="Arial" w:eastAsia="Arial" w:hAnsi="Arial"/>
                <w:sz w:val="10"/>
                <w:szCs w:val="10"/>
                <w:b w:val="1"/>
                <w:bCs w:val="1"/>
                <w:color w:val="auto"/>
              </w:rPr>
              <w:t>2018</w:t>
            </w:r>
          </w:p>
        </w:tc>
        <w:tc>
          <w:tcPr>
            <w:tcW w:w="200" w:type="dxa"/>
            <w:vAlign w:val="bottom"/>
            <w:tcBorders>
              <w:bottom w:val="single" w:sz="8" w:color="auto"/>
            </w:tcBorders>
          </w:tcPr>
          <w:p>
            <w:pPr>
              <w:spacing w:after="0"/>
              <w:rPr>
                <w:sz w:val="13"/>
                <w:szCs w:val="13"/>
                <w:color w:val="auto"/>
              </w:rPr>
            </w:pPr>
          </w:p>
        </w:tc>
        <w:tc>
          <w:tcPr>
            <w:tcW w:w="280" w:type="dxa"/>
            <w:vAlign w:val="bottom"/>
            <w:tcBorders>
              <w:bottom w:val="single" w:sz="8" w:color="CFF0FC"/>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445"/>
              <w:spacing w:after="0"/>
              <w:rPr>
                <w:sz w:val="20"/>
                <w:szCs w:val="20"/>
                <w:color w:val="auto"/>
              </w:rPr>
            </w:pPr>
            <w:r>
              <w:rPr>
                <w:rFonts w:ascii="Arial" w:cs="Arial" w:eastAsia="Arial" w:hAnsi="Arial"/>
                <w:sz w:val="10"/>
                <w:szCs w:val="10"/>
                <w:b w:val="1"/>
                <w:bCs w:val="1"/>
                <w:color w:val="auto"/>
              </w:rPr>
              <w:t>2017</w:t>
            </w: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03"/>
              <w:spacing w:after="0"/>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13"/>
                <w:szCs w:val="13"/>
                <w:color w:val="auto"/>
              </w:rPr>
            </w:pPr>
          </w:p>
        </w:tc>
      </w:tr>
      <w:tr>
        <w:trPr>
          <w:trHeight w:val="151"/>
        </w:trPr>
        <w:tc>
          <w:tcPr>
            <w:tcW w:w="6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United States revenues</w:t>
            </w:r>
          </w:p>
        </w:tc>
        <w:tc>
          <w:tcPr>
            <w:tcW w:w="520" w:type="dxa"/>
            <w:vAlign w:val="bottom"/>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1,008,224</w:t>
            </w:r>
          </w:p>
        </w:tc>
        <w:tc>
          <w:tcPr>
            <w:tcW w:w="440" w:type="dxa"/>
            <w:vAlign w:val="bottom"/>
            <w:gridSpan w:val="2"/>
            <w:shd w:val="clear" w:color="auto" w:fill="CFF0FC"/>
          </w:tcPr>
          <w:p>
            <w:pPr>
              <w:jc w:val="right"/>
              <w:ind w:right="50"/>
              <w:spacing w:after="0"/>
              <w:rPr>
                <w:sz w:val="20"/>
                <w:szCs w:val="20"/>
                <w:color w:val="auto"/>
              </w:rPr>
            </w:pPr>
            <w:r>
              <w:rPr>
                <w:rFonts w:ascii="Arial" w:cs="Arial" w:eastAsia="Arial" w:hAnsi="Arial"/>
                <w:sz w:val="12"/>
                <w:szCs w:val="12"/>
                <w:color w:val="auto"/>
              </w:rPr>
              <w:t>$</w:t>
            </w:r>
          </w:p>
        </w:tc>
        <w:tc>
          <w:tcPr>
            <w:tcW w:w="144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908,576</w:t>
            </w:r>
          </w:p>
        </w:tc>
        <w:tc>
          <w:tcPr>
            <w:tcW w:w="660" w:type="dxa"/>
            <w:vAlign w:val="bottom"/>
            <w:gridSpan w:val="3"/>
            <w:shd w:val="clear" w:color="auto" w:fill="CFF0FC"/>
          </w:tcPr>
          <w:p>
            <w:pPr>
              <w:jc w:val="right"/>
              <w:ind w:right="270"/>
              <w:spacing w:after="0"/>
              <w:rPr>
                <w:sz w:val="20"/>
                <w:szCs w:val="20"/>
                <w:color w:val="auto"/>
              </w:rPr>
            </w:pPr>
            <w:r>
              <w:rPr>
                <w:rFonts w:ascii="Arial" w:cs="Arial" w:eastAsia="Arial" w:hAnsi="Arial"/>
                <w:sz w:val="12"/>
                <w:szCs w:val="12"/>
                <w:color w:val="auto"/>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770,351</w:t>
            </w:r>
          </w:p>
        </w:tc>
        <w:tc>
          <w:tcPr>
            <w:tcW w:w="120" w:type="dxa"/>
            <w:vAlign w:val="bottom"/>
            <w:shd w:val="clear" w:color="auto" w:fill="CFF0FC"/>
          </w:tcPr>
          <w:p>
            <w:pPr>
              <w:spacing w:after="0"/>
              <w:rPr>
                <w:sz w:val="13"/>
                <w:szCs w:val="13"/>
                <w:color w:val="auto"/>
              </w:rPr>
            </w:pPr>
          </w:p>
        </w:tc>
      </w:tr>
      <w:tr>
        <w:trPr>
          <w:trHeight w:val="153"/>
        </w:trPr>
        <w:tc>
          <w:tcPr>
            <w:tcW w:w="6000" w:type="dxa"/>
            <w:vAlign w:val="bottom"/>
            <w:tcBorders>
              <w:bottom w:val="single" w:sz="8" w:color="CFF0FC"/>
            </w:tcBorders>
            <w:gridSpan w:val="2"/>
          </w:tcPr>
          <w:p>
            <w:pPr>
              <w:spacing w:after="0"/>
              <w:rPr>
                <w:sz w:val="20"/>
                <w:szCs w:val="20"/>
                <w:color w:val="auto"/>
              </w:rPr>
            </w:pPr>
            <w:r>
              <w:rPr>
                <w:rFonts w:ascii="Arial" w:cs="Arial" w:eastAsia="Arial" w:hAnsi="Arial"/>
                <w:sz w:val="12"/>
                <w:szCs w:val="12"/>
                <w:color w:val="auto"/>
              </w:rPr>
              <w:t>Latin America revenues</w:t>
            </w:r>
          </w:p>
        </w:tc>
        <w:tc>
          <w:tcPr>
            <w:tcW w:w="52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2"/>
                <w:szCs w:val="12"/>
                <w:color w:val="auto"/>
              </w:rPr>
              <w:t>9,410</w:t>
            </w:r>
          </w:p>
        </w:tc>
        <w:tc>
          <w:tcPr>
            <w:tcW w:w="280" w:type="dxa"/>
            <w:vAlign w:val="bottom"/>
            <w:tcBorders>
              <w:bottom w:val="single" w:sz="8" w:color="CFF0FC"/>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4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2"/>
                <w:szCs w:val="12"/>
                <w:color w:val="auto"/>
              </w:rPr>
              <w:t>7,456</w:t>
            </w:r>
          </w:p>
        </w:tc>
        <w:tc>
          <w:tcPr>
            <w:tcW w:w="14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57</w:t>
            </w:r>
          </w:p>
        </w:tc>
        <w:tc>
          <w:tcPr>
            <w:tcW w:w="120" w:type="dxa"/>
            <w:vAlign w:val="bottom"/>
            <w:tcBorders>
              <w:bottom w:val="single" w:sz="8" w:color="CFF0FC"/>
            </w:tcBorders>
          </w:tcPr>
          <w:p>
            <w:pPr>
              <w:spacing w:after="0"/>
              <w:rPr>
                <w:sz w:val="13"/>
                <w:szCs w:val="13"/>
                <w:color w:val="auto"/>
              </w:rPr>
            </w:pPr>
          </w:p>
        </w:tc>
      </w:tr>
      <w:tr>
        <w:trPr>
          <w:trHeight w:val="149"/>
        </w:trPr>
        <w:tc>
          <w:tcPr>
            <w:tcW w:w="60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revenues</w:t>
            </w:r>
          </w:p>
        </w:tc>
        <w:tc>
          <w:tcPr>
            <w:tcW w:w="520" w:type="dxa"/>
            <w:vAlign w:val="bottom"/>
            <w:tcBorders>
              <w:bottom w:val="single" w:sz="8" w:color="auto"/>
            </w:tcBorders>
            <w:shd w:val="clear" w:color="auto" w:fill="CFF0FC"/>
          </w:tcPr>
          <w:p>
            <w:pPr>
              <w:jc w:val="right"/>
              <w:ind w:right="410"/>
              <w:spacing w:after="0"/>
              <w:rPr>
                <w:sz w:val="20"/>
                <w:szCs w:val="20"/>
                <w:color w:val="auto"/>
              </w:rPr>
            </w:pPr>
            <w:r>
              <w:rPr>
                <w:rFonts w:ascii="Arial" w:cs="Arial" w:eastAsia="Arial" w:hAnsi="Arial"/>
                <w:sz w:val="10"/>
                <w:szCs w:val="10"/>
                <w:color w:val="auto"/>
                <w:w w:val="71"/>
              </w:rPr>
              <w:t>$</w:t>
            </w:r>
          </w:p>
        </w:tc>
        <w:tc>
          <w:tcPr>
            <w:tcW w:w="108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1,017,634</w:t>
            </w:r>
          </w:p>
        </w:tc>
        <w:tc>
          <w:tcPr>
            <w:tcW w:w="280" w:type="dxa"/>
            <w:vAlign w:val="bottom"/>
            <w:tcBorders>
              <w:bottom w:val="single" w:sz="8" w:color="CFF0FC"/>
            </w:tcBorders>
            <w:shd w:val="clear" w:color="auto" w:fill="CFF0FC"/>
          </w:tcPr>
          <w:p>
            <w:pPr>
              <w:spacing w:after="0"/>
              <w:rPr>
                <w:sz w:val="12"/>
                <w:szCs w:val="12"/>
                <w:color w:val="auto"/>
              </w:rPr>
            </w:pPr>
          </w:p>
        </w:tc>
        <w:tc>
          <w:tcPr>
            <w:tcW w:w="1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0"/>
                <w:szCs w:val="10"/>
                <w:color w:val="auto"/>
                <w:w w:val="71"/>
              </w:rPr>
              <w:t>$</w:t>
            </w:r>
          </w:p>
        </w:tc>
        <w:tc>
          <w:tcPr>
            <w:tcW w:w="144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916,032</w:t>
            </w:r>
          </w:p>
        </w:tc>
        <w:tc>
          <w:tcPr>
            <w:tcW w:w="280" w:type="dxa"/>
            <w:vAlign w:val="bottom"/>
            <w:tcBorders>
              <w:bottom w:val="single" w:sz="8" w:color="CFF0FC"/>
            </w:tcBorders>
            <w:gridSpan w:val="2"/>
            <w:shd w:val="clear" w:color="auto" w:fill="CFF0FC"/>
          </w:tcPr>
          <w:p>
            <w:pPr>
              <w:spacing w:after="0"/>
              <w:rPr>
                <w:sz w:val="12"/>
                <w:szCs w:val="12"/>
                <w:color w:val="auto"/>
              </w:rPr>
            </w:pPr>
          </w:p>
        </w:tc>
        <w:tc>
          <w:tcPr>
            <w:tcW w:w="380" w:type="dxa"/>
            <w:vAlign w:val="bottom"/>
            <w:tcBorders>
              <w:bottom w:val="single" w:sz="8" w:color="auto"/>
            </w:tcBorders>
            <w:shd w:val="clear" w:color="auto" w:fill="CFF0FC"/>
          </w:tcPr>
          <w:p>
            <w:pPr>
              <w:jc w:val="right"/>
              <w:ind w:right="270"/>
              <w:spacing w:after="0"/>
              <w:rPr>
                <w:sz w:val="20"/>
                <w:szCs w:val="20"/>
                <w:color w:val="auto"/>
              </w:rPr>
            </w:pPr>
            <w:r>
              <w:rPr>
                <w:rFonts w:ascii="Arial" w:cs="Arial" w:eastAsia="Arial" w:hAnsi="Arial"/>
                <w:sz w:val="10"/>
                <w:szCs w:val="10"/>
                <w:color w:val="auto"/>
                <w:w w:val="71"/>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770,408</w:t>
            </w:r>
          </w:p>
        </w:tc>
        <w:tc>
          <w:tcPr>
            <w:tcW w:w="120" w:type="dxa"/>
            <w:vAlign w:val="bottom"/>
            <w:tcBorders>
              <w:bottom w:val="single" w:sz="8" w:color="CFF0FC"/>
            </w:tcBorders>
            <w:shd w:val="clear" w:color="auto" w:fill="CFF0FC"/>
          </w:tcPr>
          <w:p>
            <w:pPr>
              <w:spacing w:after="0"/>
              <w:rPr>
                <w:sz w:val="12"/>
                <w:szCs w:val="12"/>
                <w:color w:val="auto"/>
              </w:rPr>
            </w:pPr>
          </w:p>
        </w:tc>
      </w:tr>
      <w:tr>
        <w:trPr>
          <w:trHeight w:val="423"/>
        </w:trPr>
        <w:tc>
          <w:tcPr>
            <w:tcW w:w="6520" w:type="dxa"/>
            <w:vAlign w:val="bottom"/>
            <w:gridSpan w:val="3"/>
          </w:tcPr>
          <w:p>
            <w:pPr>
              <w:spacing w:after="0"/>
              <w:rPr>
                <w:sz w:val="20"/>
                <w:szCs w:val="20"/>
                <w:color w:val="auto"/>
              </w:rPr>
            </w:pPr>
            <w:r>
              <w:rPr>
                <w:rFonts w:ascii="Arial" w:cs="Arial" w:eastAsia="Arial" w:hAnsi="Arial"/>
                <w:sz w:val="12"/>
                <w:szCs w:val="12"/>
                <w:color w:val="auto"/>
                <w:w w:val="93"/>
              </w:rPr>
              <w:t>Summarized geographical information related to the Company’s long-lived assets as of December 31, 2018 and 2017 is as follows:</w:t>
            </w: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06"/>
        </w:trPr>
        <w:tc>
          <w:tcPr>
            <w:tcW w:w="5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5"/>
          </w:tcPr>
          <w:p>
            <w:pPr>
              <w:jc w:val="right"/>
              <w:ind w:right="330"/>
              <w:spacing w:after="0"/>
              <w:rPr>
                <w:sz w:val="20"/>
                <w:szCs w:val="20"/>
                <w:color w:val="auto"/>
              </w:rPr>
            </w:pPr>
            <w:r>
              <w:rPr>
                <w:rFonts w:ascii="Arial" w:cs="Arial" w:eastAsia="Arial" w:hAnsi="Arial"/>
                <w:sz w:val="10"/>
                <w:szCs w:val="10"/>
                <w:b w:val="1"/>
                <w:bCs w:val="1"/>
                <w:color w:val="auto"/>
              </w:rPr>
              <w:t>December 31,</w:t>
            </w:r>
          </w:p>
        </w:tc>
        <w:tc>
          <w:tcPr>
            <w:tcW w:w="12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151"/>
        </w:trPr>
        <w:tc>
          <w:tcPr>
            <w:tcW w:w="6000" w:type="dxa"/>
            <w:vAlign w:val="bottom"/>
            <w:tcBorders>
              <w:bottom w:val="single" w:sz="8" w:color="auto"/>
            </w:tcBorders>
            <w:gridSpan w:val="2"/>
          </w:tcPr>
          <w:p>
            <w:pPr>
              <w:spacing w:after="0"/>
              <w:rPr>
                <w:sz w:val="20"/>
                <w:szCs w:val="20"/>
                <w:color w:val="auto"/>
              </w:rPr>
            </w:pPr>
            <w:r>
              <w:rPr>
                <w:rFonts w:ascii="Arial" w:cs="Arial" w:eastAsia="Arial" w:hAnsi="Arial"/>
                <w:sz w:val="10"/>
                <w:szCs w:val="10"/>
                <w:color w:val="auto"/>
              </w:rPr>
              <w:t>(Thousands)</w:t>
            </w:r>
          </w:p>
        </w:tc>
        <w:tc>
          <w:tcPr>
            <w:tcW w:w="52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20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665"/>
              <w:spacing w:after="0"/>
              <w:rPr>
                <w:sz w:val="20"/>
                <w:szCs w:val="20"/>
                <w:color w:val="auto"/>
              </w:rPr>
            </w:pPr>
            <w:r>
              <w:rPr>
                <w:rFonts w:ascii="Arial" w:cs="Arial" w:eastAsia="Arial" w:hAnsi="Arial"/>
                <w:sz w:val="10"/>
                <w:szCs w:val="10"/>
                <w:b w:val="1"/>
                <w:bCs w:val="1"/>
                <w:color w:val="auto"/>
              </w:rPr>
              <w:t>2018</w:t>
            </w:r>
          </w:p>
        </w:tc>
        <w:tc>
          <w:tcPr>
            <w:tcW w:w="16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63"/>
              <w:spacing w:after="0"/>
              <w:rPr>
                <w:sz w:val="20"/>
                <w:szCs w:val="20"/>
                <w:color w:val="auto"/>
              </w:rPr>
            </w:pPr>
            <w:r>
              <w:rPr>
                <w:rFonts w:ascii="Arial" w:cs="Arial" w:eastAsia="Arial" w:hAnsi="Arial"/>
                <w:sz w:val="10"/>
                <w:szCs w:val="10"/>
                <w:b w:val="1"/>
                <w:bCs w:val="1"/>
                <w:color w:val="auto"/>
              </w:rPr>
              <w:t>2017</w:t>
            </w:r>
          </w:p>
        </w:tc>
        <w:tc>
          <w:tcPr>
            <w:tcW w:w="120" w:type="dxa"/>
            <w:vAlign w:val="bottom"/>
            <w:tcBorders>
              <w:bottom w:val="single" w:sz="8" w:color="CFF0FC"/>
            </w:tcBorders>
          </w:tcPr>
          <w:p>
            <w:pPr>
              <w:spacing w:after="0"/>
              <w:rPr>
                <w:sz w:val="13"/>
                <w:szCs w:val="13"/>
                <w:color w:val="auto"/>
              </w:rPr>
            </w:pPr>
          </w:p>
        </w:tc>
      </w:tr>
      <w:tr>
        <w:trPr>
          <w:trHeight w:val="151"/>
        </w:trPr>
        <w:tc>
          <w:tcPr>
            <w:tcW w:w="60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United States long-lived assets</w:t>
            </w:r>
          </w:p>
        </w:tc>
        <w:tc>
          <w:tcPr>
            <w:tcW w:w="52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80" w:type="dxa"/>
            <w:vAlign w:val="bottom"/>
            <w:shd w:val="clear" w:color="auto" w:fill="CFF0FC"/>
          </w:tcPr>
          <w:p>
            <w:pPr>
              <w:jc w:val="right"/>
              <w:ind w:right="167"/>
              <w:spacing w:after="0"/>
              <w:rPr>
                <w:sz w:val="20"/>
                <w:szCs w:val="20"/>
                <w:color w:val="auto"/>
              </w:rPr>
            </w:pPr>
            <w:r>
              <w:rPr>
                <w:rFonts w:ascii="Arial" w:cs="Arial" w:eastAsia="Arial" w:hAnsi="Arial"/>
                <w:sz w:val="10"/>
                <w:szCs w:val="10"/>
                <w:color w:val="auto"/>
                <w:w w:val="71"/>
              </w:rPr>
              <w:t>$</w:t>
            </w:r>
          </w:p>
        </w:tc>
        <w:tc>
          <w:tcPr>
            <w:tcW w:w="16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3,543,874</w:t>
            </w:r>
          </w:p>
        </w:tc>
        <w:tc>
          <w:tcPr>
            <w:tcW w:w="160" w:type="dxa"/>
            <w:vAlign w:val="bottom"/>
            <w:shd w:val="clear" w:color="auto" w:fill="CFF0FC"/>
          </w:tcPr>
          <w:p>
            <w:pPr>
              <w:spacing w:after="0"/>
              <w:rPr>
                <w:sz w:val="13"/>
                <w:szCs w:val="13"/>
                <w:color w:val="auto"/>
              </w:rPr>
            </w:pPr>
          </w:p>
        </w:tc>
        <w:tc>
          <w:tcPr>
            <w:tcW w:w="280" w:type="dxa"/>
            <w:vAlign w:val="bottom"/>
            <w:gridSpan w:val="2"/>
            <w:shd w:val="clear" w:color="auto" w:fill="CFF0FC"/>
          </w:tcPr>
          <w:p>
            <w:pPr>
              <w:jc w:val="right"/>
              <w:ind w:right="30"/>
              <w:spacing w:after="0"/>
              <w:rPr>
                <w:sz w:val="20"/>
                <w:szCs w:val="20"/>
                <w:color w:val="auto"/>
              </w:rPr>
            </w:pPr>
            <w:r>
              <w:rPr>
                <w:rFonts w:ascii="Arial" w:cs="Arial" w:eastAsia="Arial" w:hAnsi="Arial"/>
                <w:sz w:val="12"/>
                <w:szCs w:val="12"/>
                <w:color w:val="auto"/>
              </w:rPr>
              <w:t>$</w:t>
            </w:r>
          </w:p>
        </w:tc>
        <w:tc>
          <w:tcPr>
            <w:tcW w:w="380" w:type="dxa"/>
            <w:vAlign w:val="bottom"/>
            <w:shd w:val="clear" w:color="auto" w:fill="CFF0FC"/>
          </w:tcPr>
          <w:p>
            <w:pPr>
              <w:spacing w:after="0"/>
              <w:rPr>
                <w:sz w:val="13"/>
                <w:szCs w:val="13"/>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3,382,894</w:t>
            </w:r>
          </w:p>
        </w:tc>
        <w:tc>
          <w:tcPr>
            <w:tcW w:w="120" w:type="dxa"/>
            <w:vAlign w:val="bottom"/>
            <w:shd w:val="clear" w:color="auto" w:fill="CFF0FC"/>
          </w:tcPr>
          <w:p>
            <w:pPr>
              <w:spacing w:after="0"/>
              <w:rPr>
                <w:sz w:val="13"/>
                <w:szCs w:val="13"/>
                <w:color w:val="auto"/>
              </w:rPr>
            </w:pPr>
          </w:p>
        </w:tc>
      </w:tr>
      <w:tr>
        <w:trPr>
          <w:trHeight w:val="153"/>
        </w:trPr>
        <w:tc>
          <w:tcPr>
            <w:tcW w:w="6000" w:type="dxa"/>
            <w:vAlign w:val="bottom"/>
            <w:tcBorders>
              <w:bottom w:val="single" w:sz="8" w:color="CFF0FC"/>
            </w:tcBorders>
            <w:gridSpan w:val="2"/>
          </w:tcPr>
          <w:p>
            <w:pPr>
              <w:spacing w:after="0"/>
              <w:rPr>
                <w:sz w:val="20"/>
                <w:szCs w:val="20"/>
                <w:color w:val="auto"/>
              </w:rPr>
            </w:pPr>
            <w:r>
              <w:rPr>
                <w:rFonts w:ascii="Arial" w:cs="Arial" w:eastAsia="Arial" w:hAnsi="Arial"/>
                <w:sz w:val="12"/>
                <w:szCs w:val="12"/>
                <w:color w:val="auto"/>
              </w:rPr>
              <w:t>Latin America long-lived assets</w:t>
            </w:r>
          </w:p>
        </w:tc>
        <w:tc>
          <w:tcPr>
            <w:tcW w:w="520" w:type="dxa"/>
            <w:vAlign w:val="bottom"/>
            <w:tcBorders>
              <w:bottom w:val="single" w:sz="8" w:color="CFF0FC"/>
            </w:tcBorders>
          </w:tcPr>
          <w:p>
            <w:pPr>
              <w:spacing w:after="0"/>
              <w:rPr>
                <w:sz w:val="13"/>
                <w:szCs w:val="13"/>
                <w:color w:val="auto"/>
              </w:rPr>
            </w:pPr>
          </w:p>
        </w:tc>
        <w:tc>
          <w:tcPr>
            <w:tcW w:w="880" w:type="dxa"/>
            <w:vAlign w:val="bottom"/>
            <w:tcBorders>
              <w:bottom w:val="single" w:sz="8" w:color="CFF0FC"/>
            </w:tcBorders>
          </w:tcPr>
          <w:p>
            <w:pPr>
              <w:spacing w:after="0"/>
              <w:rPr>
                <w:sz w:val="13"/>
                <w:szCs w:val="13"/>
                <w:color w:val="auto"/>
              </w:rPr>
            </w:pPr>
          </w:p>
        </w:tc>
        <w:tc>
          <w:tcPr>
            <w:tcW w:w="20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96,894</w:t>
            </w:r>
          </w:p>
        </w:tc>
        <w:tc>
          <w:tcPr>
            <w:tcW w:w="160" w:type="dxa"/>
            <w:vAlign w:val="bottom"/>
            <w:tcBorders>
              <w:bottom w:val="single" w:sz="8" w:color="CFF0FC"/>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98,352</w:t>
            </w:r>
          </w:p>
        </w:tc>
        <w:tc>
          <w:tcPr>
            <w:tcW w:w="120" w:type="dxa"/>
            <w:vAlign w:val="bottom"/>
            <w:tcBorders>
              <w:bottom w:val="single" w:sz="8" w:color="CFF0FC"/>
            </w:tcBorders>
          </w:tcPr>
          <w:p>
            <w:pPr>
              <w:spacing w:after="0"/>
              <w:rPr>
                <w:sz w:val="13"/>
                <w:szCs w:val="13"/>
                <w:color w:val="auto"/>
              </w:rPr>
            </w:pPr>
          </w:p>
        </w:tc>
      </w:tr>
      <w:tr>
        <w:trPr>
          <w:trHeight w:val="149"/>
        </w:trPr>
        <w:tc>
          <w:tcPr>
            <w:tcW w:w="60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Total long-lived assets</w:t>
            </w:r>
          </w:p>
        </w:tc>
        <w:tc>
          <w:tcPr>
            <w:tcW w:w="520" w:type="dxa"/>
            <w:vAlign w:val="bottom"/>
            <w:tcBorders>
              <w:bottom w:val="single" w:sz="8" w:color="CFF0FC"/>
            </w:tcBorders>
            <w:shd w:val="clear" w:color="auto" w:fill="CFF0FC"/>
          </w:tcPr>
          <w:p>
            <w:pPr>
              <w:spacing w:after="0"/>
              <w:rPr>
                <w:sz w:val="12"/>
                <w:szCs w:val="12"/>
                <w:color w:val="auto"/>
              </w:rPr>
            </w:pPr>
          </w:p>
        </w:tc>
        <w:tc>
          <w:tcPr>
            <w:tcW w:w="880" w:type="dxa"/>
            <w:vAlign w:val="bottom"/>
            <w:tcBorders>
              <w:bottom w:val="single" w:sz="8" w:color="CFF0FC"/>
            </w:tcBorders>
            <w:shd w:val="clear" w:color="auto" w:fill="CFF0FC"/>
          </w:tcPr>
          <w:p>
            <w:pPr>
              <w:spacing w:after="0"/>
              <w:rPr>
                <w:sz w:val="12"/>
                <w:szCs w:val="12"/>
                <w:color w:val="auto"/>
              </w:rPr>
            </w:pPr>
          </w:p>
        </w:tc>
        <w:tc>
          <w:tcPr>
            <w:tcW w:w="200" w:type="dxa"/>
            <w:vAlign w:val="bottom"/>
            <w:tcBorders>
              <w:bottom w:val="single" w:sz="8" w:color="CFF0FC"/>
            </w:tcBorders>
            <w:shd w:val="clear" w:color="auto" w:fill="CFF0FC"/>
          </w:tcPr>
          <w:p>
            <w:pPr>
              <w:spacing w:after="0"/>
              <w:rPr>
                <w:sz w:val="12"/>
                <w:szCs w:val="12"/>
                <w:color w:val="auto"/>
              </w:rPr>
            </w:pPr>
          </w:p>
        </w:tc>
        <w:tc>
          <w:tcPr>
            <w:tcW w:w="28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0"/>
                <w:szCs w:val="10"/>
                <w:color w:val="auto"/>
                <w:w w:val="71"/>
              </w:rPr>
              <w:t>$</w:t>
            </w:r>
          </w:p>
        </w:tc>
        <w:tc>
          <w:tcPr>
            <w:tcW w:w="160" w:type="dxa"/>
            <w:vAlign w:val="bottom"/>
            <w:tcBorders>
              <w:bottom w:val="single" w:sz="8" w:color="auto"/>
            </w:tcBorders>
            <w:shd w:val="clear" w:color="auto" w:fill="CFF0FC"/>
          </w:tcPr>
          <w:p>
            <w:pPr>
              <w:spacing w:after="0"/>
              <w:rPr>
                <w:sz w:val="12"/>
                <w:szCs w:val="12"/>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3,640,768</w:t>
            </w:r>
          </w:p>
        </w:tc>
        <w:tc>
          <w:tcPr>
            <w:tcW w:w="160" w:type="dxa"/>
            <w:vAlign w:val="bottom"/>
            <w:tcBorders>
              <w:bottom w:val="single" w:sz="8" w:color="CFF0FC"/>
            </w:tcBorders>
            <w:shd w:val="clear" w:color="auto" w:fill="CFF0FC"/>
          </w:tcPr>
          <w:p>
            <w:pPr>
              <w:spacing w:after="0"/>
              <w:rPr>
                <w:sz w:val="12"/>
                <w:szCs w:val="12"/>
                <w:color w:val="auto"/>
              </w:rPr>
            </w:pPr>
          </w:p>
        </w:tc>
        <w:tc>
          <w:tcPr>
            <w:tcW w:w="140" w:type="dxa"/>
            <w:vAlign w:val="bottom"/>
            <w:tcBorders>
              <w:bottom w:val="single" w:sz="8" w:color="CFF0FC"/>
            </w:tcBorders>
            <w:shd w:val="clear" w:color="auto" w:fill="CFF0FC"/>
          </w:tcPr>
          <w:p>
            <w:pPr>
              <w:spacing w:after="0"/>
              <w:rPr>
                <w:sz w:val="12"/>
                <w:szCs w:val="12"/>
                <w:color w:val="auto"/>
              </w:rPr>
            </w:pPr>
          </w:p>
        </w:tc>
        <w:tc>
          <w:tcPr>
            <w:tcW w:w="1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0"/>
                <w:szCs w:val="10"/>
                <w:color w:val="auto"/>
                <w:w w:val="71"/>
              </w:rPr>
              <w:t>$</w:t>
            </w:r>
          </w:p>
        </w:tc>
        <w:tc>
          <w:tcPr>
            <w:tcW w:w="380" w:type="dxa"/>
            <w:vAlign w:val="bottom"/>
            <w:tcBorders>
              <w:bottom w:val="single" w:sz="8" w:color="auto"/>
            </w:tcBorders>
            <w:shd w:val="clear" w:color="auto" w:fill="CFF0FC"/>
          </w:tcPr>
          <w:p>
            <w:pPr>
              <w:spacing w:after="0"/>
              <w:rPr>
                <w:sz w:val="12"/>
                <w:szCs w:val="12"/>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3,481,246</w:t>
            </w:r>
          </w:p>
        </w:tc>
        <w:tc>
          <w:tcPr>
            <w:tcW w:w="120" w:type="dxa"/>
            <w:vAlign w:val="bottom"/>
            <w:tcBorders>
              <w:bottom w:val="single" w:sz="8" w:color="CFF0FC"/>
            </w:tcBorders>
            <w:shd w:val="clear" w:color="auto" w:fill="CFF0FC"/>
          </w:tcPr>
          <w:p>
            <w:pPr>
              <w:spacing w:after="0"/>
              <w:rPr>
                <w:sz w:val="12"/>
                <w:szCs w:val="12"/>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15. Commitments and Contingencies</w:t>
      </w:r>
    </w:p>
    <w:p>
      <w:pPr>
        <w:spacing w:after="0" w:line="154" w:lineRule="exact"/>
        <w:rPr>
          <w:sz w:val="20"/>
          <w:szCs w:val="20"/>
          <w:color w:val="auto"/>
        </w:rPr>
      </w:pPr>
    </w:p>
    <w:p>
      <w:pPr>
        <w:ind w:right="480"/>
        <w:spacing w:after="0" w:line="276" w:lineRule="auto"/>
        <w:rPr>
          <w:sz w:val="20"/>
          <w:szCs w:val="20"/>
          <w:color w:val="auto"/>
        </w:rPr>
      </w:pPr>
      <w:r>
        <w:rPr>
          <w:rFonts w:ascii="Arial" w:cs="Arial" w:eastAsia="Arial" w:hAnsi="Arial"/>
          <w:sz w:val="12"/>
          <w:szCs w:val="12"/>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115" w:lineRule="exact"/>
        <w:rPr>
          <w:sz w:val="20"/>
          <w:szCs w:val="20"/>
          <w:color w:val="auto"/>
        </w:rPr>
      </w:pPr>
    </w:p>
    <w:p>
      <w:pPr>
        <w:ind w:right="200"/>
        <w:spacing w:after="0" w:line="323" w:lineRule="auto"/>
        <w:rPr>
          <w:sz w:val="20"/>
          <w:szCs w:val="20"/>
          <w:color w:val="auto"/>
        </w:rPr>
      </w:pPr>
      <w:r>
        <w:rPr>
          <w:rFonts w:ascii="Arial" w:cs="Arial" w:eastAsia="Arial" w:hAnsi="Arial"/>
          <w:sz w:val="11"/>
          <w:szCs w:val="11"/>
          <w:color w:val="auto"/>
        </w:rPr>
        <w:t>We have fiber lease agreements and office space lease agreements under non-cancelable operating leases. Rental expense under operating leases for the years ended December 31, 2018, 2017 and 2016 approximated $28.7 million, $25.2 million and $10.9 million, respectively. Future minimum payments, by year and in the aggregate, under non-cancellable operating leases with initial or remaining lease terms of one year or more, are as follows: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308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2660" w:type="dxa"/>
            <w:vAlign w:val="bottom"/>
            <w:tcBorders>
              <w:bottom w:val="single" w:sz="8" w:color="auto"/>
            </w:tcBorders>
          </w:tcPr>
          <w:p>
            <w:pPr>
              <w:spacing w:after="0"/>
              <w:rPr>
                <w:sz w:val="10"/>
                <w:szCs w:val="10"/>
                <w:color w:val="auto"/>
              </w:rPr>
            </w:pPr>
          </w:p>
        </w:tc>
        <w:tc>
          <w:tcPr>
            <w:tcW w:w="620" w:type="dxa"/>
            <w:vAlign w:val="bottom"/>
            <w:tcBorders>
              <w:bottom w:val="single" w:sz="8" w:color="CFF0FC"/>
            </w:tcBorders>
          </w:tcPr>
          <w:p>
            <w:pPr>
              <w:spacing w:after="0"/>
              <w:rPr>
                <w:sz w:val="10"/>
                <w:szCs w:val="10"/>
                <w:color w:val="auto"/>
              </w:rPr>
            </w:pPr>
          </w:p>
        </w:tc>
        <w:tc>
          <w:tcPr>
            <w:tcW w:w="2360" w:type="dxa"/>
            <w:vAlign w:val="bottom"/>
            <w:tcBorders>
              <w:bottom w:val="single" w:sz="8" w:color="CFF0FC"/>
            </w:tcBorders>
          </w:tcPr>
          <w:p>
            <w:pPr>
              <w:spacing w:after="0"/>
              <w:rPr>
                <w:sz w:val="10"/>
                <w:szCs w:val="10"/>
                <w:color w:val="auto"/>
              </w:rPr>
            </w:pPr>
          </w:p>
        </w:tc>
        <w:tc>
          <w:tcPr>
            <w:tcW w:w="2640" w:type="dxa"/>
            <w:vAlign w:val="bottom"/>
            <w:tcBorders>
              <w:bottom w:val="single" w:sz="8" w:color="CFF0FC"/>
            </w:tcBorders>
          </w:tcPr>
          <w:p>
            <w:pPr>
              <w:spacing w:after="0"/>
              <w:rPr>
                <w:sz w:val="10"/>
                <w:szCs w:val="10"/>
                <w:color w:val="auto"/>
              </w:rPr>
            </w:pPr>
          </w:p>
        </w:tc>
        <w:tc>
          <w:tcPr>
            <w:tcW w:w="120" w:type="dxa"/>
            <w:vAlign w:val="bottom"/>
            <w:tcBorders>
              <w:bottom w:val="single" w:sz="8" w:color="CFF0FC"/>
            </w:tcBorders>
          </w:tcPr>
          <w:p>
            <w:pPr>
              <w:spacing w:after="0"/>
              <w:rPr>
                <w:sz w:val="10"/>
                <w:szCs w:val="10"/>
                <w:color w:val="auto"/>
              </w:rPr>
            </w:pPr>
          </w:p>
        </w:tc>
        <w:tc>
          <w:tcPr>
            <w:tcW w:w="20" w:type="dxa"/>
            <w:vAlign w:val="bottom"/>
          </w:tcPr>
          <w:p>
            <w:pPr>
              <w:spacing w:after="0"/>
              <w:rPr>
                <w:sz w:val="10"/>
                <w:szCs w:val="10"/>
                <w:color w:val="auto"/>
              </w:rPr>
            </w:pPr>
          </w:p>
        </w:tc>
      </w:tr>
      <w:tr>
        <w:trPr>
          <w:trHeight w:val="142"/>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2019</w:t>
            </w:r>
          </w:p>
        </w:tc>
        <w:tc>
          <w:tcPr>
            <w:tcW w:w="5640" w:type="dxa"/>
            <w:vAlign w:val="bottom"/>
            <w:gridSpan w:val="3"/>
            <w:shd w:val="clear" w:color="auto" w:fill="CFF0FC"/>
          </w:tcPr>
          <w:p>
            <w:pPr>
              <w:jc w:val="right"/>
              <w:ind w:right="2300"/>
              <w:spacing w:after="0"/>
              <w:rPr>
                <w:sz w:val="20"/>
                <w:szCs w:val="20"/>
                <w:color w:val="auto"/>
              </w:rPr>
            </w:pPr>
            <w:r>
              <w:rPr>
                <w:rFonts w:ascii="Arial" w:cs="Arial" w:eastAsia="Arial" w:hAnsi="Arial"/>
                <w:sz w:val="12"/>
                <w:szCs w:val="12"/>
                <w:color w:val="auto"/>
              </w:rPr>
              <w:t>$</w:t>
            </w:r>
          </w:p>
        </w:tc>
        <w:tc>
          <w:tcPr>
            <w:tcW w:w="2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10,585</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3080" w:type="dxa"/>
            <w:vAlign w:val="bottom"/>
          </w:tcPr>
          <w:p>
            <w:pPr>
              <w:spacing w:after="0"/>
              <w:rPr>
                <w:sz w:val="20"/>
                <w:szCs w:val="20"/>
                <w:color w:val="auto"/>
              </w:rPr>
            </w:pPr>
            <w:r>
              <w:rPr>
                <w:rFonts w:ascii="Arial" w:cs="Arial" w:eastAsia="Arial" w:hAnsi="Arial"/>
                <w:sz w:val="12"/>
                <w:szCs w:val="12"/>
                <w:color w:val="auto"/>
              </w:rPr>
              <w:t>2020</w:t>
            </w:r>
          </w:p>
        </w:tc>
        <w:tc>
          <w:tcPr>
            <w:tcW w:w="2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360" w:type="dxa"/>
            <w:vAlign w:val="bottom"/>
          </w:tcPr>
          <w:p>
            <w:pPr>
              <w:spacing w:after="0"/>
              <w:rPr>
                <w:sz w:val="13"/>
                <w:szCs w:val="13"/>
                <w:color w:val="auto"/>
              </w:rPr>
            </w:pPr>
          </w:p>
        </w:tc>
        <w:tc>
          <w:tcPr>
            <w:tcW w:w="2640" w:type="dxa"/>
            <w:vAlign w:val="bottom"/>
          </w:tcPr>
          <w:p>
            <w:pPr>
              <w:jc w:val="right"/>
              <w:spacing w:after="0"/>
              <w:rPr>
                <w:sz w:val="20"/>
                <w:szCs w:val="20"/>
                <w:color w:val="auto"/>
              </w:rPr>
            </w:pPr>
            <w:r>
              <w:rPr>
                <w:rFonts w:ascii="Arial" w:cs="Arial" w:eastAsia="Arial" w:hAnsi="Arial"/>
                <w:sz w:val="12"/>
                <w:szCs w:val="12"/>
                <w:color w:val="auto"/>
              </w:rPr>
              <w:t>7,543</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2021</w:t>
            </w:r>
          </w:p>
        </w:tc>
        <w:tc>
          <w:tcPr>
            <w:tcW w:w="266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360" w:type="dxa"/>
            <w:vAlign w:val="bottom"/>
            <w:shd w:val="clear" w:color="auto" w:fill="CFF0FC"/>
          </w:tcPr>
          <w:p>
            <w:pPr>
              <w:spacing w:after="0"/>
              <w:rPr>
                <w:sz w:val="13"/>
                <w:szCs w:val="13"/>
                <w:color w:val="auto"/>
              </w:rPr>
            </w:pPr>
          </w:p>
        </w:tc>
        <w:tc>
          <w:tcPr>
            <w:tcW w:w="2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4,815</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tcPr>
          <w:p>
            <w:pPr>
              <w:spacing w:after="0"/>
              <w:rPr>
                <w:sz w:val="20"/>
                <w:szCs w:val="20"/>
                <w:color w:val="auto"/>
              </w:rPr>
            </w:pPr>
            <w:r>
              <w:rPr>
                <w:rFonts w:ascii="Arial" w:cs="Arial" w:eastAsia="Arial" w:hAnsi="Arial"/>
                <w:sz w:val="12"/>
                <w:szCs w:val="12"/>
                <w:color w:val="auto"/>
              </w:rPr>
              <w:t>2022</w:t>
            </w:r>
          </w:p>
        </w:tc>
        <w:tc>
          <w:tcPr>
            <w:tcW w:w="2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360" w:type="dxa"/>
            <w:vAlign w:val="bottom"/>
          </w:tcPr>
          <w:p>
            <w:pPr>
              <w:spacing w:after="0"/>
              <w:rPr>
                <w:sz w:val="13"/>
                <w:szCs w:val="13"/>
                <w:color w:val="auto"/>
              </w:rPr>
            </w:pPr>
          </w:p>
        </w:tc>
        <w:tc>
          <w:tcPr>
            <w:tcW w:w="2640" w:type="dxa"/>
            <w:vAlign w:val="bottom"/>
          </w:tcPr>
          <w:p>
            <w:pPr>
              <w:jc w:val="right"/>
              <w:spacing w:after="0"/>
              <w:rPr>
                <w:sz w:val="20"/>
                <w:szCs w:val="20"/>
                <w:color w:val="auto"/>
              </w:rPr>
            </w:pPr>
            <w:r>
              <w:rPr>
                <w:rFonts w:ascii="Arial" w:cs="Arial" w:eastAsia="Arial" w:hAnsi="Arial"/>
                <w:sz w:val="12"/>
                <w:szCs w:val="12"/>
                <w:color w:val="auto"/>
              </w:rPr>
              <w:t>3,186</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2023</w:t>
            </w:r>
          </w:p>
        </w:tc>
        <w:tc>
          <w:tcPr>
            <w:tcW w:w="266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360" w:type="dxa"/>
            <w:vAlign w:val="bottom"/>
            <w:shd w:val="clear" w:color="auto" w:fill="CFF0FC"/>
          </w:tcPr>
          <w:p>
            <w:pPr>
              <w:spacing w:after="0"/>
              <w:rPr>
                <w:sz w:val="13"/>
                <w:szCs w:val="13"/>
                <w:color w:val="auto"/>
              </w:rPr>
            </w:pPr>
          </w:p>
        </w:tc>
        <w:tc>
          <w:tcPr>
            <w:tcW w:w="2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2,382</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308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Thereafter</w:t>
            </w:r>
          </w:p>
        </w:tc>
        <w:tc>
          <w:tcPr>
            <w:tcW w:w="2660" w:type="dxa"/>
            <w:vAlign w:val="bottom"/>
            <w:tcBorders>
              <w:bottom w:val="single" w:sz="8" w:color="CFF0FC"/>
            </w:tcBorders>
          </w:tcPr>
          <w:p>
            <w:pPr>
              <w:spacing w:after="0"/>
              <w:rPr>
                <w:sz w:val="13"/>
                <w:szCs w:val="13"/>
                <w:color w:val="auto"/>
              </w:rPr>
            </w:pPr>
          </w:p>
        </w:tc>
        <w:tc>
          <w:tcPr>
            <w:tcW w:w="620" w:type="dxa"/>
            <w:vAlign w:val="bottom"/>
            <w:tcBorders>
              <w:bottom w:val="single" w:sz="8" w:color="CFF0FC"/>
            </w:tcBorders>
          </w:tcPr>
          <w:p>
            <w:pPr>
              <w:spacing w:after="0"/>
              <w:rPr>
                <w:sz w:val="13"/>
                <w:szCs w:val="13"/>
                <w:color w:val="auto"/>
              </w:rPr>
            </w:pPr>
          </w:p>
        </w:tc>
        <w:tc>
          <w:tcPr>
            <w:tcW w:w="2360" w:type="dxa"/>
            <w:vAlign w:val="bottom"/>
            <w:tcBorders>
              <w:bottom w:val="single" w:sz="8" w:color="auto"/>
            </w:tcBorders>
          </w:tcPr>
          <w:p>
            <w:pPr>
              <w:spacing w:after="0"/>
              <w:rPr>
                <w:sz w:val="13"/>
                <w:szCs w:val="13"/>
                <w:color w:val="auto"/>
              </w:rPr>
            </w:pPr>
          </w:p>
        </w:tc>
        <w:tc>
          <w:tcPr>
            <w:tcW w:w="26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15,269</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r>
      <w:tr>
        <w:trPr>
          <w:trHeight w:val="171"/>
        </w:trPr>
        <w:tc>
          <w:tcPr>
            <w:tcW w:w="3080" w:type="dxa"/>
            <w:vAlign w:val="bottom"/>
            <w:shd w:val="clear" w:color="auto" w:fill="CFF0FC"/>
          </w:tcPr>
          <w:p>
            <w:pPr>
              <w:spacing w:after="0"/>
              <w:rPr>
                <w:sz w:val="20"/>
                <w:szCs w:val="20"/>
                <w:color w:val="auto"/>
              </w:rPr>
            </w:pPr>
            <w:r>
              <w:rPr>
                <w:rFonts w:ascii="Arial" w:cs="Arial" w:eastAsia="Arial" w:hAnsi="Arial"/>
                <w:sz w:val="12"/>
                <w:szCs w:val="12"/>
                <w:color w:val="auto"/>
              </w:rPr>
              <w:t>Total</w:t>
            </w:r>
          </w:p>
        </w:tc>
        <w:tc>
          <w:tcPr>
            <w:tcW w:w="5640" w:type="dxa"/>
            <w:vAlign w:val="bottom"/>
            <w:gridSpan w:val="3"/>
            <w:shd w:val="clear" w:color="auto" w:fill="CFF0FC"/>
          </w:tcPr>
          <w:p>
            <w:pPr>
              <w:jc w:val="right"/>
              <w:ind w:right="2300"/>
              <w:spacing w:after="0"/>
              <w:rPr>
                <w:sz w:val="20"/>
                <w:szCs w:val="20"/>
                <w:color w:val="auto"/>
              </w:rPr>
            </w:pPr>
            <w:r>
              <w:rPr>
                <w:rFonts w:ascii="Arial" w:cs="Arial" w:eastAsia="Arial" w:hAnsi="Arial"/>
                <w:sz w:val="12"/>
                <w:szCs w:val="12"/>
                <w:color w:val="auto"/>
              </w:rPr>
              <w:t>$</w:t>
            </w:r>
          </w:p>
        </w:tc>
        <w:tc>
          <w:tcPr>
            <w:tcW w:w="2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43,780</w:t>
            </w: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275"/>
        </w:trPr>
        <w:tc>
          <w:tcPr>
            <w:tcW w:w="3080" w:type="dxa"/>
            <w:vAlign w:val="bottom"/>
            <w:tcBorders>
              <w:top w:val="single" w:sz="8" w:color="CFF0FC"/>
            </w:tcBorders>
          </w:tcPr>
          <w:p>
            <w:pPr>
              <w:spacing w:after="0"/>
              <w:rPr>
                <w:sz w:val="23"/>
                <w:szCs w:val="23"/>
                <w:color w:val="auto"/>
              </w:rPr>
            </w:pPr>
          </w:p>
        </w:tc>
        <w:tc>
          <w:tcPr>
            <w:tcW w:w="3280" w:type="dxa"/>
            <w:vAlign w:val="bottom"/>
            <w:tcBorders>
              <w:top w:val="single" w:sz="8" w:color="CFF0FC"/>
            </w:tcBorders>
            <w:gridSpan w:val="2"/>
          </w:tcPr>
          <w:p>
            <w:pPr>
              <w:jc w:val="right"/>
              <w:ind w:right="560"/>
              <w:spacing w:after="0"/>
              <w:rPr>
                <w:sz w:val="20"/>
                <w:szCs w:val="20"/>
                <w:color w:val="auto"/>
              </w:rPr>
            </w:pPr>
            <w:r>
              <w:rPr>
                <w:rFonts w:ascii="Arial" w:cs="Arial" w:eastAsia="Arial" w:hAnsi="Arial"/>
                <w:sz w:val="12"/>
                <w:szCs w:val="12"/>
                <w:color w:val="auto"/>
              </w:rPr>
              <w:t>97</w:t>
            </w:r>
          </w:p>
        </w:tc>
        <w:tc>
          <w:tcPr>
            <w:tcW w:w="2360" w:type="dxa"/>
            <w:vAlign w:val="bottom"/>
            <w:tcBorders>
              <w:top w:val="single" w:sz="8" w:color="auto"/>
            </w:tcBorders>
          </w:tcPr>
          <w:p>
            <w:pPr>
              <w:spacing w:after="0"/>
              <w:rPr>
                <w:sz w:val="23"/>
                <w:szCs w:val="23"/>
                <w:color w:val="auto"/>
              </w:rPr>
            </w:pPr>
          </w:p>
        </w:tc>
        <w:tc>
          <w:tcPr>
            <w:tcW w:w="2640" w:type="dxa"/>
            <w:vAlign w:val="bottom"/>
            <w:tcBorders>
              <w:top w:val="single" w:sz="8" w:color="auto"/>
            </w:tcBorders>
          </w:tcPr>
          <w:p>
            <w:pPr>
              <w:spacing w:after="0"/>
              <w:rPr>
                <w:sz w:val="23"/>
                <w:szCs w:val="23"/>
                <w:color w:val="auto"/>
              </w:rPr>
            </w:pPr>
          </w:p>
        </w:tc>
        <w:tc>
          <w:tcPr>
            <w:tcW w:w="120" w:type="dxa"/>
            <w:vAlign w:val="bottom"/>
            <w:tcBorders>
              <w:top w:val="single" w:sz="8" w:color="CFF0FC"/>
            </w:tcBorders>
          </w:tcPr>
          <w:p>
            <w:pPr>
              <w:spacing w:after="0"/>
              <w:rPr>
                <w:sz w:val="23"/>
                <w:szCs w:val="23"/>
                <w:color w:val="auto"/>
              </w:rPr>
            </w:pPr>
          </w:p>
        </w:tc>
        <w:tc>
          <w:tcPr>
            <w:tcW w:w="20" w:type="dxa"/>
            <w:vAlign w:val="bottom"/>
          </w:tcPr>
          <w:p>
            <w:pPr>
              <w:spacing w:after="0"/>
              <w:rPr>
                <w:sz w:val="23"/>
                <w:szCs w:val="23"/>
                <w:color w:val="auto"/>
              </w:rPr>
            </w:pPr>
          </w:p>
        </w:tc>
      </w:tr>
      <w:tr>
        <w:trPr>
          <w:trHeight w:val="72"/>
        </w:trPr>
        <w:tc>
          <w:tcPr>
            <w:tcW w:w="3080" w:type="dxa"/>
            <w:vAlign w:val="bottom"/>
            <w:tcBorders>
              <w:bottom w:val="single" w:sz="8" w:color="9A9A9A"/>
            </w:tcBorders>
          </w:tcPr>
          <w:p>
            <w:pPr>
              <w:spacing w:after="0"/>
              <w:rPr>
                <w:sz w:val="6"/>
                <w:szCs w:val="6"/>
                <w:color w:val="auto"/>
              </w:rPr>
            </w:pPr>
          </w:p>
        </w:tc>
        <w:tc>
          <w:tcPr>
            <w:tcW w:w="266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2360" w:type="dxa"/>
            <w:vAlign w:val="bottom"/>
            <w:tcBorders>
              <w:bottom w:val="single" w:sz="8" w:color="9A9A9A"/>
            </w:tcBorders>
          </w:tcPr>
          <w:p>
            <w:pPr>
              <w:spacing w:after="0"/>
              <w:rPr>
                <w:sz w:val="6"/>
                <w:szCs w:val="6"/>
                <w:color w:val="auto"/>
              </w:rPr>
            </w:pPr>
          </w:p>
        </w:tc>
        <w:tc>
          <w:tcPr>
            <w:tcW w:w="26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97" w:name="page98"/>
    <w:bookmarkEnd w:id="9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20"/>
        <w:spacing w:after="0" w:line="283" w:lineRule="auto"/>
        <w:rPr>
          <w:sz w:val="20"/>
          <w:szCs w:val="20"/>
          <w:color w:val="auto"/>
        </w:rPr>
      </w:pPr>
      <w:r>
        <w:rPr>
          <w:rFonts w:ascii="Arial" w:cs="Arial" w:eastAsia="Arial" w:hAnsi="Arial"/>
          <w:sz w:val="11"/>
          <w:szCs w:val="11"/>
          <w:color w:val="auto"/>
        </w:rPr>
        <w:t>Pursuant to the Separation and Distribution Agreement, Windstream has agreed to indemnify us (including our subsidiaries, directors, officers, employees and agents and certain other related parties) for any liability arising from or relating to legal proceedings involving Windstream's telecommunications business prior to the Spin-Off, and, pursuant to the Master Lease, Windstream has agreed to indemnify us for, among other things, any use, misuse, maintenance or repair by Windstream with respect to the Distribution Systems. Windstream is currently a party to various legal actions and administrative proceedings, including various claims arising in the ordinary course of its telecommunications business, which are subject to the indemnities provided to us by Windstream. If Windstream assumes the Separation and Distribution Agreement and or the Master Lease in bankruptcy, it would be obligated to honor all indemnification claims arising under such agreement. If the Separation and Distribution Agreement and or the Master Lease are rejected in Windstream’s bankruptcy, any claims on the applicable indemnity would be treated as unsecured claims, and, if that were to occur, there can be no assurance we would receive any related indemnification payments from Windstream in connection with the applicable indemnity claims.</w:t>
      </w:r>
    </w:p>
    <w:p>
      <w:pPr>
        <w:spacing w:after="0" w:line="114" w:lineRule="exact"/>
        <w:rPr>
          <w:sz w:val="20"/>
          <w:szCs w:val="20"/>
          <w:color w:val="auto"/>
        </w:rPr>
      </w:pPr>
    </w:p>
    <w:p>
      <w:pPr>
        <w:ind w:right="160"/>
        <w:spacing w:after="0" w:line="257" w:lineRule="auto"/>
        <w:rPr>
          <w:sz w:val="20"/>
          <w:szCs w:val="20"/>
          <w:color w:val="auto"/>
        </w:rPr>
      </w:pPr>
      <w:r>
        <w:rPr>
          <w:rFonts w:ascii="Arial" w:cs="Arial" w:eastAsia="Arial" w:hAnsi="Arial"/>
          <w:sz w:val="12"/>
          <w:szCs w:val="12"/>
          <w:color w:val="auto"/>
        </w:rPr>
        <w:t>Under the terms of the Tax Matters Agreement entered into with Windstream, we are generally responsible for any taxes imposed on Windstream that arise from the failure of the Spin-Off and the debt exchanges to qualify as tax-free for U.S. federal income tax purposes, within the meaning of Section 355 and Section 368(a)(1)(D) of the Code, as applicable, to the extent such failure to qualify is attributable to certain actions, events or transactions relating to our stock, indebtedness, assets or business, or a breach of the relevant representations or any covenants made by us in the Tax Matters Agreement, the materials submitted to the IRS in connection with the request for the private letter ruling or the representations provided in connection with the tax opinion. We believe that the probability of us incurring obligations under the Tax Matters Agreement are remote; and therefore, have recorded no such liabilities in our consolidated balance sheet.</w:t>
      </w:r>
    </w:p>
    <w:p>
      <w:pPr>
        <w:spacing w:after="0" w:line="122"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16. Accumulated Other Comprehensive Income</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Changes in accumulated other comprehensive income (loss) by component is as follows for the years ended December 31, 2018, 2017 and 2016:</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626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6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580"/>
              <w:spacing w:after="0"/>
              <w:rPr>
                <w:sz w:val="20"/>
                <w:szCs w:val="20"/>
                <w:color w:val="auto"/>
              </w:rPr>
            </w:pPr>
            <w:r>
              <w:rPr>
                <w:rFonts w:ascii="Arial" w:cs="Arial" w:eastAsia="Arial" w:hAnsi="Arial"/>
                <w:sz w:val="12"/>
                <w:szCs w:val="12"/>
                <w:color w:val="auto"/>
              </w:rPr>
              <w:t>2018</w:t>
            </w:r>
          </w:p>
        </w:tc>
        <w:tc>
          <w:tcPr>
            <w:tcW w:w="24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560"/>
              <w:spacing w:after="0"/>
              <w:rPr>
                <w:sz w:val="20"/>
                <w:szCs w:val="20"/>
                <w:color w:val="auto"/>
              </w:rPr>
            </w:pPr>
            <w:r>
              <w:rPr>
                <w:rFonts w:ascii="Arial" w:cs="Arial" w:eastAsia="Arial" w:hAnsi="Arial"/>
                <w:sz w:val="12"/>
                <w:szCs w:val="12"/>
                <w:color w:val="auto"/>
              </w:rPr>
              <w:t>2017</w:t>
            </w:r>
          </w:p>
        </w:tc>
        <w:tc>
          <w:tcPr>
            <w:tcW w:w="26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560"/>
              <w:spacing w:after="0"/>
              <w:rPr>
                <w:sz w:val="20"/>
                <w:szCs w:val="20"/>
                <w:color w:val="auto"/>
              </w:rPr>
            </w:pPr>
            <w:r>
              <w:rPr>
                <w:rFonts w:ascii="Arial" w:cs="Arial" w:eastAsia="Arial" w:hAnsi="Arial"/>
                <w:sz w:val="12"/>
                <w:szCs w:val="12"/>
                <w:color w:val="auto"/>
              </w:rPr>
              <w:t>2016</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6260" w:type="dxa"/>
            <w:vAlign w:val="bottom"/>
            <w:shd w:val="clear" w:color="auto" w:fill="CFF0FC"/>
          </w:tcPr>
          <w:p>
            <w:pPr>
              <w:spacing w:after="0"/>
              <w:rPr>
                <w:sz w:val="20"/>
                <w:szCs w:val="20"/>
                <w:color w:val="auto"/>
              </w:rPr>
            </w:pPr>
            <w:r>
              <w:rPr>
                <w:rFonts w:ascii="Arial" w:cs="Arial" w:eastAsia="Arial" w:hAnsi="Arial"/>
                <w:sz w:val="12"/>
                <w:szCs w:val="12"/>
                <w:color w:val="auto"/>
              </w:rPr>
              <w:t>Cash flow hedge changes in fair value gain (loss):</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260" w:type="dxa"/>
            <w:vAlign w:val="bottom"/>
          </w:tcPr>
          <w:p>
            <w:pPr>
              <w:ind w:left="160"/>
              <w:spacing w:after="0"/>
              <w:rPr>
                <w:sz w:val="20"/>
                <w:szCs w:val="20"/>
                <w:color w:val="auto"/>
              </w:rPr>
            </w:pPr>
            <w:r>
              <w:rPr>
                <w:rFonts w:ascii="Arial" w:cs="Arial" w:eastAsia="Arial" w:hAnsi="Arial"/>
                <w:sz w:val="12"/>
                <w:szCs w:val="12"/>
                <w:color w:val="auto"/>
              </w:rPr>
              <w:t>Balance at beginning of period</w:t>
            </w:r>
          </w:p>
        </w:tc>
        <w:tc>
          <w:tcPr>
            <w:tcW w:w="50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140" w:type="dxa"/>
            <w:vAlign w:val="bottom"/>
          </w:tcPr>
          <w:p>
            <w:pPr>
              <w:jc w:val="right"/>
              <w:spacing w:after="0"/>
              <w:rPr>
                <w:sz w:val="20"/>
                <w:szCs w:val="20"/>
                <w:color w:val="auto"/>
              </w:rPr>
            </w:pPr>
            <w:r>
              <w:rPr>
                <w:rFonts w:ascii="Arial" w:cs="Arial" w:eastAsia="Arial" w:hAnsi="Arial"/>
                <w:sz w:val="12"/>
                <w:szCs w:val="12"/>
                <w:color w:val="auto"/>
              </w:rPr>
              <w:t>6,351</w:t>
            </w:r>
          </w:p>
        </w:tc>
        <w:tc>
          <w:tcPr>
            <w:tcW w:w="240" w:type="dxa"/>
            <w:vAlign w:val="bottom"/>
          </w:tcPr>
          <w:p>
            <w:pPr>
              <w:spacing w:after="0"/>
              <w:rPr>
                <w:sz w:val="14"/>
                <w:szCs w:val="14"/>
                <w:color w:val="auto"/>
              </w:rPr>
            </w:pP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400" w:type="dxa"/>
            <w:vAlign w:val="bottom"/>
            <w:gridSpan w:val="2"/>
          </w:tcPr>
          <w:p>
            <w:pPr>
              <w:jc w:val="right"/>
              <w:ind w:right="220"/>
              <w:spacing w:after="0"/>
              <w:rPr>
                <w:sz w:val="20"/>
                <w:szCs w:val="20"/>
                <w:color w:val="auto"/>
              </w:rPr>
            </w:pPr>
            <w:r>
              <w:rPr>
                <w:rFonts w:ascii="Arial" w:cs="Arial" w:eastAsia="Arial" w:hAnsi="Arial"/>
                <w:sz w:val="12"/>
                <w:szCs w:val="12"/>
                <w:color w:val="auto"/>
              </w:rPr>
              <w:t>(6,102)</w:t>
            </w: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260" w:type="dxa"/>
            <w:vAlign w:val="bottom"/>
            <w:gridSpan w:val="2"/>
          </w:tcPr>
          <w:p>
            <w:pPr>
              <w:jc w:val="right"/>
              <w:ind w:right="80"/>
              <w:spacing w:after="0"/>
              <w:rPr>
                <w:sz w:val="20"/>
                <w:szCs w:val="20"/>
                <w:color w:val="auto"/>
              </w:rPr>
            </w:pPr>
            <w:r>
              <w:rPr>
                <w:rFonts w:ascii="Arial" w:cs="Arial" w:eastAsia="Arial" w:hAnsi="Arial"/>
                <w:sz w:val="12"/>
                <w:szCs w:val="12"/>
                <w:color w:val="auto"/>
              </w:rPr>
              <w:t>(5,427)</w:t>
            </w:r>
          </w:p>
        </w:tc>
        <w:tc>
          <w:tcPr>
            <w:tcW w:w="0" w:type="dxa"/>
            <w:vAlign w:val="bottom"/>
          </w:tcPr>
          <w:p>
            <w:pPr>
              <w:spacing w:after="0"/>
              <w:rPr>
                <w:sz w:val="1"/>
                <w:szCs w:val="1"/>
                <w:color w:val="auto"/>
              </w:rPr>
            </w:pPr>
          </w:p>
        </w:tc>
      </w:tr>
      <w:tr>
        <w:trPr>
          <w:trHeight w:val="162"/>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Other comprehensive income (loss) before reclassifications</w:t>
            </w:r>
          </w:p>
        </w:tc>
        <w:tc>
          <w:tcPr>
            <w:tcW w:w="16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21,626</w:t>
            </w:r>
          </w:p>
        </w:tc>
        <w:tc>
          <w:tcPr>
            <w:tcW w:w="24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(7,735)</w:t>
            </w:r>
          </w:p>
        </w:tc>
        <w:tc>
          <w:tcPr>
            <w:tcW w:w="340" w:type="dxa"/>
            <w:vAlign w:val="bottom"/>
            <w:shd w:val="clear" w:color="auto" w:fill="CFF0FC"/>
          </w:tcPr>
          <w:p>
            <w:pPr>
              <w:spacing w:after="0"/>
              <w:rPr>
                <w:sz w:val="14"/>
                <w:szCs w:val="14"/>
                <w:color w:val="auto"/>
              </w:rPr>
            </w:pP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(24,465)</w:t>
            </w:r>
          </w:p>
        </w:tc>
        <w:tc>
          <w:tcPr>
            <w:tcW w:w="0" w:type="dxa"/>
            <w:vAlign w:val="bottom"/>
          </w:tcPr>
          <w:p>
            <w:pPr>
              <w:spacing w:after="0"/>
              <w:rPr>
                <w:sz w:val="1"/>
                <w:szCs w:val="1"/>
                <w:color w:val="auto"/>
              </w:rPr>
            </w:pPr>
          </w:p>
        </w:tc>
      </w:tr>
      <w:tr>
        <w:trPr>
          <w:trHeight w:val="162"/>
        </w:trPr>
        <w:tc>
          <w:tcPr>
            <w:tcW w:w="6260" w:type="dxa"/>
            <w:vAlign w:val="bottom"/>
            <w:tcBorders>
              <w:bottom w:val="single" w:sz="8" w:color="CFF0FC"/>
            </w:tcBorders>
          </w:tcPr>
          <w:p>
            <w:pPr>
              <w:ind w:left="160"/>
              <w:spacing w:after="0"/>
              <w:rPr>
                <w:sz w:val="20"/>
                <w:szCs w:val="20"/>
                <w:color w:val="auto"/>
              </w:rPr>
            </w:pPr>
            <w:r>
              <w:rPr>
                <w:rFonts w:ascii="Arial" w:cs="Arial" w:eastAsia="Arial" w:hAnsi="Arial"/>
                <w:sz w:val="12"/>
                <w:szCs w:val="12"/>
                <w:color w:val="auto"/>
              </w:rPr>
              <w:t>Amounts reclassified from accumulated other comprehensive income</w:t>
            </w:r>
          </w:p>
        </w:tc>
        <w:tc>
          <w:tcPr>
            <w:tcW w:w="16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2,624</w:t>
            </w:r>
          </w:p>
        </w:tc>
        <w:tc>
          <w:tcPr>
            <w:tcW w:w="24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20,630</w:t>
            </w:r>
          </w:p>
        </w:tc>
        <w:tc>
          <w:tcPr>
            <w:tcW w:w="26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23,790</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Net other comprehensive income (loss)</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30,601</w:t>
            </w:r>
          </w:p>
        </w:tc>
        <w:tc>
          <w:tcPr>
            <w:tcW w:w="2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6,793</w:t>
            </w:r>
          </w:p>
        </w:tc>
        <w:tc>
          <w:tcPr>
            <w:tcW w:w="2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(6,102)</w:t>
            </w:r>
          </w:p>
        </w:tc>
        <w:tc>
          <w:tcPr>
            <w:tcW w:w="0" w:type="dxa"/>
            <w:vAlign w:val="bottom"/>
          </w:tcPr>
          <w:p>
            <w:pPr>
              <w:spacing w:after="0"/>
              <w:rPr>
                <w:sz w:val="1"/>
                <w:szCs w:val="1"/>
                <w:color w:val="auto"/>
              </w:rPr>
            </w:pPr>
          </w:p>
        </w:tc>
      </w:tr>
      <w:tr>
        <w:trPr>
          <w:trHeight w:val="162"/>
        </w:trPr>
        <w:tc>
          <w:tcPr>
            <w:tcW w:w="6260" w:type="dxa"/>
            <w:vAlign w:val="bottom"/>
            <w:tcBorders>
              <w:bottom w:val="single" w:sz="8" w:color="CFF0FC"/>
            </w:tcBorders>
          </w:tcPr>
          <w:p>
            <w:pPr>
              <w:ind w:left="160"/>
              <w:spacing w:after="0"/>
              <w:rPr>
                <w:sz w:val="20"/>
                <w:szCs w:val="20"/>
                <w:color w:val="auto"/>
              </w:rPr>
            </w:pPr>
            <w:r>
              <w:rPr>
                <w:rFonts w:ascii="Arial" w:cs="Arial" w:eastAsia="Arial" w:hAnsi="Arial"/>
                <w:sz w:val="12"/>
                <w:szCs w:val="12"/>
                <w:color w:val="auto"/>
              </w:rPr>
              <w:t>Less: Other comprehensive income attributable to noncontrolling interest</w:t>
            </w:r>
          </w:p>
        </w:tc>
        <w:tc>
          <w:tcPr>
            <w:tcW w:w="16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559</w:t>
            </w:r>
          </w:p>
        </w:tc>
        <w:tc>
          <w:tcPr>
            <w:tcW w:w="24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442</w:t>
            </w:r>
          </w:p>
        </w:tc>
        <w:tc>
          <w:tcPr>
            <w:tcW w:w="26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Balance at end of period</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30,042</w:t>
            </w:r>
          </w:p>
        </w:tc>
        <w:tc>
          <w:tcPr>
            <w:tcW w:w="2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6,351</w:t>
            </w:r>
          </w:p>
        </w:tc>
        <w:tc>
          <w:tcPr>
            <w:tcW w:w="2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(6,102)</w:t>
            </w:r>
          </w:p>
        </w:tc>
        <w:tc>
          <w:tcPr>
            <w:tcW w:w="0" w:type="dxa"/>
            <w:vAlign w:val="bottom"/>
          </w:tcPr>
          <w:p>
            <w:pPr>
              <w:spacing w:after="0"/>
              <w:rPr>
                <w:sz w:val="1"/>
                <w:szCs w:val="1"/>
                <w:color w:val="auto"/>
              </w:rPr>
            </w:pPr>
          </w:p>
        </w:tc>
      </w:tr>
      <w:tr>
        <w:trPr>
          <w:trHeight w:val="151"/>
        </w:trPr>
        <w:tc>
          <w:tcPr>
            <w:tcW w:w="6260" w:type="dxa"/>
            <w:vAlign w:val="bottom"/>
          </w:tcPr>
          <w:p>
            <w:pPr>
              <w:spacing w:after="0"/>
              <w:rPr>
                <w:sz w:val="20"/>
                <w:szCs w:val="20"/>
                <w:color w:val="auto"/>
              </w:rPr>
            </w:pPr>
            <w:r>
              <w:rPr>
                <w:rFonts w:ascii="Arial" w:cs="Arial" w:eastAsia="Arial" w:hAnsi="Arial"/>
                <w:sz w:val="12"/>
                <w:szCs w:val="12"/>
                <w:color w:val="auto"/>
              </w:rPr>
              <w:t>Foreign currency translation gain (loss):</w:t>
            </w:r>
          </w:p>
        </w:tc>
        <w:tc>
          <w:tcPr>
            <w:tcW w:w="160" w:type="dxa"/>
            <w:vAlign w:val="bottom"/>
          </w:tcPr>
          <w:p>
            <w:pPr>
              <w:spacing w:after="0"/>
              <w:rPr>
                <w:sz w:val="13"/>
                <w:szCs w:val="13"/>
                <w:color w:val="auto"/>
              </w:rPr>
            </w:pPr>
          </w:p>
        </w:tc>
        <w:tc>
          <w:tcPr>
            <w:tcW w:w="34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Balance at beginning of period</w:t>
            </w:r>
          </w:p>
        </w:tc>
        <w:tc>
          <w:tcPr>
            <w:tcW w:w="16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1,470</w:t>
            </w:r>
          </w:p>
        </w:tc>
        <w:tc>
          <w:tcPr>
            <w:tcW w:w="24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(267)</w:t>
            </w:r>
          </w:p>
        </w:tc>
        <w:tc>
          <w:tcPr>
            <w:tcW w:w="340" w:type="dxa"/>
            <w:vAlign w:val="bottom"/>
            <w:shd w:val="clear" w:color="auto" w:fill="CFF0FC"/>
          </w:tcPr>
          <w:p>
            <w:pPr>
              <w:spacing w:after="0"/>
              <w:rPr>
                <w:sz w:val="14"/>
                <w:szCs w:val="14"/>
                <w:color w:val="auto"/>
              </w:rPr>
            </w:pPr>
          </w:p>
        </w:tc>
        <w:tc>
          <w:tcPr>
            <w:tcW w:w="126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2"/>
        </w:trPr>
        <w:tc>
          <w:tcPr>
            <w:tcW w:w="6260" w:type="dxa"/>
            <w:vAlign w:val="bottom"/>
          </w:tcPr>
          <w:p>
            <w:pPr>
              <w:ind w:left="160"/>
              <w:spacing w:after="0"/>
              <w:rPr>
                <w:sz w:val="20"/>
                <w:szCs w:val="20"/>
                <w:color w:val="auto"/>
              </w:rPr>
            </w:pPr>
            <w:r>
              <w:rPr>
                <w:rFonts w:ascii="Arial" w:cs="Arial" w:eastAsia="Arial" w:hAnsi="Arial"/>
                <w:sz w:val="12"/>
                <w:szCs w:val="12"/>
                <w:color w:val="auto"/>
              </w:rPr>
              <w:t>Translation adjustments</w:t>
            </w: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2"/>
                <w:szCs w:val="12"/>
                <w:color w:val="auto"/>
              </w:rPr>
              <w:t>(1,440)</w:t>
            </w:r>
          </w:p>
        </w:tc>
        <w:tc>
          <w:tcPr>
            <w:tcW w:w="34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2"/>
                <w:szCs w:val="12"/>
                <w:color w:val="auto"/>
              </w:rPr>
              <w:t>1,660</w:t>
            </w:r>
          </w:p>
        </w:tc>
        <w:tc>
          <w:tcPr>
            <w:tcW w:w="2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60" w:type="dxa"/>
            <w:vAlign w:val="bottom"/>
            <w:gridSpan w:val="2"/>
          </w:tcPr>
          <w:p>
            <w:pPr>
              <w:jc w:val="right"/>
              <w:ind w:right="80"/>
              <w:spacing w:after="0"/>
              <w:rPr>
                <w:sz w:val="20"/>
                <w:szCs w:val="20"/>
                <w:color w:val="auto"/>
              </w:rPr>
            </w:pPr>
            <w:r>
              <w:rPr>
                <w:rFonts w:ascii="Arial" w:cs="Arial" w:eastAsia="Arial" w:hAnsi="Arial"/>
                <w:sz w:val="12"/>
                <w:szCs w:val="12"/>
                <w:color w:val="auto"/>
              </w:rPr>
              <w:t>(267)</w:t>
            </w:r>
          </w:p>
        </w:tc>
        <w:tc>
          <w:tcPr>
            <w:tcW w:w="0" w:type="dxa"/>
            <w:vAlign w:val="bottom"/>
          </w:tcPr>
          <w:p>
            <w:pPr>
              <w:spacing w:after="0"/>
              <w:rPr>
                <w:sz w:val="1"/>
                <w:szCs w:val="1"/>
                <w:color w:val="auto"/>
              </w:rPr>
            </w:pPr>
          </w:p>
        </w:tc>
      </w:tr>
      <w:tr>
        <w:trPr>
          <w:trHeight w:val="20"/>
        </w:trPr>
        <w:tc>
          <w:tcPr>
            <w:tcW w:w="626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Net other comprehensive income (loss)</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w:t>
            </w:r>
          </w:p>
        </w:tc>
        <w:tc>
          <w:tcPr>
            <w:tcW w:w="2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1,393</w:t>
            </w:r>
          </w:p>
        </w:tc>
        <w:tc>
          <w:tcPr>
            <w:tcW w:w="2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(267)</w:t>
            </w:r>
          </w:p>
        </w:tc>
        <w:tc>
          <w:tcPr>
            <w:tcW w:w="0" w:type="dxa"/>
            <w:vAlign w:val="bottom"/>
          </w:tcPr>
          <w:p>
            <w:pPr>
              <w:spacing w:after="0"/>
              <w:rPr>
                <w:sz w:val="1"/>
                <w:szCs w:val="1"/>
                <w:color w:val="auto"/>
              </w:rPr>
            </w:pPr>
          </w:p>
        </w:tc>
      </w:tr>
      <w:tr>
        <w:trPr>
          <w:trHeight w:val="162"/>
        </w:trPr>
        <w:tc>
          <w:tcPr>
            <w:tcW w:w="6260" w:type="dxa"/>
            <w:vAlign w:val="bottom"/>
          </w:tcPr>
          <w:p>
            <w:pPr>
              <w:ind w:left="160"/>
              <w:spacing w:after="0"/>
              <w:rPr>
                <w:sz w:val="20"/>
                <w:szCs w:val="20"/>
                <w:color w:val="auto"/>
              </w:rPr>
            </w:pPr>
            <w:r>
              <w:rPr>
                <w:rFonts w:ascii="Arial" w:cs="Arial" w:eastAsia="Arial" w:hAnsi="Arial"/>
                <w:sz w:val="12"/>
                <w:szCs w:val="12"/>
                <w:color w:val="auto"/>
              </w:rPr>
              <w:t>Less: Other comprehensive loss attributable to noncontrolling interest</w:t>
            </w: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2"/>
                <w:szCs w:val="12"/>
                <w:color w:val="auto"/>
              </w:rPr>
              <w:t>(33)</w:t>
            </w:r>
          </w:p>
        </w:tc>
        <w:tc>
          <w:tcPr>
            <w:tcW w:w="340" w:type="dxa"/>
            <w:vAlign w:val="bottom"/>
          </w:tcPr>
          <w:p>
            <w:pPr>
              <w:spacing w:after="0"/>
              <w:rPr>
                <w:sz w:val="14"/>
                <w:szCs w:val="14"/>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2"/>
                <w:szCs w:val="12"/>
                <w:color w:val="auto"/>
              </w:rPr>
              <w:t>(77)</w:t>
            </w:r>
          </w:p>
        </w:tc>
        <w:tc>
          <w:tcPr>
            <w:tcW w:w="340" w:type="dxa"/>
            <w:vAlign w:val="bottom"/>
          </w:tcPr>
          <w:p>
            <w:pPr>
              <w:spacing w:after="0"/>
              <w:rPr>
                <w:sz w:val="14"/>
                <w:szCs w:val="14"/>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20"/>
        </w:trPr>
        <w:tc>
          <w:tcPr>
            <w:tcW w:w="626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Balance at end of period</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63</w:t>
            </w:r>
          </w:p>
        </w:tc>
        <w:tc>
          <w:tcPr>
            <w:tcW w:w="24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1,470</w:t>
            </w:r>
          </w:p>
        </w:tc>
        <w:tc>
          <w:tcPr>
            <w:tcW w:w="2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(267)</w:t>
            </w:r>
          </w:p>
        </w:tc>
        <w:tc>
          <w:tcPr>
            <w:tcW w:w="0" w:type="dxa"/>
            <w:vAlign w:val="bottom"/>
          </w:tcPr>
          <w:p>
            <w:pPr>
              <w:spacing w:after="0"/>
              <w:rPr>
                <w:sz w:val="1"/>
                <w:szCs w:val="1"/>
                <w:color w:val="auto"/>
              </w:rPr>
            </w:pPr>
          </w:p>
        </w:tc>
      </w:tr>
      <w:tr>
        <w:trPr>
          <w:trHeight w:val="20"/>
        </w:trPr>
        <w:tc>
          <w:tcPr>
            <w:tcW w:w="6260" w:type="dxa"/>
            <w:vAlign w:val="bottom"/>
            <w:vMerge w:val="restart"/>
          </w:tcPr>
          <w:p>
            <w:pPr>
              <w:spacing w:after="0"/>
              <w:rPr>
                <w:sz w:val="20"/>
                <w:szCs w:val="20"/>
                <w:color w:val="auto"/>
              </w:rPr>
            </w:pPr>
            <w:r>
              <w:rPr>
                <w:rFonts w:ascii="Arial" w:cs="Arial" w:eastAsia="Arial" w:hAnsi="Arial"/>
                <w:sz w:val="12"/>
                <w:szCs w:val="12"/>
                <w:color w:val="auto"/>
              </w:rPr>
              <w:t>Accumulated other comprehensive income (loss) at end of period</w:t>
            </w: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260" w:type="dxa"/>
            <w:vAlign w:val="bottom"/>
            <w:vMerge w:val="continue"/>
          </w:tcPr>
          <w:p>
            <w:pPr>
              <w:spacing w:after="0"/>
              <w:rPr>
                <w:sz w:val="12"/>
                <w:szCs w:val="12"/>
                <w:color w:val="auto"/>
              </w:rPr>
            </w:pPr>
          </w:p>
        </w:tc>
        <w:tc>
          <w:tcPr>
            <w:tcW w:w="50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140" w:type="dxa"/>
            <w:vAlign w:val="bottom"/>
          </w:tcPr>
          <w:p>
            <w:pPr>
              <w:jc w:val="right"/>
              <w:spacing w:after="0"/>
              <w:rPr>
                <w:sz w:val="20"/>
                <w:szCs w:val="20"/>
                <w:color w:val="auto"/>
              </w:rPr>
            </w:pPr>
            <w:r>
              <w:rPr>
                <w:rFonts w:ascii="Arial" w:cs="Arial" w:eastAsia="Arial" w:hAnsi="Arial"/>
                <w:sz w:val="12"/>
                <w:szCs w:val="12"/>
                <w:color w:val="auto"/>
              </w:rPr>
              <w:t>30,105</w:t>
            </w:r>
          </w:p>
        </w:tc>
        <w:tc>
          <w:tcPr>
            <w:tcW w:w="240" w:type="dxa"/>
            <w:vAlign w:val="bottom"/>
          </w:tcPr>
          <w:p>
            <w:pPr>
              <w:spacing w:after="0"/>
              <w:rPr>
                <w:sz w:val="12"/>
                <w:szCs w:val="12"/>
                <w:color w:val="auto"/>
              </w:rPr>
            </w:pP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140" w:type="dxa"/>
            <w:vAlign w:val="bottom"/>
          </w:tcPr>
          <w:p>
            <w:pPr>
              <w:jc w:val="right"/>
              <w:spacing w:after="0"/>
              <w:rPr>
                <w:sz w:val="20"/>
                <w:szCs w:val="20"/>
                <w:color w:val="auto"/>
              </w:rPr>
            </w:pPr>
            <w:r>
              <w:rPr>
                <w:rFonts w:ascii="Arial" w:cs="Arial" w:eastAsia="Arial" w:hAnsi="Arial"/>
                <w:sz w:val="12"/>
                <w:szCs w:val="12"/>
                <w:color w:val="auto"/>
              </w:rPr>
              <w:t>7,821</w:t>
            </w:r>
          </w:p>
        </w:tc>
        <w:tc>
          <w:tcPr>
            <w:tcW w:w="260" w:type="dxa"/>
            <w:vAlign w:val="bottom"/>
          </w:tcPr>
          <w:p>
            <w:pPr>
              <w:spacing w:after="0"/>
              <w:rPr>
                <w:sz w:val="12"/>
                <w:szCs w:val="12"/>
                <w:color w:val="auto"/>
              </w:rPr>
            </w:pPr>
          </w:p>
        </w:tc>
        <w:tc>
          <w:tcPr>
            <w:tcW w:w="340" w:type="dxa"/>
            <w:vAlign w:val="bottom"/>
          </w:tcPr>
          <w:p>
            <w:pPr>
              <w:jc w:val="right"/>
              <w:ind w:right="230"/>
              <w:spacing w:after="0"/>
              <w:rPr>
                <w:sz w:val="20"/>
                <w:szCs w:val="20"/>
                <w:color w:val="auto"/>
              </w:rPr>
            </w:pPr>
            <w:r>
              <w:rPr>
                <w:rFonts w:ascii="Arial" w:cs="Arial" w:eastAsia="Arial" w:hAnsi="Arial"/>
                <w:sz w:val="10"/>
                <w:szCs w:val="10"/>
                <w:color w:val="auto"/>
                <w:w w:val="71"/>
              </w:rPr>
              <w:t>$</w:t>
            </w:r>
          </w:p>
        </w:tc>
        <w:tc>
          <w:tcPr>
            <w:tcW w:w="1260" w:type="dxa"/>
            <w:vAlign w:val="bottom"/>
            <w:gridSpan w:val="2"/>
          </w:tcPr>
          <w:p>
            <w:pPr>
              <w:jc w:val="right"/>
              <w:ind w:right="80"/>
              <w:spacing w:after="0"/>
              <w:rPr>
                <w:sz w:val="20"/>
                <w:szCs w:val="20"/>
                <w:color w:val="auto"/>
              </w:rPr>
            </w:pPr>
            <w:r>
              <w:rPr>
                <w:rFonts w:ascii="Arial" w:cs="Arial" w:eastAsia="Arial" w:hAnsi="Arial"/>
                <w:sz w:val="12"/>
                <w:szCs w:val="12"/>
                <w:color w:val="auto"/>
              </w:rPr>
              <w:t>(6,369)</w:t>
            </w:r>
          </w:p>
        </w:tc>
        <w:tc>
          <w:tcPr>
            <w:tcW w:w="0" w:type="dxa"/>
            <w:vAlign w:val="bottom"/>
          </w:tcPr>
          <w:p>
            <w:pPr>
              <w:spacing w:after="0"/>
              <w:rPr>
                <w:sz w:val="1"/>
                <w:szCs w:val="1"/>
                <w:color w:val="auto"/>
              </w:rPr>
            </w:pPr>
          </w:p>
        </w:tc>
      </w:tr>
      <w:tr>
        <w:trPr>
          <w:trHeight w:val="27"/>
        </w:trPr>
        <w:tc>
          <w:tcPr>
            <w:tcW w:w="6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17. Income Taxes</w:t>
      </w:r>
    </w:p>
    <w:p>
      <w:pPr>
        <w:spacing w:after="0" w:line="154" w:lineRule="exact"/>
        <w:rPr>
          <w:sz w:val="20"/>
          <w:szCs w:val="20"/>
          <w:color w:val="auto"/>
        </w:rPr>
      </w:pPr>
    </w:p>
    <w:p>
      <w:pPr>
        <w:jc w:val="center"/>
        <w:ind w:right="440"/>
        <w:spacing w:after="0"/>
        <w:rPr>
          <w:sz w:val="20"/>
          <w:szCs w:val="20"/>
          <w:color w:val="auto"/>
        </w:rPr>
      </w:pPr>
      <w:r>
        <w:rPr>
          <w:rFonts w:ascii="Arial" w:cs="Arial" w:eastAsia="Arial" w:hAnsi="Arial"/>
          <w:sz w:val="10"/>
          <w:szCs w:val="10"/>
          <w:color w:val="auto"/>
        </w:rPr>
        <w:t>We elected on our initial U.S. federal income tax return to be treated as a REIT under the Internal Revenue Code of 1986, as amended (the “Code”). To qualify as a REIT, we must distribute at least 90% of our annual REIT taxable</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98" w:name="page99"/>
    <w:bookmarkEnd w:id="9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jc w:val="both"/>
        <w:ind w:right="20"/>
        <w:spacing w:after="0" w:line="257" w:lineRule="auto"/>
        <w:rPr>
          <w:sz w:val="20"/>
          <w:szCs w:val="20"/>
          <w:color w:val="auto"/>
        </w:rPr>
      </w:pPr>
      <w:r>
        <w:rPr>
          <w:rFonts w:ascii="Arial" w:cs="Arial" w:eastAsia="Arial" w:hAnsi="Arial"/>
          <w:sz w:val="12"/>
          <w:szCs w:val="12"/>
          <w:color w:val="auto"/>
        </w:rPr>
        <w:t>income to shareholders, and meet certain organizational and operational requirements, including asset holding requirements. As a REIT, we will generally not be subject to U.S. federal income tax on income that we distribute as dividends to our shareholders. If we fail to qualify as a REIT in any taxable year, we will be subject to U.S. federal income tax, including any applicable alternative minimum tax for open taxable years through 2018, on our taxable income at regular corporate income tax rates, and we could not deduct dividends paid to our shareholders in computing taxable income. Any resulting corporate liability could be substantial and could materially and adversely affect our net income and net cash available for distribution to shareholders. Unless we were entitled to relief under certain Code provisions, we also would be disqualified from reelecting to be taxed as a REIT for the four taxable years following the year in which we failed to qualify as a REIT.</w:t>
      </w:r>
    </w:p>
    <w:p>
      <w:pPr>
        <w:spacing w:after="0" w:line="126" w:lineRule="exact"/>
        <w:rPr>
          <w:sz w:val="20"/>
          <w:szCs w:val="20"/>
          <w:color w:val="auto"/>
        </w:rPr>
      </w:pPr>
    </w:p>
    <w:p>
      <w:pPr>
        <w:ind w:right="160"/>
        <w:spacing w:after="0" w:line="259" w:lineRule="auto"/>
        <w:rPr>
          <w:sz w:val="20"/>
          <w:szCs w:val="20"/>
          <w:color w:val="auto"/>
        </w:rPr>
      </w:pPr>
      <w:r>
        <w:rPr>
          <w:rFonts w:ascii="Arial" w:cs="Arial" w:eastAsia="Arial" w:hAnsi="Arial"/>
          <w:sz w:val="12"/>
          <w:szCs w:val="12"/>
          <w:color w:val="auto"/>
        </w:rPr>
        <w:t>Subject to the temporary restriction imposed by the waiver and amendment to our Credit Agreement (see Note 10), our ability to make cash distributions to our shareholders in amounts exceeding 90% of our REIT taxable income, determined without regard to the dividends paid deduction and excluding any capital gains, generally will be restricted. As a result, we may be required to record a provision in our Consolidated Financial Statements for U.S. federal income taxes related to the activities of the REIT and its passthrough subsidiaries for any undistributed income. We are subject to the statutory requirements of the locations in which we conduct business, and state and local income taxes are accrued as deemed required in the best judgment of management based on analysis and interpretation of respective tax laws.</w:t>
      </w:r>
    </w:p>
    <w:p>
      <w:pPr>
        <w:spacing w:after="0" w:line="125"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We have elected to treat the subsidiaries through which we operate Uniti Fiber and Talk America as TRSs. TRSs enable us to engage in activities that result in income that does not constitute qualifying income for a REIT. Our TRSs are subject to U.S. federal, state and local corporate income taxes.</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color w:val="auto"/>
        </w:rPr>
        <w:t>Income tax (benefit) expense for the years ended December 31, 2018, 2017 and 2016 as reported in the accompanying Consolidated Statements of Income was comprised of the following:</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0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6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0"/>
                <w:szCs w:val="10"/>
                <w:b w:val="1"/>
                <w:bCs w:val="1"/>
                <w:color w:val="auto"/>
                <w:w w:val="99"/>
              </w:rPr>
              <w:t>Year Ended December 31,</w:t>
            </w:r>
          </w:p>
        </w:tc>
        <w:tc>
          <w:tcPr>
            <w:tcW w:w="1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504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300" w:type="dxa"/>
            <w:vAlign w:val="bottom"/>
            <w:tcBorders>
              <w:bottom w:val="single" w:sz="8" w:color="CFF0FC"/>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40" w:type="dxa"/>
            <w:vAlign w:val="bottom"/>
            <w:tcBorders>
              <w:bottom w:val="single" w:sz="8" w:color="auto"/>
            </w:tcBorders>
          </w:tcPr>
          <w:p>
            <w:pPr>
              <w:jc w:val="right"/>
              <w:ind w:right="761"/>
              <w:spacing w:after="0"/>
              <w:rPr>
                <w:sz w:val="20"/>
                <w:szCs w:val="20"/>
                <w:color w:val="auto"/>
              </w:rPr>
            </w:pPr>
            <w:r>
              <w:rPr>
                <w:rFonts w:ascii="Arial" w:cs="Arial" w:eastAsia="Arial" w:hAnsi="Arial"/>
                <w:sz w:val="10"/>
                <w:szCs w:val="10"/>
                <w:b w:val="1"/>
                <w:bCs w:val="1"/>
                <w:color w:val="auto"/>
              </w:rPr>
              <w:t>2018</w:t>
            </w:r>
          </w:p>
        </w:tc>
        <w:tc>
          <w:tcPr>
            <w:tcW w:w="14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640" w:type="dxa"/>
            <w:vAlign w:val="bottom"/>
            <w:tcBorders>
              <w:bottom w:val="single" w:sz="8" w:color="auto"/>
            </w:tcBorders>
          </w:tcPr>
          <w:p>
            <w:pPr>
              <w:jc w:val="right"/>
              <w:ind w:right="782"/>
              <w:spacing w:after="0"/>
              <w:rPr>
                <w:sz w:val="20"/>
                <w:szCs w:val="20"/>
                <w:color w:val="auto"/>
              </w:rPr>
            </w:pPr>
            <w:r>
              <w:rPr>
                <w:rFonts w:ascii="Arial" w:cs="Arial" w:eastAsia="Arial" w:hAnsi="Arial"/>
                <w:sz w:val="10"/>
                <w:szCs w:val="10"/>
                <w:b w:val="1"/>
                <w:bCs w:val="1"/>
                <w:color w:val="auto"/>
              </w:rPr>
              <w:t>2017</w:t>
            </w:r>
          </w:p>
        </w:tc>
        <w:tc>
          <w:tcPr>
            <w:tcW w:w="14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00" w:type="dxa"/>
            <w:vAlign w:val="bottom"/>
            <w:tcBorders>
              <w:bottom w:val="single" w:sz="8" w:color="auto"/>
            </w:tcBorders>
          </w:tcPr>
          <w:p>
            <w:pPr>
              <w:jc w:val="right"/>
              <w:ind w:right="761"/>
              <w:spacing w:after="0"/>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34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Current</w:t>
            </w:r>
          </w:p>
        </w:tc>
        <w:tc>
          <w:tcPr>
            <w:tcW w:w="200" w:type="dxa"/>
            <w:vAlign w:val="bottom"/>
            <w:shd w:val="clear" w:color="auto" w:fill="CFF0FC"/>
          </w:tcPr>
          <w:p>
            <w:pPr>
              <w:spacing w:after="0"/>
              <w:rPr>
                <w:sz w:val="12"/>
                <w:szCs w:val="12"/>
                <w:color w:val="auto"/>
              </w:rPr>
            </w:pPr>
          </w:p>
        </w:tc>
        <w:tc>
          <w:tcPr>
            <w:tcW w:w="16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6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40" w:type="dxa"/>
            <w:vAlign w:val="bottom"/>
            <w:shd w:val="clear" w:color="auto" w:fill="CFF0FC"/>
          </w:tcPr>
          <w:p>
            <w:pPr>
              <w:spacing w:after="0"/>
              <w:rPr>
                <w:sz w:val="12"/>
                <w:szCs w:val="12"/>
                <w:color w:val="auto"/>
              </w:rPr>
            </w:pPr>
          </w:p>
        </w:tc>
        <w:tc>
          <w:tcPr>
            <w:tcW w:w="14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340" w:type="dxa"/>
            <w:vAlign w:val="bottom"/>
            <w:gridSpan w:val="2"/>
          </w:tcPr>
          <w:p>
            <w:pPr>
              <w:ind w:left="160"/>
              <w:spacing w:after="0"/>
              <w:rPr>
                <w:sz w:val="20"/>
                <w:szCs w:val="20"/>
                <w:color w:val="auto"/>
              </w:rPr>
            </w:pPr>
            <w:r>
              <w:rPr>
                <w:rFonts w:ascii="Arial" w:cs="Arial" w:eastAsia="Arial" w:hAnsi="Arial"/>
                <w:sz w:val="12"/>
                <w:szCs w:val="12"/>
                <w:color w:val="auto"/>
              </w:rPr>
              <w:t>Federal</w:t>
            </w:r>
          </w:p>
        </w:tc>
        <w:tc>
          <w:tcPr>
            <w:tcW w:w="200" w:type="dxa"/>
            <w:vAlign w:val="bottom"/>
          </w:tcPr>
          <w:p>
            <w:pPr>
              <w:jc w:val="right"/>
              <w:ind w:right="90"/>
              <w:spacing w:after="0"/>
              <w:rPr>
                <w:sz w:val="20"/>
                <w:szCs w:val="20"/>
                <w:color w:val="auto"/>
              </w:rPr>
            </w:pPr>
            <w:r>
              <w:rPr>
                <w:rFonts w:ascii="Arial" w:cs="Arial" w:eastAsia="Arial" w:hAnsi="Arial"/>
                <w:sz w:val="10"/>
                <w:szCs w:val="10"/>
                <w:color w:val="auto"/>
                <w:w w:val="71"/>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674</w:t>
            </w:r>
          </w:p>
        </w:tc>
        <w:tc>
          <w:tcPr>
            <w:tcW w:w="140" w:type="dxa"/>
            <w:vAlign w:val="bottom"/>
          </w:tcPr>
          <w:p>
            <w:pPr>
              <w:spacing w:after="0"/>
              <w:rPr>
                <w:sz w:val="13"/>
                <w:szCs w:val="13"/>
                <w:color w:val="auto"/>
              </w:rPr>
            </w:pPr>
          </w:p>
        </w:tc>
        <w:tc>
          <w:tcPr>
            <w:tcW w:w="3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640" w:type="dxa"/>
            <w:vAlign w:val="bottom"/>
          </w:tcPr>
          <w:p>
            <w:pPr>
              <w:jc w:val="right"/>
              <w:spacing w:after="0"/>
              <w:rPr>
                <w:sz w:val="20"/>
                <w:szCs w:val="20"/>
                <w:color w:val="auto"/>
              </w:rPr>
            </w:pPr>
            <w:r>
              <w:rPr>
                <w:rFonts w:ascii="Arial" w:cs="Arial" w:eastAsia="Arial" w:hAnsi="Arial"/>
                <w:sz w:val="12"/>
                <w:szCs w:val="12"/>
                <w:color w:val="auto"/>
              </w:rPr>
              <w:t>1,456</w:t>
            </w:r>
          </w:p>
        </w:tc>
        <w:tc>
          <w:tcPr>
            <w:tcW w:w="140" w:type="dxa"/>
            <w:vAlign w:val="bottom"/>
          </w:tcPr>
          <w:p>
            <w:pPr>
              <w:spacing w:after="0"/>
              <w:rPr>
                <w:sz w:val="13"/>
                <w:szCs w:val="13"/>
                <w:color w:val="auto"/>
              </w:rPr>
            </w:pPr>
          </w:p>
        </w:tc>
        <w:tc>
          <w:tcPr>
            <w:tcW w:w="540" w:type="dxa"/>
            <w:vAlign w:val="bottom"/>
            <w:gridSpan w:val="2"/>
          </w:tcPr>
          <w:p>
            <w:pPr>
              <w:jc w:val="right"/>
              <w:ind w:right="380"/>
              <w:spacing w:after="0"/>
              <w:rPr>
                <w:sz w:val="20"/>
                <w:szCs w:val="20"/>
                <w:color w:val="auto"/>
              </w:rPr>
            </w:pPr>
            <w:r>
              <w:rPr>
                <w:rFonts w:ascii="Arial" w:cs="Arial" w:eastAsia="Arial" w:hAnsi="Arial"/>
                <w:sz w:val="12"/>
                <w:szCs w:val="12"/>
                <w:color w:val="auto"/>
              </w:rPr>
              <w:t>$</w:t>
            </w:r>
          </w:p>
        </w:tc>
        <w:tc>
          <w:tcPr>
            <w:tcW w:w="1400" w:type="dxa"/>
            <w:vAlign w:val="bottom"/>
          </w:tcPr>
          <w:p>
            <w:pPr>
              <w:jc w:val="right"/>
              <w:spacing w:after="0"/>
              <w:rPr>
                <w:sz w:val="20"/>
                <w:szCs w:val="20"/>
                <w:color w:val="auto"/>
              </w:rPr>
            </w:pPr>
            <w:r>
              <w:rPr>
                <w:rFonts w:ascii="Arial" w:cs="Arial" w:eastAsia="Arial" w:hAnsi="Arial"/>
                <w:sz w:val="12"/>
                <w:szCs w:val="12"/>
                <w:color w:val="auto"/>
              </w:rPr>
              <w:t>1,596</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34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State</w:t>
            </w:r>
          </w:p>
        </w:tc>
        <w:tc>
          <w:tcPr>
            <w:tcW w:w="200" w:type="dxa"/>
            <w:vAlign w:val="bottom"/>
            <w:tcBorders>
              <w:bottom w:val="single" w:sz="8" w:color="auto"/>
            </w:tcBorders>
            <w:shd w:val="clear" w:color="auto" w:fill="CFF0FC"/>
          </w:tcPr>
          <w:p>
            <w:pPr>
              <w:spacing w:after="0"/>
              <w:rPr>
                <w:sz w:val="13"/>
                <w:szCs w:val="13"/>
                <w:color w:val="auto"/>
              </w:rPr>
            </w:pPr>
          </w:p>
        </w:tc>
        <w:tc>
          <w:tcPr>
            <w:tcW w:w="1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1,290</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220" w:type="dxa"/>
            <w:vAlign w:val="bottom"/>
            <w:tcBorders>
              <w:bottom w:val="single" w:sz="8" w:color="auto"/>
            </w:tcBorders>
            <w:shd w:val="clear" w:color="auto" w:fill="CFF0FC"/>
          </w:tcPr>
          <w:p>
            <w:pPr>
              <w:spacing w:after="0"/>
              <w:rPr>
                <w:sz w:val="13"/>
                <w:szCs w:val="13"/>
                <w:color w:val="auto"/>
              </w:rPr>
            </w:pPr>
          </w:p>
        </w:tc>
        <w:tc>
          <w:tcPr>
            <w:tcW w:w="1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866</w:t>
            </w: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40" w:type="dxa"/>
            <w:vAlign w:val="bottom"/>
            <w:tcBorders>
              <w:bottom w:val="single" w:sz="8" w:color="auto"/>
            </w:tcBorders>
            <w:shd w:val="clear" w:color="auto" w:fill="CFF0FC"/>
          </w:tcPr>
          <w:p>
            <w:pPr>
              <w:spacing w:after="0"/>
              <w:rPr>
                <w:sz w:val="13"/>
                <w:szCs w:val="13"/>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1,107</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340" w:type="dxa"/>
            <w:vAlign w:val="bottom"/>
            <w:gridSpan w:val="2"/>
          </w:tcPr>
          <w:p>
            <w:pPr>
              <w:ind w:left="240"/>
              <w:spacing w:after="0"/>
              <w:rPr>
                <w:sz w:val="20"/>
                <w:szCs w:val="20"/>
                <w:color w:val="auto"/>
              </w:rPr>
            </w:pPr>
            <w:r>
              <w:rPr>
                <w:rFonts w:ascii="Arial" w:cs="Arial" w:eastAsia="Arial" w:hAnsi="Arial"/>
                <w:sz w:val="12"/>
                <w:szCs w:val="12"/>
                <w:color w:val="auto"/>
              </w:rPr>
              <w:t>Total current expense</w:t>
            </w:r>
          </w:p>
        </w:tc>
        <w:tc>
          <w:tcPr>
            <w:tcW w:w="200" w:type="dxa"/>
            <w:vAlign w:val="bottom"/>
          </w:tcPr>
          <w:p>
            <w:pPr>
              <w:spacing w:after="0"/>
              <w:rPr>
                <w:sz w:val="12"/>
                <w:szCs w:val="12"/>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1,964</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jc w:val="right"/>
              <w:spacing w:after="0"/>
              <w:rPr>
                <w:sz w:val="20"/>
                <w:szCs w:val="20"/>
                <w:color w:val="auto"/>
              </w:rPr>
            </w:pPr>
            <w:r>
              <w:rPr>
                <w:rFonts w:ascii="Arial" w:cs="Arial" w:eastAsia="Arial" w:hAnsi="Arial"/>
                <w:sz w:val="12"/>
                <w:szCs w:val="12"/>
                <w:color w:val="auto"/>
              </w:rPr>
              <w:t>2,322</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0" w:type="dxa"/>
            <w:vAlign w:val="bottom"/>
          </w:tcPr>
          <w:p>
            <w:pPr>
              <w:jc w:val="right"/>
              <w:spacing w:after="0"/>
              <w:rPr>
                <w:sz w:val="20"/>
                <w:szCs w:val="20"/>
                <w:color w:val="auto"/>
              </w:rPr>
            </w:pPr>
            <w:r>
              <w:rPr>
                <w:rFonts w:ascii="Arial" w:cs="Arial" w:eastAsia="Arial" w:hAnsi="Arial"/>
                <w:sz w:val="12"/>
                <w:szCs w:val="12"/>
                <w:color w:val="auto"/>
              </w:rPr>
              <w:t>2,703</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04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16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340" w:type="dxa"/>
            <w:vAlign w:val="bottom"/>
            <w:gridSpan w:val="2"/>
          </w:tcPr>
          <w:p>
            <w:pPr>
              <w:spacing w:after="0"/>
              <w:rPr>
                <w:sz w:val="20"/>
                <w:szCs w:val="20"/>
                <w:color w:val="auto"/>
              </w:rPr>
            </w:pPr>
            <w:r>
              <w:rPr>
                <w:rFonts w:ascii="Arial" w:cs="Arial" w:eastAsia="Arial" w:hAnsi="Arial"/>
                <w:sz w:val="12"/>
                <w:szCs w:val="12"/>
                <w:color w:val="auto"/>
              </w:rPr>
              <w:t>Deferred</w:t>
            </w:r>
          </w:p>
        </w:tc>
        <w:tc>
          <w:tcPr>
            <w:tcW w:w="20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34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Federal</w:t>
            </w:r>
          </w:p>
        </w:tc>
        <w:tc>
          <w:tcPr>
            <w:tcW w:w="20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(5,451)</w:t>
            </w:r>
          </w:p>
        </w:tc>
        <w:tc>
          <w:tcPr>
            <w:tcW w:w="1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(36,956)</w:t>
            </w:r>
          </w:p>
        </w:tc>
        <w:tc>
          <w:tcPr>
            <w:tcW w:w="10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5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(1,488)</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340" w:type="dxa"/>
            <w:vAlign w:val="bottom"/>
            <w:gridSpan w:val="2"/>
          </w:tcPr>
          <w:p>
            <w:pPr>
              <w:ind w:left="160"/>
              <w:spacing w:after="0"/>
              <w:rPr>
                <w:sz w:val="20"/>
                <w:szCs w:val="20"/>
                <w:color w:val="auto"/>
              </w:rPr>
            </w:pPr>
            <w:r>
              <w:rPr>
                <w:rFonts w:ascii="Arial" w:cs="Arial" w:eastAsia="Arial" w:hAnsi="Arial"/>
                <w:sz w:val="12"/>
                <w:szCs w:val="12"/>
                <w:color w:val="auto"/>
              </w:rPr>
              <w:t>State</w:t>
            </w:r>
          </w:p>
        </w:tc>
        <w:tc>
          <w:tcPr>
            <w:tcW w:w="200" w:type="dxa"/>
            <w:vAlign w:val="bottom"/>
          </w:tcPr>
          <w:p>
            <w:pPr>
              <w:spacing w:after="0"/>
              <w:rPr>
                <w:sz w:val="13"/>
                <w:szCs w:val="13"/>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2"/>
                <w:szCs w:val="12"/>
                <w:color w:val="auto"/>
              </w:rPr>
              <w:t>(1,770)</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2"/>
                <w:szCs w:val="12"/>
                <w:color w:val="auto"/>
              </w:rPr>
              <w:t>(3,837)</w:t>
            </w:r>
          </w:p>
        </w:tc>
        <w:tc>
          <w:tcPr>
            <w:tcW w:w="1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520" w:type="dxa"/>
            <w:vAlign w:val="bottom"/>
            <w:gridSpan w:val="2"/>
          </w:tcPr>
          <w:p>
            <w:pPr>
              <w:jc w:val="right"/>
              <w:ind w:right="80"/>
              <w:spacing w:after="0"/>
              <w:rPr>
                <w:sz w:val="20"/>
                <w:szCs w:val="20"/>
                <w:color w:val="auto"/>
              </w:rPr>
            </w:pPr>
            <w:r>
              <w:rPr>
                <w:rFonts w:ascii="Arial" w:cs="Arial" w:eastAsia="Arial" w:hAnsi="Arial"/>
                <w:sz w:val="12"/>
                <w:szCs w:val="12"/>
                <w:color w:val="auto"/>
              </w:rPr>
              <w:t>(698)</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34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Foreign</w:t>
            </w:r>
          </w:p>
        </w:tc>
        <w:tc>
          <w:tcPr>
            <w:tcW w:w="20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(164)</w:t>
            </w:r>
          </w:p>
        </w:tc>
        <w:tc>
          <w:tcPr>
            <w:tcW w:w="10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(378)</w:t>
            </w:r>
          </w:p>
        </w:tc>
        <w:tc>
          <w:tcPr>
            <w:tcW w:w="10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340" w:type="dxa"/>
            <w:vAlign w:val="bottom"/>
            <w:gridSpan w:val="2"/>
            <w:vMerge w:val="restart"/>
          </w:tcPr>
          <w:p>
            <w:pPr>
              <w:ind w:left="240"/>
              <w:spacing w:after="0"/>
              <w:rPr>
                <w:sz w:val="20"/>
                <w:szCs w:val="20"/>
                <w:color w:val="auto"/>
              </w:rPr>
            </w:pPr>
            <w:r>
              <w:rPr>
                <w:rFonts w:ascii="Arial" w:cs="Arial" w:eastAsia="Arial" w:hAnsi="Arial"/>
                <w:sz w:val="12"/>
                <w:szCs w:val="12"/>
                <w:color w:val="auto"/>
              </w:rPr>
              <w:t>Total deferred expense</w:t>
            </w:r>
          </w:p>
        </w:tc>
        <w:tc>
          <w:tcPr>
            <w:tcW w:w="20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3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2"/>
                <w:szCs w:val="12"/>
                <w:color w:val="auto"/>
              </w:rPr>
              <w:t>(7,385)</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80" w:type="dxa"/>
            <w:vAlign w:val="bottom"/>
            <w:gridSpan w:val="2"/>
          </w:tcPr>
          <w:p>
            <w:pPr>
              <w:jc w:val="right"/>
              <w:ind w:right="100"/>
              <w:spacing w:after="0"/>
              <w:rPr>
                <w:sz w:val="20"/>
                <w:szCs w:val="20"/>
                <w:color w:val="auto"/>
              </w:rPr>
            </w:pPr>
            <w:r>
              <w:rPr>
                <w:rFonts w:ascii="Arial" w:cs="Arial" w:eastAsia="Arial" w:hAnsi="Arial"/>
                <w:sz w:val="12"/>
                <w:szCs w:val="12"/>
                <w:color w:val="auto"/>
              </w:rPr>
              <w:t>(41,171)</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520" w:type="dxa"/>
            <w:vAlign w:val="bottom"/>
            <w:gridSpan w:val="2"/>
          </w:tcPr>
          <w:p>
            <w:pPr>
              <w:jc w:val="right"/>
              <w:ind w:right="80"/>
              <w:spacing w:after="0"/>
              <w:rPr>
                <w:sz w:val="20"/>
                <w:szCs w:val="20"/>
                <w:color w:val="auto"/>
              </w:rPr>
            </w:pPr>
            <w:r>
              <w:rPr>
                <w:rFonts w:ascii="Arial" w:cs="Arial" w:eastAsia="Arial" w:hAnsi="Arial"/>
                <w:sz w:val="12"/>
                <w:szCs w:val="12"/>
                <w:color w:val="auto"/>
              </w:rPr>
              <w:t>(2,186)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340" w:type="dxa"/>
            <w:vAlign w:val="bottom"/>
            <w:gridSpan w:val="2"/>
            <w:vMerge w:val="restart"/>
            <w:shd w:val="clear" w:color="auto" w:fill="CFF0FC"/>
          </w:tcPr>
          <w:p>
            <w:pPr>
              <w:spacing w:after="0"/>
              <w:rPr>
                <w:sz w:val="20"/>
                <w:szCs w:val="20"/>
                <w:color w:val="auto"/>
              </w:rPr>
            </w:pPr>
            <w:r>
              <w:rPr>
                <w:rFonts w:ascii="Arial" w:cs="Arial" w:eastAsia="Arial" w:hAnsi="Arial"/>
                <w:sz w:val="12"/>
                <w:szCs w:val="12"/>
                <w:color w:val="auto"/>
              </w:rPr>
              <w:t>Total income tax (benefit) expense</w:t>
            </w:r>
          </w:p>
        </w:tc>
        <w:tc>
          <w:tcPr>
            <w:tcW w:w="20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5340" w:type="dxa"/>
            <w:vAlign w:val="bottom"/>
            <w:gridSpan w:val="2"/>
            <w:vMerge w:val="continue"/>
            <w:shd w:val="clear" w:color="auto" w:fill="CFF0FC"/>
          </w:tcPr>
          <w:p>
            <w:pPr>
              <w:spacing w:after="0"/>
              <w:rPr>
                <w:sz w:val="12"/>
                <w:szCs w:val="12"/>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(5,421)</w:t>
            </w:r>
          </w:p>
        </w:tc>
        <w:tc>
          <w:tcPr>
            <w:tcW w:w="32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178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(38,849)</w:t>
            </w:r>
          </w:p>
        </w:tc>
        <w:tc>
          <w:tcPr>
            <w:tcW w:w="540" w:type="dxa"/>
            <w:vAlign w:val="bottom"/>
            <w:gridSpan w:val="2"/>
            <w:shd w:val="clear" w:color="auto" w:fill="CFF0FC"/>
          </w:tcPr>
          <w:p>
            <w:pPr>
              <w:jc w:val="right"/>
              <w:ind w:right="380"/>
              <w:spacing w:after="0"/>
              <w:rPr>
                <w:sz w:val="20"/>
                <w:szCs w:val="20"/>
                <w:color w:val="auto"/>
              </w:rPr>
            </w:pPr>
            <w:r>
              <w:rPr>
                <w:rFonts w:ascii="Arial" w:cs="Arial" w:eastAsia="Arial" w:hAnsi="Arial"/>
                <w:sz w:val="12"/>
                <w:szCs w:val="12"/>
                <w:color w:val="auto"/>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517</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76"/>
        </w:trPr>
        <w:tc>
          <w:tcPr>
            <w:tcW w:w="5040" w:type="dxa"/>
            <w:vAlign w:val="bottom"/>
            <w:tcBorders>
              <w:top w:val="single" w:sz="8" w:color="CFF0FC"/>
            </w:tcBorders>
          </w:tcPr>
          <w:p>
            <w:pPr>
              <w:spacing w:after="0"/>
              <w:rPr>
                <w:sz w:val="24"/>
                <w:szCs w:val="24"/>
                <w:color w:val="auto"/>
              </w:rPr>
            </w:pPr>
          </w:p>
        </w:tc>
        <w:tc>
          <w:tcPr>
            <w:tcW w:w="300" w:type="dxa"/>
            <w:vAlign w:val="bottom"/>
            <w:tcBorders>
              <w:top w:val="single" w:sz="8" w:color="CFF0FC"/>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640" w:type="dxa"/>
            <w:vAlign w:val="bottom"/>
            <w:tcBorders>
              <w:top w:val="single" w:sz="8" w:color="auto"/>
            </w:tcBorders>
          </w:tcPr>
          <w:p>
            <w:pPr>
              <w:jc w:val="right"/>
              <w:ind w:right="1321"/>
              <w:spacing w:after="0"/>
              <w:rPr>
                <w:sz w:val="20"/>
                <w:szCs w:val="20"/>
                <w:color w:val="auto"/>
              </w:rPr>
            </w:pPr>
            <w:r>
              <w:rPr>
                <w:rFonts w:ascii="Arial" w:cs="Arial" w:eastAsia="Arial" w:hAnsi="Arial"/>
                <w:sz w:val="12"/>
                <w:szCs w:val="12"/>
                <w:color w:val="auto"/>
              </w:rPr>
              <w:t>99</w:t>
            </w:r>
          </w:p>
        </w:tc>
        <w:tc>
          <w:tcPr>
            <w:tcW w:w="140" w:type="dxa"/>
            <w:vAlign w:val="bottom"/>
            <w:tcBorders>
              <w:top w:val="single" w:sz="8" w:color="CFF0FC"/>
            </w:tcBorders>
          </w:tcPr>
          <w:p>
            <w:pPr>
              <w:spacing w:after="0"/>
              <w:rPr>
                <w:sz w:val="24"/>
                <w:szCs w:val="24"/>
                <w:color w:val="auto"/>
              </w:rPr>
            </w:pPr>
          </w:p>
        </w:tc>
        <w:tc>
          <w:tcPr>
            <w:tcW w:w="100" w:type="dxa"/>
            <w:vAlign w:val="bottom"/>
            <w:tcBorders>
              <w:top w:val="single" w:sz="8" w:color="CFF0FC"/>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640" w:type="dxa"/>
            <w:vAlign w:val="bottom"/>
            <w:tcBorders>
              <w:top w:val="single" w:sz="8" w:color="auto"/>
            </w:tcBorders>
          </w:tcPr>
          <w:p>
            <w:pPr>
              <w:spacing w:after="0"/>
              <w:rPr>
                <w:sz w:val="24"/>
                <w:szCs w:val="24"/>
                <w:color w:val="auto"/>
              </w:rPr>
            </w:pPr>
          </w:p>
        </w:tc>
        <w:tc>
          <w:tcPr>
            <w:tcW w:w="140" w:type="dxa"/>
            <w:vAlign w:val="bottom"/>
            <w:tcBorders>
              <w:top w:val="single" w:sz="8" w:color="CFF0FC"/>
            </w:tcBorders>
          </w:tcPr>
          <w:p>
            <w:pPr>
              <w:spacing w:after="0"/>
              <w:rPr>
                <w:sz w:val="24"/>
                <w:szCs w:val="24"/>
                <w:color w:val="auto"/>
              </w:rPr>
            </w:pPr>
          </w:p>
        </w:tc>
        <w:tc>
          <w:tcPr>
            <w:tcW w:w="100" w:type="dxa"/>
            <w:vAlign w:val="bottom"/>
            <w:tcBorders>
              <w:top w:val="single" w:sz="8" w:color="CFF0FC"/>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20" w:type="dxa"/>
            <w:vAlign w:val="bottom"/>
            <w:tcBorders>
              <w:top w:val="single" w:sz="8" w:color="CFF0F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504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16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16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440" w:type="dxa"/>
            <w:vAlign w:val="bottom"/>
            <w:tcBorders>
              <w:bottom w:val="single" w:sz="8" w:color="9A9A9A"/>
            </w:tcBorders>
          </w:tcPr>
          <w:p>
            <w:pPr>
              <w:spacing w:after="0"/>
              <w:rPr>
                <w:sz w:val="6"/>
                <w:szCs w:val="6"/>
                <w:color w:val="auto"/>
              </w:rPr>
            </w:pPr>
          </w:p>
        </w:tc>
        <w:tc>
          <w:tcPr>
            <w:tcW w:w="140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0" w:right="179" w:bottom="1440" w:gutter="0" w:footer="0" w:header="0"/>
        </w:sectPr>
      </w:pPr>
    </w:p>
    <w:bookmarkStart w:id="99" w:name="page100"/>
    <w:bookmarkEnd w:id="9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8" w:lineRule="exact"/>
        <w:rPr>
          <w:sz w:val="20"/>
          <w:szCs w:val="20"/>
          <w:color w:val="auto"/>
        </w:rPr>
      </w:pPr>
    </w:p>
    <w:p>
      <w:pPr>
        <w:spacing w:after="0"/>
        <w:rPr>
          <w:sz w:val="20"/>
          <w:szCs w:val="20"/>
          <w:color w:val="auto"/>
        </w:rPr>
      </w:pPr>
      <w:r>
        <w:rPr>
          <w:rFonts w:ascii="Arial" w:cs="Arial" w:eastAsia="Arial" w:hAnsi="Arial"/>
          <w:sz w:val="12"/>
          <w:szCs w:val="12"/>
          <w:color w:val="auto"/>
        </w:rPr>
        <w:t>An income tax expense reconciliation between the U.S. statutory tax rate and the effective tax rate is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gridSpan w:val="2"/>
          </w:tcPr>
          <w:p>
            <w:pPr>
              <w:jc w:val="right"/>
              <w:ind w:right="640"/>
              <w:spacing w:after="0"/>
              <w:rPr>
                <w:sz w:val="20"/>
                <w:szCs w:val="20"/>
                <w:color w:val="auto"/>
              </w:rPr>
            </w:pPr>
            <w:r>
              <w:rPr>
                <w:rFonts w:ascii="Arial" w:cs="Arial" w:eastAsia="Arial" w:hAnsi="Arial"/>
                <w:sz w:val="10"/>
                <w:szCs w:val="10"/>
                <w:b w:val="1"/>
                <w:bCs w:val="1"/>
                <w:color w:val="auto"/>
                <w:w w:val="99"/>
              </w:rPr>
              <w:t>Year Ended December 31,</w:t>
            </w:r>
          </w:p>
        </w:tc>
        <w:tc>
          <w:tcPr>
            <w:tcW w:w="46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514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40" w:type="dxa"/>
            <w:vAlign w:val="bottom"/>
            <w:tcBorders>
              <w:bottom w:val="single" w:sz="8" w:color="CFF0FC"/>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20" w:type="dxa"/>
            <w:vAlign w:val="bottom"/>
            <w:tcBorders>
              <w:bottom w:val="single" w:sz="8" w:color="auto"/>
            </w:tcBorders>
          </w:tcPr>
          <w:p>
            <w:pPr>
              <w:jc w:val="right"/>
              <w:ind w:right="781"/>
              <w:spacing w:after="0"/>
              <w:rPr>
                <w:sz w:val="20"/>
                <w:szCs w:val="20"/>
                <w:color w:val="auto"/>
              </w:rPr>
            </w:pPr>
            <w:r>
              <w:rPr>
                <w:rFonts w:ascii="Arial" w:cs="Arial" w:eastAsia="Arial" w:hAnsi="Arial"/>
                <w:sz w:val="10"/>
                <w:szCs w:val="10"/>
                <w:b w:val="1"/>
                <w:bCs w:val="1"/>
                <w:color w:val="auto"/>
              </w:rPr>
              <w:t>2018</w:t>
            </w:r>
          </w:p>
        </w:tc>
        <w:tc>
          <w:tcPr>
            <w:tcW w:w="24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660" w:type="dxa"/>
            <w:vAlign w:val="bottom"/>
            <w:tcBorders>
              <w:bottom w:val="single" w:sz="8" w:color="auto"/>
            </w:tcBorders>
          </w:tcPr>
          <w:p>
            <w:pPr>
              <w:jc w:val="right"/>
              <w:ind w:right="802"/>
              <w:spacing w:after="0"/>
              <w:rPr>
                <w:sz w:val="20"/>
                <w:szCs w:val="20"/>
                <w:color w:val="auto"/>
              </w:rPr>
            </w:pPr>
            <w:r>
              <w:rPr>
                <w:rFonts w:ascii="Arial" w:cs="Arial" w:eastAsia="Arial" w:hAnsi="Arial"/>
                <w:sz w:val="10"/>
                <w:szCs w:val="10"/>
                <w:b w:val="1"/>
                <w:bCs w:val="1"/>
                <w:color w:val="auto"/>
              </w:rPr>
              <w:t>2017</w:t>
            </w:r>
          </w:p>
        </w:tc>
        <w:tc>
          <w:tcPr>
            <w:tcW w:w="220" w:type="dxa"/>
            <w:vAlign w:val="bottom"/>
            <w:tcBorders>
              <w:bottom w:val="single" w:sz="8" w:color="CFF0FC"/>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420" w:type="dxa"/>
            <w:vAlign w:val="bottom"/>
            <w:tcBorders>
              <w:bottom w:val="single" w:sz="8" w:color="auto"/>
            </w:tcBorders>
          </w:tcPr>
          <w:p>
            <w:pPr>
              <w:jc w:val="right"/>
              <w:ind w:right="781"/>
              <w:spacing w:after="0"/>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2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Income from continuing operations, before tax</w:t>
            </w:r>
          </w:p>
        </w:tc>
        <w:tc>
          <w:tcPr>
            <w:tcW w:w="440" w:type="dxa"/>
            <w:vAlign w:val="bottom"/>
            <w:shd w:val="clear" w:color="auto" w:fill="CFF0FC"/>
          </w:tcPr>
          <w:p>
            <w:pPr>
              <w:jc w:val="right"/>
              <w:ind w:right="330"/>
              <w:spacing w:after="0"/>
              <w:rPr>
                <w:sz w:val="20"/>
                <w:szCs w:val="20"/>
                <w:color w:val="auto"/>
              </w:rPr>
            </w:pPr>
            <w:r>
              <w:rPr>
                <w:rFonts w:ascii="Arial" w:cs="Arial" w:eastAsia="Arial" w:hAnsi="Arial"/>
                <w:sz w:val="10"/>
                <w:szCs w:val="10"/>
                <w:color w:val="auto"/>
                <w:w w:val="71"/>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11,124</w:t>
            </w: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jc w:val="right"/>
              <w:ind w:right="110"/>
              <w:spacing w:after="0"/>
              <w:rPr>
                <w:sz w:val="20"/>
                <w:szCs w:val="20"/>
                <w:color w:val="auto"/>
              </w:rPr>
            </w:pPr>
            <w:r>
              <w:rPr>
                <w:rFonts w:ascii="Arial" w:cs="Arial" w:eastAsia="Arial" w:hAnsi="Arial"/>
                <w:sz w:val="10"/>
                <w:szCs w:val="10"/>
                <w:color w:val="auto"/>
                <w:w w:val="71"/>
              </w:rPr>
              <w:t>$</w:t>
            </w:r>
          </w:p>
        </w:tc>
        <w:tc>
          <w:tcPr>
            <w:tcW w:w="188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(47,667)</w:t>
            </w:r>
          </w:p>
        </w:tc>
        <w:tc>
          <w:tcPr>
            <w:tcW w:w="460" w:type="dxa"/>
            <w:vAlign w:val="bottom"/>
            <w:shd w:val="clear" w:color="auto" w:fill="CFF0FC"/>
          </w:tcPr>
          <w:p>
            <w:pPr>
              <w:jc w:val="right"/>
              <w:ind w:right="350"/>
              <w:spacing w:after="0"/>
              <w:rPr>
                <w:sz w:val="20"/>
                <w:szCs w:val="20"/>
                <w:color w:val="auto"/>
              </w:rPr>
            </w:pPr>
            <w:r>
              <w:rPr>
                <w:rFonts w:ascii="Arial" w:cs="Arial" w:eastAsia="Arial" w:hAnsi="Arial"/>
                <w:sz w:val="10"/>
                <w:szCs w:val="10"/>
                <w:color w:val="auto"/>
                <w:w w:val="71"/>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305</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280" w:type="dxa"/>
            <w:vAlign w:val="bottom"/>
            <w:gridSpan w:val="2"/>
          </w:tcPr>
          <w:p>
            <w:pPr>
              <w:spacing w:after="0"/>
              <w:rPr>
                <w:sz w:val="20"/>
                <w:szCs w:val="20"/>
                <w:color w:val="auto"/>
              </w:rPr>
            </w:pPr>
            <w:r>
              <w:rPr>
                <w:rFonts w:ascii="Arial" w:cs="Arial" w:eastAsia="Arial" w:hAnsi="Arial"/>
                <w:sz w:val="12"/>
                <w:szCs w:val="12"/>
                <w:color w:val="auto"/>
              </w:rPr>
              <w:t>Income tax at U.S. statutory federal rate</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2,336</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80" w:type="dxa"/>
            <w:vAlign w:val="bottom"/>
            <w:gridSpan w:val="2"/>
          </w:tcPr>
          <w:p>
            <w:pPr>
              <w:jc w:val="right"/>
              <w:ind w:right="180"/>
              <w:spacing w:after="0"/>
              <w:rPr>
                <w:sz w:val="20"/>
                <w:szCs w:val="20"/>
                <w:color w:val="auto"/>
              </w:rPr>
            </w:pPr>
            <w:r>
              <w:rPr>
                <w:rFonts w:ascii="Arial" w:cs="Arial" w:eastAsia="Arial" w:hAnsi="Arial"/>
                <w:sz w:val="12"/>
                <w:szCs w:val="12"/>
                <w:color w:val="auto"/>
              </w:rPr>
              <w:t>(16,687)</w:t>
            </w: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107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Increases (decreases) resulting from:</w:t>
            </w:r>
          </w:p>
        </w:tc>
        <w:tc>
          <w:tcPr>
            <w:tcW w:w="440" w:type="dxa"/>
            <w:vAlign w:val="bottom"/>
            <w:shd w:val="clear" w:color="auto" w:fill="CFF0FC"/>
          </w:tcPr>
          <w:p>
            <w:pPr>
              <w:spacing w:after="0"/>
              <w:rPr>
                <w:sz w:val="13"/>
                <w:szCs w:val="13"/>
                <w:color w:val="auto"/>
              </w:rPr>
            </w:pPr>
          </w:p>
        </w:tc>
        <w:tc>
          <w:tcPr>
            <w:tcW w:w="142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gridSpan w:val="2"/>
          </w:tcPr>
          <w:p>
            <w:pPr>
              <w:ind w:left="160"/>
              <w:spacing w:after="0"/>
              <w:rPr>
                <w:sz w:val="20"/>
                <w:szCs w:val="20"/>
                <w:color w:val="auto"/>
              </w:rPr>
            </w:pPr>
            <w:r>
              <w:rPr>
                <w:rFonts w:ascii="Arial" w:cs="Arial" w:eastAsia="Arial" w:hAnsi="Arial"/>
                <w:sz w:val="12"/>
                <w:szCs w:val="12"/>
                <w:color w:val="auto"/>
              </w:rPr>
              <w:t>State taxes, net of federal benefit</w:t>
            </w:r>
          </w:p>
        </w:tc>
        <w:tc>
          <w:tcPr>
            <w:tcW w:w="440" w:type="dxa"/>
            <w:vAlign w:val="bottom"/>
          </w:tcPr>
          <w:p>
            <w:pPr>
              <w:spacing w:after="0"/>
              <w:rPr>
                <w:sz w:val="13"/>
                <w:szCs w:val="13"/>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2"/>
                <w:szCs w:val="12"/>
                <w:color w:val="auto"/>
              </w:rPr>
              <w:t>(655)</w:t>
            </w:r>
          </w:p>
        </w:tc>
        <w:tc>
          <w:tcPr>
            <w:tcW w:w="220" w:type="dxa"/>
            <w:vAlign w:val="bottom"/>
          </w:tcPr>
          <w:p>
            <w:pPr>
              <w:spacing w:after="0"/>
              <w:rPr>
                <w:sz w:val="13"/>
                <w:szCs w:val="13"/>
                <w:color w:val="auto"/>
              </w:rPr>
            </w:pPr>
          </w:p>
        </w:tc>
        <w:tc>
          <w:tcPr>
            <w:tcW w:w="1880" w:type="dxa"/>
            <w:vAlign w:val="bottom"/>
            <w:gridSpan w:val="2"/>
          </w:tcPr>
          <w:p>
            <w:pPr>
              <w:jc w:val="right"/>
              <w:ind w:right="180"/>
              <w:spacing w:after="0"/>
              <w:rPr>
                <w:sz w:val="20"/>
                <w:szCs w:val="20"/>
                <w:color w:val="auto"/>
              </w:rPr>
            </w:pPr>
            <w:r>
              <w:rPr>
                <w:rFonts w:ascii="Arial" w:cs="Arial" w:eastAsia="Arial" w:hAnsi="Arial"/>
                <w:sz w:val="12"/>
                <w:szCs w:val="12"/>
                <w:color w:val="auto"/>
              </w:rPr>
              <w:t>(429)</w:t>
            </w:r>
          </w:p>
        </w:tc>
        <w:tc>
          <w:tcPr>
            <w:tcW w:w="460" w:type="dxa"/>
            <w:vAlign w:val="bottom"/>
          </w:tcPr>
          <w:p>
            <w:pPr>
              <w:spacing w:after="0"/>
              <w:rPr>
                <w:sz w:val="13"/>
                <w:szCs w:val="13"/>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(224)</w:t>
            </w:r>
          </w:p>
        </w:tc>
        <w:tc>
          <w:tcPr>
            <w:tcW w:w="0" w:type="dxa"/>
            <w:vAlign w:val="bottom"/>
          </w:tcPr>
          <w:p>
            <w:pPr>
              <w:spacing w:after="0"/>
              <w:rPr>
                <w:sz w:val="1"/>
                <w:szCs w:val="1"/>
                <w:color w:val="auto"/>
              </w:rPr>
            </w:pPr>
          </w:p>
        </w:tc>
      </w:tr>
      <w:tr>
        <w:trPr>
          <w:trHeight w:val="153"/>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Benefit of REIT status</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(5,687)</w:t>
            </w: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8,836</w:t>
            </w:r>
          </w:p>
        </w:tc>
        <w:tc>
          <w:tcPr>
            <w:tcW w:w="22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(4,016)</w:t>
            </w:r>
          </w:p>
        </w:tc>
        <w:tc>
          <w:tcPr>
            <w:tcW w:w="0" w:type="dxa"/>
            <w:vAlign w:val="bottom"/>
          </w:tcPr>
          <w:p>
            <w:pPr>
              <w:spacing w:after="0"/>
              <w:rPr>
                <w:sz w:val="1"/>
                <w:szCs w:val="1"/>
                <w:color w:val="auto"/>
              </w:rPr>
            </w:pPr>
          </w:p>
        </w:tc>
      </w:tr>
      <w:tr>
        <w:trPr>
          <w:trHeight w:val="153"/>
        </w:trPr>
        <w:tc>
          <w:tcPr>
            <w:tcW w:w="5280" w:type="dxa"/>
            <w:vAlign w:val="bottom"/>
            <w:gridSpan w:val="2"/>
          </w:tcPr>
          <w:p>
            <w:pPr>
              <w:ind w:left="160"/>
              <w:spacing w:after="0"/>
              <w:rPr>
                <w:sz w:val="20"/>
                <w:szCs w:val="20"/>
                <w:color w:val="auto"/>
              </w:rPr>
            </w:pPr>
            <w:r>
              <w:rPr>
                <w:rFonts w:ascii="Arial" w:cs="Arial" w:eastAsia="Arial" w:hAnsi="Arial"/>
                <w:sz w:val="12"/>
                <w:szCs w:val="12"/>
                <w:color w:val="auto"/>
              </w:rPr>
              <w:t>Capitalized transaction costs</w:t>
            </w:r>
          </w:p>
        </w:tc>
        <w:tc>
          <w:tcPr>
            <w:tcW w:w="44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80" w:type="dxa"/>
            <w:vAlign w:val="bottom"/>
            <w:gridSpan w:val="2"/>
          </w:tcPr>
          <w:p>
            <w:pPr>
              <w:jc w:val="right"/>
              <w:ind w:right="180"/>
              <w:spacing w:after="0"/>
              <w:rPr>
                <w:sz w:val="20"/>
                <w:szCs w:val="20"/>
                <w:color w:val="auto"/>
              </w:rPr>
            </w:pPr>
            <w:r>
              <w:rPr>
                <w:rFonts w:ascii="Arial" w:cs="Arial" w:eastAsia="Arial" w:hAnsi="Arial"/>
                <w:sz w:val="12"/>
                <w:szCs w:val="12"/>
                <w:color w:val="auto"/>
              </w:rPr>
              <w:t>(4,820)</w:t>
            </w:r>
          </w:p>
        </w:tc>
        <w:tc>
          <w:tcPr>
            <w:tcW w:w="460" w:type="dxa"/>
            <w:vAlign w:val="bottom"/>
          </w:tcPr>
          <w:p>
            <w:pPr>
              <w:spacing w:after="0"/>
              <w:rPr>
                <w:sz w:val="13"/>
                <w:szCs w:val="13"/>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2"/>
                <w:szCs w:val="12"/>
                <w:color w:val="auto"/>
              </w:rPr>
              <w:t>(3,915)</w:t>
            </w:r>
          </w:p>
        </w:tc>
        <w:tc>
          <w:tcPr>
            <w:tcW w:w="0" w:type="dxa"/>
            <w:vAlign w:val="bottom"/>
          </w:tcPr>
          <w:p>
            <w:pPr>
              <w:spacing w:after="0"/>
              <w:rPr>
                <w:sz w:val="1"/>
                <w:szCs w:val="1"/>
                <w:color w:val="auto"/>
              </w:rPr>
            </w:pPr>
          </w:p>
        </w:tc>
      </w:tr>
      <w:tr>
        <w:trPr>
          <w:trHeight w:val="153"/>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Change in valuation allowance</w:t>
            </w:r>
          </w:p>
        </w:tc>
        <w:tc>
          <w:tcPr>
            <w:tcW w:w="44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(8,176)</w:t>
            </w: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8,176</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gridSpan w:val="2"/>
          </w:tcPr>
          <w:p>
            <w:pPr>
              <w:ind w:left="160"/>
              <w:spacing w:after="0"/>
              <w:rPr>
                <w:sz w:val="20"/>
                <w:szCs w:val="20"/>
                <w:color w:val="auto"/>
              </w:rPr>
            </w:pPr>
            <w:r>
              <w:rPr>
                <w:rFonts w:ascii="Arial" w:cs="Arial" w:eastAsia="Arial" w:hAnsi="Arial"/>
                <w:sz w:val="12"/>
                <w:szCs w:val="12"/>
                <w:color w:val="auto"/>
              </w:rPr>
              <w:t>Adjustment of deferred tax balances</w:t>
            </w:r>
          </w:p>
        </w:tc>
        <w:tc>
          <w:tcPr>
            <w:tcW w:w="440" w:type="dxa"/>
            <w:vAlign w:val="bottom"/>
          </w:tcPr>
          <w:p>
            <w:pPr>
              <w:spacing w:after="0"/>
              <w:rPr>
                <w:sz w:val="13"/>
                <w:szCs w:val="13"/>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2"/>
                <w:szCs w:val="12"/>
                <w:color w:val="auto"/>
              </w:rPr>
              <w:t>(26)</w:t>
            </w:r>
          </w:p>
        </w:tc>
        <w:tc>
          <w:tcPr>
            <w:tcW w:w="220" w:type="dxa"/>
            <w:vAlign w:val="bottom"/>
          </w:tcPr>
          <w:p>
            <w:pPr>
              <w:spacing w:after="0"/>
              <w:rPr>
                <w:sz w:val="13"/>
                <w:szCs w:val="13"/>
                <w:color w:val="auto"/>
              </w:rPr>
            </w:pPr>
          </w:p>
        </w:tc>
        <w:tc>
          <w:tcPr>
            <w:tcW w:w="1880" w:type="dxa"/>
            <w:vAlign w:val="bottom"/>
            <w:gridSpan w:val="2"/>
          </w:tcPr>
          <w:p>
            <w:pPr>
              <w:jc w:val="right"/>
              <w:ind w:right="180"/>
              <w:spacing w:after="0"/>
              <w:rPr>
                <w:sz w:val="20"/>
                <w:szCs w:val="20"/>
                <w:color w:val="auto"/>
              </w:rPr>
            </w:pPr>
            <w:r>
              <w:rPr>
                <w:rFonts w:ascii="Arial" w:cs="Arial" w:eastAsia="Arial" w:hAnsi="Arial"/>
                <w:sz w:val="12"/>
                <w:szCs w:val="12"/>
                <w:color w:val="auto"/>
              </w:rPr>
              <w:t>(217)</w:t>
            </w: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149</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Permanent differences</w:t>
            </w:r>
          </w:p>
        </w:tc>
        <w:tc>
          <w:tcPr>
            <w:tcW w:w="44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41</w:t>
            </w:r>
          </w:p>
        </w:tc>
        <w:tc>
          <w:tcPr>
            <w:tcW w:w="2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60</w:t>
            </w:r>
          </w:p>
        </w:tc>
        <w:tc>
          <w:tcPr>
            <w:tcW w:w="22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52</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gridSpan w:val="2"/>
          </w:tcPr>
          <w:p>
            <w:pPr>
              <w:ind w:left="160"/>
              <w:spacing w:after="0"/>
              <w:rPr>
                <w:sz w:val="20"/>
                <w:szCs w:val="20"/>
                <w:color w:val="auto"/>
              </w:rPr>
            </w:pPr>
            <w:r>
              <w:rPr>
                <w:rFonts w:ascii="Arial" w:cs="Arial" w:eastAsia="Arial" w:hAnsi="Arial"/>
                <w:sz w:val="12"/>
                <w:szCs w:val="12"/>
                <w:color w:val="auto"/>
              </w:rPr>
              <w:t>Foreign taxes</w:t>
            </w:r>
          </w:p>
        </w:tc>
        <w:tc>
          <w:tcPr>
            <w:tcW w:w="440" w:type="dxa"/>
            <w:vAlign w:val="bottom"/>
          </w:tcPr>
          <w:p>
            <w:pPr>
              <w:spacing w:after="0"/>
              <w:rPr>
                <w:sz w:val="13"/>
                <w:szCs w:val="13"/>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2"/>
                <w:szCs w:val="12"/>
                <w:color w:val="auto"/>
              </w:rPr>
              <w:t>(111)</w:t>
            </w:r>
          </w:p>
        </w:tc>
        <w:tc>
          <w:tcPr>
            <w:tcW w:w="220" w:type="dxa"/>
            <w:vAlign w:val="bottom"/>
          </w:tcPr>
          <w:p>
            <w:pPr>
              <w:spacing w:after="0"/>
              <w:rPr>
                <w:sz w:val="13"/>
                <w:szCs w:val="13"/>
                <w:color w:val="auto"/>
              </w:rPr>
            </w:pPr>
          </w:p>
        </w:tc>
        <w:tc>
          <w:tcPr>
            <w:tcW w:w="1880" w:type="dxa"/>
            <w:vAlign w:val="bottom"/>
            <w:gridSpan w:val="2"/>
          </w:tcPr>
          <w:p>
            <w:pPr>
              <w:jc w:val="right"/>
              <w:ind w:right="180"/>
              <w:spacing w:after="0"/>
              <w:rPr>
                <w:sz w:val="20"/>
                <w:szCs w:val="20"/>
                <w:color w:val="auto"/>
              </w:rPr>
            </w:pPr>
            <w:r>
              <w:rPr>
                <w:rFonts w:ascii="Arial" w:cs="Arial" w:eastAsia="Arial" w:hAnsi="Arial"/>
                <w:sz w:val="12"/>
                <w:szCs w:val="12"/>
                <w:color w:val="auto"/>
              </w:rPr>
              <w:t>(378)</w:t>
            </w:r>
          </w:p>
        </w:tc>
        <w:tc>
          <w:tcPr>
            <w:tcW w:w="460" w:type="dxa"/>
            <w:vAlign w:val="bottom"/>
          </w:tcPr>
          <w:p>
            <w:pPr>
              <w:spacing w:after="0"/>
              <w:rPr>
                <w:sz w:val="13"/>
                <w:szCs w:val="13"/>
                <w:color w:val="auto"/>
              </w:rPr>
            </w:pPr>
          </w:p>
        </w:tc>
        <w:tc>
          <w:tcPr>
            <w:tcW w:w="142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28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Rate differential</w:t>
            </w:r>
          </w:p>
        </w:tc>
        <w:tc>
          <w:tcPr>
            <w:tcW w:w="440" w:type="dxa"/>
            <w:vAlign w:val="bottom"/>
            <w:shd w:val="clear" w:color="auto" w:fill="CFF0FC"/>
          </w:tcPr>
          <w:p>
            <w:pPr>
              <w:spacing w:after="0"/>
              <w:rPr>
                <w:sz w:val="13"/>
                <w:szCs w:val="13"/>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(1,319)</w:t>
            </w:r>
          </w:p>
        </w:tc>
        <w:tc>
          <w:tcPr>
            <w:tcW w:w="220" w:type="dxa"/>
            <w:vAlign w:val="bottom"/>
            <w:shd w:val="clear" w:color="auto" w:fill="CFF0FC"/>
          </w:tcPr>
          <w:p>
            <w:pPr>
              <w:spacing w:after="0"/>
              <w:rPr>
                <w:sz w:val="13"/>
                <w:szCs w:val="13"/>
                <w:color w:val="auto"/>
              </w:rPr>
            </w:pPr>
          </w:p>
        </w:tc>
        <w:tc>
          <w:tcPr>
            <w:tcW w:w="188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(17,038)</w:t>
            </w:r>
          </w:p>
        </w:tc>
        <w:tc>
          <w:tcPr>
            <w:tcW w:w="460" w:type="dxa"/>
            <w:vAlign w:val="bottom"/>
            <w:shd w:val="clear" w:color="auto" w:fill="CFF0FC"/>
          </w:tcPr>
          <w:p>
            <w:pPr>
              <w:spacing w:after="0"/>
              <w:rPr>
                <w:sz w:val="13"/>
                <w:szCs w:val="13"/>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188</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280" w:type="dxa"/>
            <w:vAlign w:val="bottom"/>
            <w:gridSpan w:val="2"/>
            <w:vMerge w:val="restart"/>
          </w:tcPr>
          <w:p>
            <w:pPr>
              <w:spacing w:after="0"/>
              <w:rPr>
                <w:sz w:val="20"/>
                <w:szCs w:val="20"/>
                <w:color w:val="auto"/>
              </w:rPr>
            </w:pPr>
            <w:r>
              <w:rPr>
                <w:rFonts w:ascii="Arial" w:cs="Arial" w:eastAsia="Arial" w:hAnsi="Arial"/>
                <w:sz w:val="12"/>
                <w:szCs w:val="12"/>
                <w:color w:val="auto"/>
              </w:rPr>
              <w:t>Income tax (benefit) expense</w:t>
            </w:r>
          </w:p>
        </w:tc>
        <w:tc>
          <w:tcPr>
            <w:tcW w:w="4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280" w:type="dxa"/>
            <w:vAlign w:val="bottom"/>
            <w:gridSpan w:val="2"/>
            <w:vMerge w:val="continue"/>
          </w:tcPr>
          <w:p>
            <w:pPr>
              <w:spacing w:after="0"/>
              <w:rPr>
                <w:sz w:val="12"/>
                <w:szCs w:val="12"/>
                <w:color w:val="auto"/>
              </w:rPr>
            </w:pPr>
          </w:p>
        </w:tc>
        <w:tc>
          <w:tcPr>
            <w:tcW w:w="440" w:type="dxa"/>
            <w:vAlign w:val="bottom"/>
          </w:tcPr>
          <w:p>
            <w:pPr>
              <w:jc w:val="right"/>
              <w:ind w:right="330"/>
              <w:spacing w:after="0"/>
              <w:rPr>
                <w:sz w:val="20"/>
                <w:szCs w:val="20"/>
                <w:color w:val="auto"/>
              </w:rPr>
            </w:pPr>
            <w:r>
              <w:rPr>
                <w:rFonts w:ascii="Arial" w:cs="Arial" w:eastAsia="Arial" w:hAnsi="Arial"/>
                <w:sz w:val="10"/>
                <w:szCs w:val="10"/>
                <w:color w:val="auto"/>
                <w:w w:val="71"/>
              </w:rPr>
              <w:t>$</w:t>
            </w:r>
          </w:p>
        </w:tc>
        <w:tc>
          <w:tcPr>
            <w:tcW w:w="1660" w:type="dxa"/>
            <w:vAlign w:val="bottom"/>
            <w:gridSpan w:val="2"/>
          </w:tcPr>
          <w:p>
            <w:pPr>
              <w:jc w:val="right"/>
              <w:ind w:right="200"/>
              <w:spacing w:after="0"/>
              <w:rPr>
                <w:sz w:val="20"/>
                <w:szCs w:val="20"/>
                <w:color w:val="auto"/>
              </w:rPr>
            </w:pPr>
            <w:r>
              <w:rPr>
                <w:rFonts w:ascii="Arial" w:cs="Arial" w:eastAsia="Arial" w:hAnsi="Arial"/>
                <w:sz w:val="12"/>
                <w:szCs w:val="12"/>
                <w:color w:val="auto"/>
              </w:rPr>
              <w:t>(5,421)</w:t>
            </w:r>
          </w:p>
        </w:tc>
        <w:tc>
          <w:tcPr>
            <w:tcW w:w="220" w:type="dxa"/>
            <w:vAlign w:val="bottom"/>
          </w:tcPr>
          <w:p>
            <w:pPr>
              <w:jc w:val="right"/>
              <w:ind w:right="110"/>
              <w:spacing w:after="0"/>
              <w:rPr>
                <w:sz w:val="20"/>
                <w:szCs w:val="20"/>
                <w:color w:val="auto"/>
              </w:rPr>
            </w:pPr>
            <w:r>
              <w:rPr>
                <w:rFonts w:ascii="Arial" w:cs="Arial" w:eastAsia="Arial" w:hAnsi="Arial"/>
                <w:sz w:val="10"/>
                <w:szCs w:val="10"/>
                <w:color w:val="auto"/>
                <w:w w:val="71"/>
              </w:rPr>
              <w:t>$</w:t>
            </w:r>
          </w:p>
        </w:tc>
        <w:tc>
          <w:tcPr>
            <w:tcW w:w="1880" w:type="dxa"/>
            <w:vAlign w:val="bottom"/>
            <w:gridSpan w:val="2"/>
          </w:tcPr>
          <w:p>
            <w:pPr>
              <w:jc w:val="right"/>
              <w:ind w:right="180"/>
              <w:spacing w:after="0"/>
              <w:rPr>
                <w:sz w:val="20"/>
                <w:szCs w:val="20"/>
                <w:color w:val="auto"/>
              </w:rPr>
            </w:pPr>
            <w:r>
              <w:rPr>
                <w:rFonts w:ascii="Arial" w:cs="Arial" w:eastAsia="Arial" w:hAnsi="Arial"/>
                <w:sz w:val="12"/>
                <w:szCs w:val="12"/>
                <w:color w:val="auto"/>
              </w:rPr>
              <w:t>(38,849)</w:t>
            </w:r>
          </w:p>
        </w:tc>
        <w:tc>
          <w:tcPr>
            <w:tcW w:w="460" w:type="dxa"/>
            <w:vAlign w:val="bottom"/>
          </w:tcPr>
          <w:p>
            <w:pPr>
              <w:jc w:val="right"/>
              <w:ind w:right="350"/>
              <w:spacing w:after="0"/>
              <w:rPr>
                <w:sz w:val="20"/>
                <w:szCs w:val="20"/>
                <w:color w:val="auto"/>
              </w:rPr>
            </w:pPr>
            <w:r>
              <w:rPr>
                <w:rFonts w:ascii="Arial" w:cs="Arial" w:eastAsia="Arial" w:hAnsi="Arial"/>
                <w:sz w:val="10"/>
                <w:szCs w:val="10"/>
                <w:color w:val="auto"/>
                <w:w w:val="71"/>
              </w:rPr>
              <w:t>$</w:t>
            </w:r>
          </w:p>
        </w:tc>
        <w:tc>
          <w:tcPr>
            <w:tcW w:w="1420" w:type="dxa"/>
            <w:vAlign w:val="bottom"/>
          </w:tcPr>
          <w:p>
            <w:pPr>
              <w:jc w:val="right"/>
              <w:spacing w:after="0"/>
              <w:rPr>
                <w:sz w:val="20"/>
                <w:szCs w:val="20"/>
                <w:color w:val="auto"/>
              </w:rPr>
            </w:pPr>
            <w:r>
              <w:rPr>
                <w:rFonts w:ascii="Arial" w:cs="Arial" w:eastAsia="Arial" w:hAnsi="Arial"/>
                <w:sz w:val="12"/>
                <w:szCs w:val="12"/>
                <w:color w:val="auto"/>
              </w:rPr>
              <w:t>517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4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35" w:lineRule="exact"/>
        <w:rPr>
          <w:sz w:val="20"/>
          <w:szCs w:val="20"/>
          <w:color w:val="auto"/>
        </w:rPr>
      </w:pPr>
    </w:p>
    <w:p>
      <w:pPr>
        <w:ind w:right="480"/>
        <w:spacing w:after="0" w:line="276" w:lineRule="auto"/>
        <w:rPr>
          <w:sz w:val="20"/>
          <w:szCs w:val="20"/>
          <w:color w:val="auto"/>
        </w:rPr>
      </w:pPr>
      <w:r>
        <w:rPr>
          <w:rFonts w:ascii="Arial" w:cs="Arial" w:eastAsia="Arial" w:hAnsi="Arial"/>
          <w:sz w:val="12"/>
          <w:szCs w:val="12"/>
          <w:color w:val="auto"/>
        </w:rPr>
        <w:t>The effective tax rate on income from continuing operations differs from tax at the statutory rate primarily due to our status as a REIT and the impact of corporate tax reform on certain adjustments to deferred taxes related to 2017 acquisitions, discussed below.</w:t>
      </w:r>
    </w:p>
    <w:p>
      <w:pPr>
        <w:spacing w:after="0" w:line="115" w:lineRule="exact"/>
        <w:rPr>
          <w:sz w:val="20"/>
          <w:szCs w:val="20"/>
          <w:color w:val="auto"/>
        </w:rPr>
      </w:pPr>
    </w:p>
    <w:p>
      <w:pPr>
        <w:jc w:val="both"/>
        <w:spacing w:after="0" w:line="283" w:lineRule="auto"/>
        <w:rPr>
          <w:sz w:val="20"/>
          <w:szCs w:val="20"/>
          <w:color w:val="auto"/>
        </w:rPr>
      </w:pPr>
      <w:r>
        <w:rPr>
          <w:rFonts w:ascii="Arial" w:cs="Arial" w:eastAsia="Arial" w:hAnsi="Arial"/>
          <w:sz w:val="11"/>
          <w:szCs w:val="11"/>
          <w:color w:val="auto"/>
        </w:rPr>
        <w:t>The Tax Cuts and Jobs Act (“Tax Bill”) was enacted on December 22, 2017. The Tax Bill reduced the U.S. federal corporate tax rate from 35% to 21%, required companies to pay a one-time transition tax on earnings of certain foreign subsidiaries that were previously tax deferred and created new taxes on certain foreign sourced earnings. Consistent with Staff Accounting Bulletin No. 118 issued by the SEC, which provided for a measurement period of one year from the enactment date to finalize the accounting for effects of the Tax Bill, the Company provisionally recorded income tax benefit of $17.0 million related to the Tax Bill in the fourth quarter of 2017. During the second quarter of 2018, the purchase price allocations related to our acquisitions of Hunt Telecommunications, LLC and Southern Light, LLC were adjusted to record additional deferred tax liabilities of $3.2 million and $0.9 million, respectively, that existed as of the acquisition date. These deferred tax liabilities were recorded at the tax rate in effect as of the date of acquisition. Upon enactment of the Tax Bill, the incremental deferred tax liability would have been adjusted to the newly enacted corporate tax rate. This resulted in a decrease to the deferred tax liability and an income tax benefit of $1.3 million recorded in the second quarter of 2018.</w:t>
      </w:r>
    </w:p>
    <w:p>
      <w:pPr>
        <w:spacing w:after="0" w:line="114" w:lineRule="exact"/>
        <w:rPr>
          <w:sz w:val="20"/>
          <w:szCs w:val="20"/>
          <w:color w:val="auto"/>
        </w:rPr>
      </w:pPr>
    </w:p>
    <w:p>
      <w:pPr>
        <w:spacing w:after="0"/>
        <w:rPr>
          <w:sz w:val="20"/>
          <w:szCs w:val="20"/>
          <w:color w:val="auto"/>
        </w:rPr>
      </w:pPr>
      <w:r>
        <w:rPr>
          <w:rFonts w:ascii="Arial" w:cs="Arial" w:eastAsia="Arial" w:hAnsi="Arial"/>
          <w:sz w:val="12"/>
          <w:szCs w:val="12"/>
          <w:color w:val="auto"/>
        </w:rPr>
        <w:t>As of December 31, 2018, we have completed our accounting for the tax effects of enactment of the Tax Bill and recorded no significant adjustments to our provisional amounts other than as described above.</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Future regulatory and rulemaking interpretations or other guidance clarifying provisions of the Tax Bill may impact the Company’s tax position.</w:t>
      </w:r>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Deferred tax assets and liabilities are recognized for the estimated future tax consequences attributable to differences between the financial statement carrying amounts of existing assets and liabilities and their respective tax bases.</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0" w:right="199" w:bottom="1440" w:gutter="0" w:footer="0" w:header="0"/>
        </w:sectPr>
      </w:pPr>
    </w:p>
    <w:bookmarkStart w:id="100" w:name="page101"/>
    <w:bookmarkEnd w:id="10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8" w:lineRule="exact"/>
        <w:rPr>
          <w:sz w:val="20"/>
          <w:szCs w:val="20"/>
          <w:color w:val="auto"/>
        </w:rPr>
      </w:pPr>
    </w:p>
    <w:p>
      <w:pPr>
        <w:spacing w:after="0"/>
        <w:rPr>
          <w:sz w:val="20"/>
          <w:szCs w:val="20"/>
          <w:color w:val="auto"/>
        </w:rPr>
      </w:pPr>
      <w:r>
        <w:rPr>
          <w:rFonts w:ascii="Arial" w:cs="Arial" w:eastAsia="Arial" w:hAnsi="Arial"/>
          <w:sz w:val="12"/>
          <w:szCs w:val="12"/>
          <w:color w:val="auto"/>
        </w:rPr>
        <w:t>The components of the Company's deferred tax assets and liabilities are as follows: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6260" w:type="dxa"/>
            <w:vAlign w:val="bottom"/>
          </w:tcPr>
          <w:p>
            <w:pPr>
              <w:spacing w:after="0"/>
              <w:rPr>
                <w:sz w:val="20"/>
                <w:szCs w:val="20"/>
                <w:color w:val="auto"/>
              </w:rPr>
            </w:pPr>
            <w:r>
              <w:rPr>
                <w:rFonts w:ascii="Arial" w:cs="Arial" w:eastAsia="Arial" w:hAnsi="Arial"/>
                <w:sz w:val="10"/>
                <w:szCs w:val="10"/>
                <w:color w:val="auto"/>
              </w:rPr>
              <w:t>(Thousands)</w:t>
            </w:r>
          </w:p>
        </w:tc>
        <w:tc>
          <w:tcPr>
            <w:tcW w:w="2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180" w:type="dxa"/>
            <w:vAlign w:val="bottom"/>
            <w:gridSpan w:val="2"/>
          </w:tcPr>
          <w:p>
            <w:pPr>
              <w:jc w:val="right"/>
              <w:ind w:right="1040"/>
              <w:spacing w:after="0"/>
              <w:rPr>
                <w:sz w:val="20"/>
                <w:szCs w:val="20"/>
                <w:color w:val="auto"/>
              </w:rPr>
            </w:pPr>
            <w:r>
              <w:rPr>
                <w:rFonts w:ascii="Arial" w:cs="Arial" w:eastAsia="Arial" w:hAnsi="Arial"/>
                <w:sz w:val="10"/>
                <w:szCs w:val="10"/>
                <w:b w:val="1"/>
                <w:bCs w:val="1"/>
                <w:color w:val="auto"/>
              </w:rPr>
              <w:t>December 31, 2018</w:t>
            </w:r>
          </w:p>
        </w:tc>
        <w:tc>
          <w:tcPr>
            <w:tcW w:w="400" w:type="dxa"/>
            <w:vAlign w:val="bottom"/>
          </w:tcPr>
          <w:p>
            <w:pPr>
              <w:spacing w:after="0"/>
              <w:rPr>
                <w:sz w:val="10"/>
                <w:szCs w:val="10"/>
                <w:color w:val="auto"/>
              </w:rPr>
            </w:pPr>
          </w:p>
        </w:tc>
        <w:tc>
          <w:tcPr>
            <w:tcW w:w="2020" w:type="dxa"/>
            <w:vAlign w:val="bottom"/>
            <w:gridSpan w:val="2"/>
          </w:tcPr>
          <w:p>
            <w:pPr>
              <w:jc w:val="right"/>
              <w:ind w:right="880"/>
              <w:spacing w:after="0"/>
              <w:rPr>
                <w:sz w:val="20"/>
                <w:szCs w:val="20"/>
                <w:color w:val="auto"/>
              </w:rPr>
            </w:pPr>
            <w:r>
              <w:rPr>
                <w:rFonts w:ascii="Arial" w:cs="Arial" w:eastAsia="Arial" w:hAnsi="Arial"/>
                <w:sz w:val="10"/>
                <w:szCs w:val="10"/>
                <w:b w:val="1"/>
                <w:bCs w:val="1"/>
                <w:color w:val="auto"/>
              </w:rPr>
              <w:t>December 31, 2017</w:t>
            </w:r>
          </w:p>
        </w:tc>
        <w:tc>
          <w:tcPr>
            <w:tcW w:w="0" w:type="dxa"/>
            <w:vAlign w:val="bottom"/>
          </w:tcPr>
          <w:p>
            <w:pPr>
              <w:spacing w:after="0"/>
              <w:rPr>
                <w:sz w:val="1"/>
                <w:szCs w:val="1"/>
                <w:color w:val="auto"/>
              </w:rPr>
            </w:pPr>
          </w:p>
        </w:tc>
      </w:tr>
      <w:tr>
        <w:trPr>
          <w:trHeight w:val="142"/>
        </w:trPr>
        <w:tc>
          <w:tcPr>
            <w:tcW w:w="62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color w:val="auto"/>
              </w:rPr>
              <w:t>Deferred tax assets:</w:t>
            </w:r>
          </w:p>
        </w:tc>
        <w:tc>
          <w:tcPr>
            <w:tcW w:w="2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1920" w:type="dxa"/>
            <w:vAlign w:val="bottom"/>
            <w:tcBorders>
              <w:top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19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6260" w:type="dxa"/>
            <w:vAlign w:val="bottom"/>
          </w:tcPr>
          <w:p>
            <w:pPr>
              <w:ind w:left="160"/>
              <w:spacing w:after="0"/>
              <w:rPr>
                <w:sz w:val="20"/>
                <w:szCs w:val="20"/>
                <w:color w:val="auto"/>
              </w:rPr>
            </w:pPr>
            <w:r>
              <w:rPr>
                <w:rFonts w:ascii="Arial" w:cs="Arial" w:eastAsia="Arial" w:hAnsi="Arial"/>
                <w:sz w:val="12"/>
                <w:szCs w:val="12"/>
                <w:color w:val="auto"/>
              </w:rPr>
              <w:t>Deferred revenue</w:t>
            </w:r>
          </w:p>
        </w:tc>
        <w:tc>
          <w:tcPr>
            <w:tcW w:w="620" w:type="dxa"/>
            <w:vAlign w:val="bottom"/>
            <w:gridSpan w:val="2"/>
          </w:tcPr>
          <w:p>
            <w:pPr>
              <w:jc w:val="right"/>
              <w:ind w:right="340"/>
              <w:spacing w:after="0"/>
              <w:rPr>
                <w:sz w:val="20"/>
                <w:szCs w:val="20"/>
                <w:color w:val="auto"/>
              </w:rPr>
            </w:pPr>
            <w:r>
              <w:rPr>
                <w:rFonts w:ascii="Arial" w:cs="Arial" w:eastAsia="Arial" w:hAnsi="Arial"/>
                <w:sz w:val="12"/>
                <w:szCs w:val="12"/>
                <w:color w:val="auto"/>
              </w:rPr>
              <w:t>$</w:t>
            </w:r>
          </w:p>
        </w:tc>
        <w:tc>
          <w:tcPr>
            <w:tcW w:w="1920" w:type="dxa"/>
            <w:vAlign w:val="bottom"/>
          </w:tcPr>
          <w:p>
            <w:pPr>
              <w:jc w:val="right"/>
              <w:spacing w:after="0"/>
              <w:rPr>
                <w:sz w:val="20"/>
                <w:szCs w:val="20"/>
                <w:color w:val="auto"/>
              </w:rPr>
            </w:pPr>
            <w:r>
              <w:rPr>
                <w:rFonts w:ascii="Arial" w:cs="Arial" w:eastAsia="Arial" w:hAnsi="Arial"/>
                <w:sz w:val="12"/>
                <w:szCs w:val="12"/>
                <w:color w:val="auto"/>
              </w:rPr>
              <w:t>20,373</w:t>
            </w:r>
          </w:p>
        </w:tc>
        <w:tc>
          <w:tcPr>
            <w:tcW w:w="260" w:type="dxa"/>
            <w:vAlign w:val="bottom"/>
          </w:tcPr>
          <w:p>
            <w:pPr>
              <w:spacing w:after="0"/>
              <w:rPr>
                <w:sz w:val="13"/>
                <w:szCs w:val="13"/>
                <w:color w:val="auto"/>
              </w:rPr>
            </w:pPr>
          </w:p>
        </w:tc>
        <w:tc>
          <w:tcPr>
            <w:tcW w:w="400" w:type="dxa"/>
            <w:vAlign w:val="bottom"/>
          </w:tcPr>
          <w:p>
            <w:pPr>
              <w:jc w:val="right"/>
              <w:ind w:right="290"/>
              <w:spacing w:after="0"/>
              <w:rPr>
                <w:sz w:val="20"/>
                <w:szCs w:val="20"/>
                <w:color w:val="auto"/>
              </w:rPr>
            </w:pPr>
            <w:r>
              <w:rPr>
                <w:rFonts w:ascii="Arial" w:cs="Arial" w:eastAsia="Arial" w:hAnsi="Arial"/>
                <w:sz w:val="10"/>
                <w:szCs w:val="10"/>
                <w:color w:val="auto"/>
                <w:w w:val="71"/>
              </w:rPr>
              <w:t>$</w:t>
            </w:r>
          </w:p>
        </w:tc>
        <w:tc>
          <w:tcPr>
            <w:tcW w:w="1900" w:type="dxa"/>
            <w:vAlign w:val="bottom"/>
          </w:tcPr>
          <w:p>
            <w:pPr>
              <w:jc w:val="right"/>
              <w:spacing w:after="0"/>
              <w:rPr>
                <w:sz w:val="20"/>
                <w:szCs w:val="20"/>
                <w:color w:val="auto"/>
              </w:rPr>
            </w:pPr>
            <w:r>
              <w:rPr>
                <w:rFonts w:ascii="Arial" w:cs="Arial" w:eastAsia="Arial" w:hAnsi="Arial"/>
                <w:sz w:val="12"/>
                <w:szCs w:val="12"/>
                <w:color w:val="auto"/>
              </w:rPr>
              <w:t>17,114</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Accrued bonuses</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298</w:t>
            </w:r>
          </w:p>
        </w:tc>
        <w:tc>
          <w:tcPr>
            <w:tcW w:w="26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101</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tcPr>
          <w:p>
            <w:pPr>
              <w:ind w:left="160"/>
              <w:spacing w:after="0"/>
              <w:rPr>
                <w:sz w:val="20"/>
                <w:szCs w:val="20"/>
                <w:color w:val="auto"/>
              </w:rPr>
            </w:pPr>
            <w:r>
              <w:rPr>
                <w:rFonts w:ascii="Arial" w:cs="Arial" w:eastAsia="Arial" w:hAnsi="Arial"/>
                <w:sz w:val="12"/>
                <w:szCs w:val="12"/>
                <w:color w:val="auto"/>
              </w:rPr>
              <w:t>Stock based compensation</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823</w:t>
            </w: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Accrued expenses and other</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857</w:t>
            </w:r>
          </w:p>
        </w:tc>
        <w:tc>
          <w:tcPr>
            <w:tcW w:w="26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506</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tcPr>
          <w:p>
            <w:pPr>
              <w:ind w:left="160"/>
              <w:spacing w:after="0"/>
              <w:rPr>
                <w:sz w:val="20"/>
                <w:szCs w:val="20"/>
                <w:color w:val="auto"/>
              </w:rPr>
            </w:pPr>
            <w:r>
              <w:rPr>
                <w:rFonts w:ascii="Arial" w:cs="Arial" w:eastAsia="Arial" w:hAnsi="Arial"/>
                <w:sz w:val="12"/>
                <w:szCs w:val="12"/>
                <w:color w:val="auto"/>
              </w:rPr>
              <w:t>Asset retirement obligation</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1,458</w:t>
            </w: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2,023</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Inventory reserve</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544</w:t>
            </w:r>
          </w:p>
        </w:tc>
        <w:tc>
          <w:tcPr>
            <w:tcW w:w="26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1,341</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tcPr>
          <w:p>
            <w:pPr>
              <w:ind w:left="160"/>
              <w:spacing w:after="0"/>
              <w:rPr>
                <w:sz w:val="20"/>
                <w:szCs w:val="20"/>
                <w:color w:val="auto"/>
              </w:rPr>
            </w:pPr>
            <w:r>
              <w:rPr>
                <w:rFonts w:ascii="Arial" w:cs="Arial" w:eastAsia="Arial" w:hAnsi="Arial"/>
                <w:sz w:val="12"/>
                <w:szCs w:val="12"/>
                <w:color w:val="auto"/>
              </w:rPr>
              <w:t>Other</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904</w:t>
            </w: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248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Net operating loss carryforwards</w:t>
            </w:r>
          </w:p>
        </w:tc>
        <w:tc>
          <w:tcPr>
            <w:tcW w:w="220" w:type="dxa"/>
            <w:vAlign w:val="bottom"/>
            <w:shd w:val="clear" w:color="auto" w:fill="CFF0FC"/>
          </w:tcPr>
          <w:p>
            <w:pPr>
              <w:spacing w:after="0"/>
              <w:rPr>
                <w:sz w:val="13"/>
                <w:szCs w:val="13"/>
                <w:color w:val="auto"/>
              </w:rPr>
            </w:pPr>
          </w:p>
        </w:tc>
        <w:tc>
          <w:tcPr>
            <w:tcW w:w="400" w:type="dxa"/>
            <w:vAlign w:val="bottom"/>
            <w:tcBorders>
              <w:bottom w:val="single" w:sz="8" w:color="auto"/>
            </w:tcBorders>
            <w:shd w:val="clear" w:color="auto" w:fill="CFF0FC"/>
          </w:tcPr>
          <w:p>
            <w:pPr>
              <w:spacing w:after="0"/>
              <w:rPr>
                <w:sz w:val="13"/>
                <w:szCs w:val="13"/>
                <w:color w:val="auto"/>
              </w:rPr>
            </w:pPr>
          </w:p>
        </w:tc>
        <w:tc>
          <w:tcPr>
            <w:tcW w:w="1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92,443</w:t>
            </w:r>
          </w:p>
        </w:tc>
        <w:tc>
          <w:tcPr>
            <w:tcW w:w="260" w:type="dxa"/>
            <w:vAlign w:val="bottom"/>
            <w:shd w:val="clear" w:color="auto" w:fill="CFF0FC"/>
          </w:tcPr>
          <w:p>
            <w:pPr>
              <w:spacing w:after="0"/>
              <w:rPr>
                <w:sz w:val="13"/>
                <w:szCs w:val="13"/>
                <w:color w:val="auto"/>
              </w:rPr>
            </w:pPr>
          </w:p>
        </w:tc>
        <w:tc>
          <w:tcPr>
            <w:tcW w:w="400" w:type="dxa"/>
            <w:vAlign w:val="bottom"/>
            <w:tcBorders>
              <w:bottom w:val="single" w:sz="8" w:color="auto"/>
            </w:tcBorders>
            <w:shd w:val="clear" w:color="auto" w:fill="CFF0FC"/>
          </w:tcPr>
          <w:p>
            <w:pPr>
              <w:spacing w:after="0"/>
              <w:rPr>
                <w:sz w:val="13"/>
                <w:szCs w:val="13"/>
                <w:color w:val="auto"/>
              </w:rPr>
            </w:pPr>
          </w:p>
        </w:tc>
        <w:tc>
          <w:tcPr>
            <w:tcW w:w="1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36,229</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6260" w:type="dxa"/>
            <w:vAlign w:val="bottom"/>
          </w:tcPr>
          <w:p>
            <w:pPr>
              <w:spacing w:after="0"/>
              <w:rPr>
                <w:sz w:val="20"/>
                <w:szCs w:val="20"/>
                <w:color w:val="auto"/>
              </w:rPr>
            </w:pPr>
            <w:r>
              <w:rPr>
                <w:rFonts w:ascii="Arial" w:cs="Arial" w:eastAsia="Arial" w:hAnsi="Arial"/>
                <w:sz w:val="12"/>
                <w:szCs w:val="12"/>
                <w:color w:val="auto"/>
              </w:rPr>
              <w:t>Deferred tax assets</w:t>
            </w:r>
          </w:p>
        </w:tc>
        <w:tc>
          <w:tcPr>
            <w:tcW w:w="2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117,700</w:t>
            </w: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57,562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spacing w:after="0"/>
              <w:rPr>
                <w:sz w:val="20"/>
                <w:szCs w:val="20"/>
                <w:color w:val="auto"/>
              </w:rPr>
            </w:pPr>
            <w:r>
              <w:rPr>
                <w:rFonts w:ascii="Arial" w:cs="Arial" w:eastAsia="Arial" w:hAnsi="Arial"/>
                <w:sz w:val="12"/>
                <w:szCs w:val="12"/>
                <w:color w:val="auto"/>
              </w:rPr>
              <w:t>Valuation allowance</w:t>
            </w:r>
          </w:p>
        </w:tc>
        <w:tc>
          <w:tcPr>
            <w:tcW w:w="220" w:type="dxa"/>
            <w:vAlign w:val="bottom"/>
            <w:shd w:val="clear" w:color="auto" w:fill="CFF0FC"/>
          </w:tcPr>
          <w:p>
            <w:pPr>
              <w:spacing w:after="0"/>
              <w:rPr>
                <w:sz w:val="13"/>
                <w:szCs w:val="13"/>
                <w:color w:val="auto"/>
              </w:rPr>
            </w:pPr>
          </w:p>
        </w:tc>
        <w:tc>
          <w:tcPr>
            <w:tcW w:w="400" w:type="dxa"/>
            <w:vAlign w:val="bottom"/>
            <w:tcBorders>
              <w:bottom w:val="single" w:sz="8" w:color="auto"/>
            </w:tcBorders>
            <w:shd w:val="clear" w:color="auto" w:fill="CFF0FC"/>
          </w:tcPr>
          <w:p>
            <w:pPr>
              <w:spacing w:after="0"/>
              <w:rPr>
                <w:sz w:val="13"/>
                <w:szCs w:val="13"/>
                <w:color w:val="auto"/>
              </w:rPr>
            </w:pPr>
          </w:p>
        </w:tc>
        <w:tc>
          <w:tcPr>
            <w:tcW w:w="1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400" w:type="dxa"/>
            <w:vAlign w:val="bottom"/>
            <w:tcBorders>
              <w:bottom w:val="single" w:sz="8" w:color="auto"/>
            </w:tcBorders>
            <w:shd w:val="clear" w:color="auto" w:fill="CFF0FC"/>
          </w:tcPr>
          <w:p>
            <w:pPr>
              <w:spacing w:after="0"/>
              <w:rPr>
                <w:sz w:val="13"/>
                <w:szCs w:val="13"/>
                <w:color w:val="auto"/>
              </w:rPr>
            </w:pPr>
          </w:p>
        </w:tc>
        <w:tc>
          <w:tcPr>
            <w:tcW w:w="1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6260" w:type="dxa"/>
            <w:vAlign w:val="bottom"/>
          </w:tcPr>
          <w:p>
            <w:pPr>
              <w:spacing w:after="0"/>
              <w:rPr>
                <w:sz w:val="20"/>
                <w:szCs w:val="20"/>
                <w:color w:val="auto"/>
              </w:rPr>
            </w:pPr>
            <w:r>
              <w:rPr>
                <w:rFonts w:ascii="Arial" w:cs="Arial" w:eastAsia="Arial" w:hAnsi="Arial"/>
                <w:sz w:val="12"/>
                <w:szCs w:val="12"/>
                <w:color w:val="auto"/>
              </w:rPr>
              <w:t>Deferred tax assets, net of valuation allowance</w:t>
            </w:r>
          </w:p>
        </w:tc>
        <w:tc>
          <w:tcPr>
            <w:tcW w:w="2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920" w:type="dxa"/>
            <w:vAlign w:val="bottom"/>
          </w:tcPr>
          <w:p>
            <w:pPr>
              <w:jc w:val="right"/>
              <w:spacing w:after="0"/>
              <w:rPr>
                <w:sz w:val="20"/>
                <w:szCs w:val="20"/>
                <w:color w:val="auto"/>
              </w:rPr>
            </w:pPr>
            <w:r>
              <w:rPr>
                <w:rFonts w:ascii="Arial" w:cs="Arial" w:eastAsia="Arial" w:hAnsi="Arial"/>
                <w:sz w:val="12"/>
                <w:szCs w:val="12"/>
                <w:color w:val="auto"/>
              </w:rPr>
              <w:t>117,700</w:t>
            </w: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57,562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tcPr>
          <w:p>
            <w:pPr>
              <w:spacing w:after="0"/>
              <w:rPr>
                <w:sz w:val="20"/>
                <w:szCs w:val="20"/>
                <w:color w:val="auto"/>
              </w:rPr>
            </w:pPr>
            <w:r>
              <w:rPr>
                <w:rFonts w:ascii="Arial" w:cs="Arial" w:eastAsia="Arial" w:hAnsi="Arial"/>
                <w:sz w:val="12"/>
                <w:szCs w:val="12"/>
                <w:color w:val="auto"/>
              </w:rPr>
              <w:t>Deferred tax liabilities:</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Property, plant and equipment</w:t>
            </w:r>
          </w:p>
        </w:tc>
        <w:tc>
          <w:tcPr>
            <w:tcW w:w="620" w:type="dxa"/>
            <w:vAlign w:val="bottom"/>
            <w:gridSpan w:val="2"/>
            <w:shd w:val="clear" w:color="auto" w:fill="CFF0FC"/>
          </w:tcPr>
          <w:p>
            <w:pPr>
              <w:jc w:val="right"/>
              <w:ind w:right="340"/>
              <w:spacing w:after="0"/>
              <w:rPr>
                <w:sz w:val="20"/>
                <w:szCs w:val="20"/>
                <w:color w:val="auto"/>
              </w:rPr>
            </w:pPr>
            <w:r>
              <w:rPr>
                <w:rFonts w:ascii="Arial" w:cs="Arial" w:eastAsia="Arial" w:hAnsi="Arial"/>
                <w:sz w:val="12"/>
                <w:szCs w:val="12"/>
                <w:color w:val="auto"/>
              </w:rPr>
              <w:t>$</w:t>
            </w:r>
          </w:p>
        </w:tc>
        <w:tc>
          <w:tcPr>
            <w:tcW w:w="218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(97,651)</w:t>
            </w:r>
          </w:p>
        </w:tc>
        <w:tc>
          <w:tcPr>
            <w:tcW w:w="400" w:type="dxa"/>
            <w:vAlign w:val="bottom"/>
            <w:shd w:val="clear" w:color="auto" w:fill="CFF0FC"/>
          </w:tcPr>
          <w:p>
            <w:pPr>
              <w:jc w:val="right"/>
              <w:ind w:right="290"/>
              <w:spacing w:after="0"/>
              <w:rPr>
                <w:sz w:val="20"/>
                <w:szCs w:val="20"/>
                <w:color w:val="auto"/>
              </w:rPr>
            </w:pPr>
            <w:r>
              <w:rPr>
                <w:rFonts w:ascii="Arial" w:cs="Arial" w:eastAsia="Arial" w:hAnsi="Arial"/>
                <w:sz w:val="10"/>
                <w:szCs w:val="10"/>
                <w:color w:val="auto"/>
                <w:w w:val="71"/>
              </w:rPr>
              <w:t>$</w:t>
            </w: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(43,817)</w:t>
            </w:r>
          </w:p>
        </w:tc>
        <w:tc>
          <w:tcPr>
            <w:tcW w:w="0" w:type="dxa"/>
            <w:vAlign w:val="bottom"/>
          </w:tcPr>
          <w:p>
            <w:pPr>
              <w:spacing w:after="0"/>
              <w:rPr>
                <w:sz w:val="1"/>
                <w:szCs w:val="1"/>
                <w:color w:val="auto"/>
              </w:rPr>
            </w:pPr>
          </w:p>
        </w:tc>
      </w:tr>
      <w:tr>
        <w:trPr>
          <w:trHeight w:val="153"/>
        </w:trPr>
        <w:tc>
          <w:tcPr>
            <w:tcW w:w="6260" w:type="dxa"/>
            <w:vAlign w:val="bottom"/>
          </w:tcPr>
          <w:p>
            <w:pPr>
              <w:ind w:left="160"/>
              <w:spacing w:after="0"/>
              <w:rPr>
                <w:sz w:val="20"/>
                <w:szCs w:val="20"/>
                <w:color w:val="auto"/>
              </w:rPr>
            </w:pPr>
            <w:r>
              <w:rPr>
                <w:rFonts w:ascii="Arial" w:cs="Arial" w:eastAsia="Arial" w:hAnsi="Arial"/>
                <w:sz w:val="12"/>
                <w:szCs w:val="12"/>
                <w:color w:val="auto"/>
              </w:rPr>
              <w:t>Customer list intangible</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180" w:type="dxa"/>
            <w:vAlign w:val="bottom"/>
            <w:gridSpan w:val="2"/>
          </w:tcPr>
          <w:p>
            <w:pPr>
              <w:jc w:val="right"/>
              <w:ind w:right="220"/>
              <w:spacing w:after="0"/>
              <w:rPr>
                <w:sz w:val="20"/>
                <w:szCs w:val="20"/>
                <w:color w:val="auto"/>
              </w:rPr>
            </w:pPr>
            <w:r>
              <w:rPr>
                <w:rFonts w:ascii="Arial" w:cs="Arial" w:eastAsia="Arial" w:hAnsi="Arial"/>
                <w:sz w:val="12"/>
                <w:szCs w:val="12"/>
                <w:color w:val="auto"/>
              </w:rPr>
              <w:t>(67,382)</w:t>
            </w:r>
          </w:p>
        </w:tc>
        <w:tc>
          <w:tcPr>
            <w:tcW w:w="400" w:type="dxa"/>
            <w:vAlign w:val="bottom"/>
          </w:tcPr>
          <w:p>
            <w:pPr>
              <w:spacing w:after="0"/>
              <w:rPr>
                <w:sz w:val="13"/>
                <w:szCs w:val="13"/>
                <w:color w:val="auto"/>
              </w:rPr>
            </w:pP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(68,795)</w:t>
            </w: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Other intangible amortization</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218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(3,954)</w:t>
            </w:r>
          </w:p>
        </w:tc>
        <w:tc>
          <w:tcPr>
            <w:tcW w:w="40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(291)</w:t>
            </w:r>
          </w:p>
        </w:tc>
        <w:tc>
          <w:tcPr>
            <w:tcW w:w="0" w:type="dxa"/>
            <w:vAlign w:val="bottom"/>
          </w:tcPr>
          <w:p>
            <w:pPr>
              <w:spacing w:after="0"/>
              <w:rPr>
                <w:sz w:val="1"/>
                <w:szCs w:val="1"/>
                <w:color w:val="auto"/>
              </w:rPr>
            </w:pPr>
          </w:p>
        </w:tc>
      </w:tr>
      <w:tr>
        <w:trPr>
          <w:trHeight w:val="153"/>
        </w:trPr>
        <w:tc>
          <w:tcPr>
            <w:tcW w:w="6260" w:type="dxa"/>
            <w:vAlign w:val="bottom"/>
          </w:tcPr>
          <w:p>
            <w:pPr>
              <w:ind w:left="160"/>
              <w:spacing w:after="0"/>
              <w:rPr>
                <w:sz w:val="20"/>
                <w:szCs w:val="20"/>
                <w:color w:val="auto"/>
              </w:rPr>
            </w:pPr>
            <w:r>
              <w:rPr>
                <w:rFonts w:ascii="Arial" w:cs="Arial" w:eastAsia="Arial" w:hAnsi="Arial"/>
                <w:sz w:val="12"/>
                <w:szCs w:val="12"/>
                <w:color w:val="auto"/>
              </w:rPr>
              <w:t>Deferred or prepaid costs</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180" w:type="dxa"/>
            <w:vAlign w:val="bottom"/>
            <w:gridSpan w:val="2"/>
          </w:tcPr>
          <w:p>
            <w:pPr>
              <w:jc w:val="right"/>
              <w:ind w:right="220"/>
              <w:spacing w:after="0"/>
              <w:rPr>
                <w:sz w:val="20"/>
                <w:szCs w:val="20"/>
                <w:color w:val="auto"/>
              </w:rPr>
            </w:pPr>
            <w:r>
              <w:rPr>
                <w:rFonts w:ascii="Arial" w:cs="Arial" w:eastAsia="Arial" w:hAnsi="Arial"/>
                <w:sz w:val="12"/>
                <w:szCs w:val="12"/>
                <w:color w:val="auto"/>
              </w:rPr>
              <w:t>(1,147)</w:t>
            </w:r>
          </w:p>
        </w:tc>
        <w:tc>
          <w:tcPr>
            <w:tcW w:w="400" w:type="dxa"/>
            <w:vAlign w:val="bottom"/>
          </w:tcPr>
          <w:p>
            <w:pPr>
              <w:spacing w:after="0"/>
              <w:rPr>
                <w:sz w:val="13"/>
                <w:szCs w:val="13"/>
                <w:color w:val="auto"/>
              </w:rPr>
            </w:pPr>
          </w:p>
        </w:tc>
        <w:tc>
          <w:tcPr>
            <w:tcW w:w="19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626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Other</w:t>
            </w:r>
          </w:p>
        </w:tc>
        <w:tc>
          <w:tcPr>
            <w:tcW w:w="2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20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(137)</w:t>
            </w:r>
          </w:p>
        </w:tc>
        <w:tc>
          <w:tcPr>
            <w:tcW w:w="0" w:type="dxa"/>
            <w:vAlign w:val="bottom"/>
          </w:tcPr>
          <w:p>
            <w:pPr>
              <w:spacing w:after="0"/>
              <w:rPr>
                <w:sz w:val="1"/>
                <w:szCs w:val="1"/>
                <w:color w:val="auto"/>
              </w:rPr>
            </w:pPr>
          </w:p>
        </w:tc>
      </w:tr>
      <w:tr>
        <w:trPr>
          <w:trHeight w:val="20"/>
        </w:trPr>
        <w:tc>
          <w:tcPr>
            <w:tcW w:w="6260" w:type="dxa"/>
            <w:vAlign w:val="bottom"/>
            <w:vMerge w:val="restart"/>
          </w:tcPr>
          <w:p>
            <w:pPr>
              <w:spacing w:after="0"/>
              <w:rPr>
                <w:sz w:val="20"/>
                <w:szCs w:val="20"/>
                <w:color w:val="auto"/>
              </w:rPr>
            </w:pPr>
            <w:r>
              <w:rPr>
                <w:rFonts w:ascii="Arial" w:cs="Arial" w:eastAsia="Arial" w:hAnsi="Arial"/>
                <w:sz w:val="12"/>
                <w:szCs w:val="12"/>
                <w:color w:val="auto"/>
              </w:rPr>
              <w:t>Deferred tax liabilities</w:t>
            </w:r>
          </w:p>
        </w:tc>
        <w:tc>
          <w:tcPr>
            <w:tcW w:w="2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260" w:type="dxa"/>
            <w:vAlign w:val="bottom"/>
            <w:vMerge w:val="continue"/>
          </w:tcPr>
          <w:p>
            <w:pPr>
              <w:spacing w:after="0"/>
              <w:rPr>
                <w:sz w:val="12"/>
                <w:szCs w:val="12"/>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2"/>
                <w:szCs w:val="12"/>
                <w:color w:val="auto"/>
              </w:rPr>
              <w:t>$</w:t>
            </w:r>
          </w:p>
        </w:tc>
        <w:tc>
          <w:tcPr>
            <w:tcW w:w="2180" w:type="dxa"/>
            <w:vAlign w:val="bottom"/>
            <w:gridSpan w:val="2"/>
          </w:tcPr>
          <w:p>
            <w:pPr>
              <w:jc w:val="right"/>
              <w:ind w:right="220"/>
              <w:spacing w:after="0"/>
              <w:rPr>
                <w:sz w:val="20"/>
                <w:szCs w:val="20"/>
                <w:color w:val="auto"/>
              </w:rPr>
            </w:pPr>
            <w:r>
              <w:rPr>
                <w:rFonts w:ascii="Arial" w:cs="Arial" w:eastAsia="Arial" w:hAnsi="Arial"/>
                <w:sz w:val="12"/>
                <w:szCs w:val="12"/>
                <w:color w:val="auto"/>
              </w:rPr>
              <w:t>(170,134)</w:t>
            </w:r>
          </w:p>
        </w:tc>
        <w:tc>
          <w:tcPr>
            <w:tcW w:w="400" w:type="dxa"/>
            <w:vAlign w:val="bottom"/>
          </w:tcPr>
          <w:p>
            <w:pPr>
              <w:jc w:val="right"/>
              <w:ind w:right="290"/>
              <w:spacing w:after="0"/>
              <w:rPr>
                <w:sz w:val="20"/>
                <w:szCs w:val="20"/>
                <w:color w:val="auto"/>
              </w:rPr>
            </w:pPr>
            <w:r>
              <w:rPr>
                <w:rFonts w:ascii="Arial" w:cs="Arial" w:eastAsia="Arial" w:hAnsi="Arial"/>
                <w:sz w:val="10"/>
                <w:szCs w:val="10"/>
                <w:color w:val="auto"/>
                <w:w w:val="71"/>
              </w:rPr>
              <w:t>$</w:t>
            </w: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(113,040)</w:t>
            </w:r>
          </w:p>
        </w:tc>
        <w:tc>
          <w:tcPr>
            <w:tcW w:w="0" w:type="dxa"/>
            <w:vAlign w:val="bottom"/>
          </w:tcPr>
          <w:p>
            <w:pPr>
              <w:spacing w:after="0"/>
              <w:rPr>
                <w:sz w:val="1"/>
                <w:szCs w:val="1"/>
                <w:color w:val="auto"/>
              </w:rPr>
            </w:pPr>
          </w:p>
        </w:tc>
      </w:tr>
      <w:tr>
        <w:trPr>
          <w:trHeight w:val="142"/>
        </w:trPr>
        <w:tc>
          <w:tcPr>
            <w:tcW w:w="6260" w:type="dxa"/>
            <w:vAlign w:val="bottom"/>
            <w:tcBorders>
              <w:top w:val="single" w:sz="8" w:color="CFF0FC"/>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bottom w:val="single" w:sz="8" w:color="auto"/>
            </w:tcBorders>
            <w:shd w:val="clear" w:color="auto" w:fill="CFF0FC"/>
          </w:tcPr>
          <w:p>
            <w:pPr>
              <w:spacing w:after="0"/>
              <w:rPr>
                <w:sz w:val="12"/>
                <w:szCs w:val="12"/>
                <w:color w:val="auto"/>
              </w:rPr>
            </w:pPr>
          </w:p>
        </w:tc>
        <w:tc>
          <w:tcPr>
            <w:tcW w:w="1920" w:type="dxa"/>
            <w:vAlign w:val="bottom"/>
            <w:tcBorders>
              <w:top w:val="single" w:sz="8" w:color="auto"/>
              <w:bottom w:val="single" w:sz="8" w:color="auto"/>
            </w:tcBorders>
            <w:shd w:val="clear" w:color="auto" w:fill="CFF0FC"/>
          </w:tcPr>
          <w:p>
            <w:pPr>
              <w:spacing w:after="0"/>
              <w:rPr>
                <w:sz w:val="12"/>
                <w:szCs w:val="12"/>
                <w:color w:val="auto"/>
              </w:rPr>
            </w:pPr>
          </w:p>
        </w:tc>
        <w:tc>
          <w:tcPr>
            <w:tcW w:w="26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bottom w:val="single" w:sz="8" w:color="auto"/>
            </w:tcBorders>
            <w:shd w:val="clear" w:color="auto" w:fill="CFF0FC"/>
          </w:tcPr>
          <w:p>
            <w:pPr>
              <w:spacing w:after="0"/>
              <w:rPr>
                <w:sz w:val="12"/>
                <w:szCs w:val="12"/>
                <w:color w:val="auto"/>
              </w:rPr>
            </w:pPr>
          </w:p>
        </w:tc>
        <w:tc>
          <w:tcPr>
            <w:tcW w:w="1900" w:type="dxa"/>
            <w:vAlign w:val="bottom"/>
            <w:tcBorders>
              <w:top w:val="single" w:sz="8" w:color="auto"/>
              <w:bottom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260" w:type="dxa"/>
            <w:vAlign w:val="bottom"/>
          </w:tcPr>
          <w:p>
            <w:pPr>
              <w:spacing w:after="0"/>
              <w:rPr>
                <w:sz w:val="20"/>
                <w:szCs w:val="20"/>
                <w:color w:val="auto"/>
              </w:rPr>
            </w:pPr>
            <w:r>
              <w:rPr>
                <w:rFonts w:ascii="Arial" w:cs="Arial" w:eastAsia="Arial" w:hAnsi="Arial"/>
                <w:sz w:val="12"/>
                <w:szCs w:val="12"/>
                <w:color w:val="auto"/>
              </w:rPr>
              <w:t>Deferred tax liability, net</w:t>
            </w:r>
          </w:p>
        </w:tc>
        <w:tc>
          <w:tcPr>
            <w:tcW w:w="620" w:type="dxa"/>
            <w:vAlign w:val="bottom"/>
            <w:gridSpan w:val="2"/>
          </w:tcPr>
          <w:p>
            <w:pPr>
              <w:jc w:val="right"/>
              <w:ind w:right="340"/>
              <w:spacing w:after="0"/>
              <w:rPr>
                <w:sz w:val="20"/>
                <w:szCs w:val="20"/>
                <w:color w:val="auto"/>
              </w:rPr>
            </w:pPr>
            <w:r>
              <w:rPr>
                <w:rFonts w:ascii="Arial" w:cs="Arial" w:eastAsia="Arial" w:hAnsi="Arial"/>
                <w:sz w:val="12"/>
                <w:szCs w:val="12"/>
                <w:color w:val="auto"/>
              </w:rPr>
              <w:t>$</w:t>
            </w:r>
          </w:p>
        </w:tc>
        <w:tc>
          <w:tcPr>
            <w:tcW w:w="2180" w:type="dxa"/>
            <w:vAlign w:val="bottom"/>
            <w:gridSpan w:val="2"/>
          </w:tcPr>
          <w:p>
            <w:pPr>
              <w:jc w:val="right"/>
              <w:ind w:right="220"/>
              <w:spacing w:after="0"/>
              <w:rPr>
                <w:sz w:val="20"/>
                <w:szCs w:val="20"/>
                <w:color w:val="auto"/>
              </w:rPr>
            </w:pPr>
            <w:r>
              <w:rPr>
                <w:rFonts w:ascii="Arial" w:cs="Arial" w:eastAsia="Arial" w:hAnsi="Arial"/>
                <w:sz w:val="12"/>
                <w:szCs w:val="12"/>
                <w:color w:val="auto"/>
              </w:rPr>
              <w:t>(52,434)</w:t>
            </w:r>
          </w:p>
        </w:tc>
        <w:tc>
          <w:tcPr>
            <w:tcW w:w="400" w:type="dxa"/>
            <w:vAlign w:val="bottom"/>
          </w:tcPr>
          <w:p>
            <w:pPr>
              <w:jc w:val="right"/>
              <w:ind w:right="290"/>
              <w:spacing w:after="0"/>
              <w:rPr>
                <w:sz w:val="20"/>
                <w:szCs w:val="20"/>
                <w:color w:val="auto"/>
              </w:rPr>
            </w:pPr>
            <w:r>
              <w:rPr>
                <w:rFonts w:ascii="Arial" w:cs="Arial" w:eastAsia="Arial" w:hAnsi="Arial"/>
                <w:sz w:val="10"/>
                <w:szCs w:val="10"/>
                <w:color w:val="auto"/>
                <w:w w:val="71"/>
              </w:rPr>
              <w:t>$</w:t>
            </w:r>
          </w:p>
        </w:tc>
        <w:tc>
          <w:tcPr>
            <w:tcW w:w="2020" w:type="dxa"/>
            <w:vAlign w:val="bottom"/>
            <w:gridSpan w:val="2"/>
          </w:tcPr>
          <w:p>
            <w:pPr>
              <w:jc w:val="right"/>
              <w:ind w:right="80"/>
              <w:spacing w:after="0"/>
              <w:rPr>
                <w:sz w:val="20"/>
                <w:szCs w:val="20"/>
                <w:color w:val="auto"/>
              </w:rPr>
            </w:pPr>
            <w:r>
              <w:rPr>
                <w:rFonts w:ascii="Arial" w:cs="Arial" w:eastAsia="Arial" w:hAnsi="Arial"/>
                <w:sz w:val="12"/>
                <w:szCs w:val="12"/>
                <w:color w:val="auto"/>
              </w:rPr>
              <w:t>(55,478)</w:t>
            </w:r>
          </w:p>
        </w:tc>
        <w:tc>
          <w:tcPr>
            <w:tcW w:w="0" w:type="dxa"/>
            <w:vAlign w:val="bottom"/>
          </w:tcPr>
          <w:p>
            <w:pPr>
              <w:spacing w:after="0"/>
              <w:rPr>
                <w:sz w:val="1"/>
                <w:szCs w:val="1"/>
                <w:color w:val="auto"/>
              </w:rPr>
            </w:pPr>
          </w:p>
        </w:tc>
      </w:tr>
      <w:tr>
        <w:trPr>
          <w:trHeight w:val="27"/>
        </w:trPr>
        <w:tc>
          <w:tcPr>
            <w:tcW w:w="6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9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9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35" w:lineRule="exact"/>
        <w:rPr>
          <w:sz w:val="20"/>
          <w:szCs w:val="20"/>
          <w:color w:val="auto"/>
        </w:rPr>
      </w:pPr>
    </w:p>
    <w:p>
      <w:pPr>
        <w:spacing w:after="0"/>
        <w:rPr>
          <w:sz w:val="20"/>
          <w:szCs w:val="20"/>
          <w:color w:val="auto"/>
        </w:rPr>
      </w:pPr>
      <w:r>
        <w:rPr>
          <w:rFonts w:ascii="Arial" w:cs="Arial" w:eastAsia="Arial" w:hAnsi="Arial"/>
          <w:sz w:val="12"/>
          <w:szCs w:val="12"/>
          <w:color w:val="auto"/>
        </w:rPr>
        <w:t>As of December 31, 2018, the Company’s deferred tax assets were primarily the result of U.S. federal and state NOL carryforwards.</w:t>
      </w:r>
    </w:p>
    <w:p>
      <w:pPr>
        <w:spacing w:after="0" w:line="150" w:lineRule="exact"/>
        <w:rPr>
          <w:sz w:val="20"/>
          <w:szCs w:val="20"/>
          <w:color w:val="auto"/>
        </w:rPr>
      </w:pPr>
    </w:p>
    <w:p>
      <w:pPr>
        <w:ind w:right="120"/>
        <w:spacing w:after="0" w:line="263" w:lineRule="auto"/>
        <w:rPr>
          <w:sz w:val="20"/>
          <w:szCs w:val="20"/>
          <w:color w:val="auto"/>
        </w:rPr>
      </w:pPr>
      <w:r>
        <w:rPr>
          <w:rFonts w:ascii="Arial" w:cs="Arial" w:eastAsia="Arial" w:hAnsi="Arial"/>
          <w:sz w:val="12"/>
          <w:szCs w:val="12"/>
          <w:color w:val="auto"/>
        </w:rPr>
        <w:t>As of each reporting date, the Company’s management considers new evidence, both positive and negative, that could impact management’s view with regard to future realization of deferred tax assets. Given the Company has significant deferred tax liabilities which are not limited by Sec. 269(a)(1) of the Code, management determined that sufficient positive evidence exists as of December 31, 2018, to conclude that it is more likely than not that all of its deferred tax assets are realizable, and therefore, no valuation allowance has been recorded.</w:t>
      </w:r>
    </w:p>
    <w:p>
      <w:pPr>
        <w:spacing w:after="0" w:line="123" w:lineRule="exact"/>
        <w:rPr>
          <w:sz w:val="20"/>
          <w:szCs w:val="20"/>
          <w:color w:val="auto"/>
        </w:rPr>
      </w:pPr>
    </w:p>
    <w:p>
      <w:pPr>
        <w:ind w:right="220"/>
        <w:spacing w:after="0" w:line="263" w:lineRule="auto"/>
        <w:rPr>
          <w:sz w:val="20"/>
          <w:szCs w:val="20"/>
          <w:color w:val="auto"/>
        </w:rPr>
      </w:pPr>
      <w:r>
        <w:rPr>
          <w:rFonts w:ascii="Arial" w:cs="Arial" w:eastAsia="Arial" w:hAnsi="Arial"/>
          <w:sz w:val="12"/>
          <w:szCs w:val="12"/>
          <w:color w:val="auto"/>
        </w:rPr>
        <w:t>On August 31, 2016, we acquired 100% of the outstanding equity of Tower Cloud, Inc., which had federal NOL carryforwards of approximately $81.2 million at the date of the acquisition. As a result of the change in ownership, the utilization of Tower Cloud, Inc. NOL carryforwards is subject to limitations imposed by the Code. Approximately $18.3 million of the Tower Cloud, Inc. NOL carryforward was utilized in 2017. The remaining Tower Cloud, Inc. NOL carryforwards will expire between 2026 and 2036.</w:t>
      </w:r>
    </w:p>
    <w:p>
      <w:pPr>
        <w:spacing w:after="0" w:line="123" w:lineRule="exact"/>
        <w:rPr>
          <w:sz w:val="20"/>
          <w:szCs w:val="20"/>
          <w:color w:val="auto"/>
        </w:rPr>
      </w:pPr>
    </w:p>
    <w:p>
      <w:pPr>
        <w:ind w:right="180"/>
        <w:spacing w:after="0" w:line="276" w:lineRule="auto"/>
        <w:rPr>
          <w:sz w:val="20"/>
          <w:szCs w:val="20"/>
          <w:color w:val="auto"/>
        </w:rPr>
      </w:pPr>
      <w:r>
        <w:rPr>
          <w:rFonts w:ascii="Arial" w:cs="Arial" w:eastAsia="Arial" w:hAnsi="Arial"/>
          <w:sz w:val="12"/>
          <w:szCs w:val="12"/>
          <w:color w:val="auto"/>
        </w:rPr>
        <w:t>We have total federal NOL carryforwards as of December 31, 2018 of approximately $165.2 million which will expire between 2026 and 2037, and approximately $189.2 million which will not expire but the utilization of which will be limited to 80% of taxable income annually under provisions enacted in the Tax Bill.</w:t>
      </w:r>
    </w:p>
    <w:p>
      <w:pPr>
        <w:spacing w:after="0" w:line="115"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With the exception of Tower Cloud, Inc., our 2015 returns remain open to examination. As Tower Cloud, Inc. has NOLs available to carry forward, the applicable tax years will generally remain open to examination several years after the applicable loss carryforwards have been utilized or expire.</w:t>
      </w:r>
    </w:p>
    <w:p>
      <w:pPr>
        <w:spacing w:after="0" w:line="115"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The Company or its subsidiaries file tax returns in the U.S. federal jurisdiction, various state and local jurisdictions, and certain foreign jurisdictions. A reconciliation of the Company’s beginning and ending liability for unrecognized tax benefits is as follows:</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01" w:name="page102"/>
    <w:bookmarkEnd w:id="101"/>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630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160" w:type="dxa"/>
            <w:vAlign w:val="bottom"/>
            <w:tcBorders>
              <w:bottom w:val="single" w:sz="8" w:color="CFF0FC"/>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760" w:type="dxa"/>
            <w:vAlign w:val="bottom"/>
            <w:tcBorders>
              <w:bottom w:val="single" w:sz="8" w:color="auto"/>
            </w:tcBorders>
          </w:tcPr>
          <w:p>
            <w:pPr>
              <w:jc w:val="right"/>
              <w:ind w:right="1021"/>
              <w:spacing w:after="0"/>
              <w:rPr>
                <w:sz w:val="20"/>
                <w:szCs w:val="20"/>
                <w:color w:val="auto"/>
              </w:rPr>
            </w:pPr>
            <w:r>
              <w:rPr>
                <w:rFonts w:ascii="Arial" w:cs="Arial" w:eastAsia="Arial" w:hAnsi="Arial"/>
                <w:sz w:val="10"/>
                <w:szCs w:val="10"/>
                <w:b w:val="1"/>
                <w:bCs w:val="1"/>
                <w:color w:val="auto"/>
              </w:rPr>
              <w:t>2018</w:t>
            </w:r>
          </w:p>
        </w:tc>
        <w:tc>
          <w:tcPr>
            <w:tcW w:w="260" w:type="dxa"/>
            <w:vAlign w:val="bottom"/>
            <w:tcBorders>
              <w:bottom w:val="single" w:sz="8" w:color="CFF0FC"/>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760" w:type="dxa"/>
            <w:vAlign w:val="bottom"/>
            <w:tcBorders>
              <w:bottom w:val="single" w:sz="8" w:color="auto"/>
            </w:tcBorders>
          </w:tcPr>
          <w:p>
            <w:pPr>
              <w:jc w:val="right"/>
              <w:ind w:right="1001"/>
              <w:spacing w:after="0"/>
              <w:rPr>
                <w:sz w:val="20"/>
                <w:szCs w:val="20"/>
                <w:color w:val="auto"/>
              </w:rPr>
            </w:pPr>
            <w:r>
              <w:rPr>
                <w:rFonts w:ascii="Arial" w:cs="Arial" w:eastAsia="Arial" w:hAnsi="Arial"/>
                <w:sz w:val="10"/>
                <w:szCs w:val="10"/>
                <w:b w:val="1"/>
                <w:bCs w:val="1"/>
                <w:color w:val="auto"/>
              </w:rPr>
              <w:t>2017</w:t>
            </w:r>
          </w:p>
        </w:tc>
        <w:tc>
          <w:tcPr>
            <w:tcW w:w="120" w:type="dxa"/>
            <w:vAlign w:val="bottom"/>
            <w:tcBorders>
              <w:bottom w:val="single" w:sz="8" w:color="CFF0FC"/>
            </w:tcBorders>
          </w:tcPr>
          <w:p>
            <w:pPr>
              <w:spacing w:after="0"/>
              <w:rPr>
                <w:sz w:val="10"/>
                <w:szCs w:val="10"/>
                <w:color w:val="auto"/>
              </w:rPr>
            </w:pPr>
          </w:p>
        </w:tc>
      </w:tr>
      <w:tr>
        <w:trPr>
          <w:trHeight w:val="142"/>
        </w:trPr>
        <w:tc>
          <w:tcPr>
            <w:tcW w:w="6300" w:type="dxa"/>
            <w:vAlign w:val="bottom"/>
            <w:shd w:val="clear" w:color="auto" w:fill="CFF0FC"/>
          </w:tcPr>
          <w:p>
            <w:pPr>
              <w:spacing w:after="0"/>
              <w:rPr>
                <w:sz w:val="20"/>
                <w:szCs w:val="20"/>
                <w:color w:val="auto"/>
              </w:rPr>
            </w:pPr>
            <w:r>
              <w:rPr>
                <w:rFonts w:ascii="Arial" w:cs="Arial" w:eastAsia="Arial" w:hAnsi="Arial"/>
                <w:sz w:val="12"/>
                <w:szCs w:val="12"/>
                <w:color w:val="auto"/>
              </w:rPr>
              <w:t>Balance at January 1</w:t>
            </w:r>
          </w:p>
        </w:tc>
        <w:tc>
          <w:tcPr>
            <w:tcW w:w="720" w:type="dxa"/>
            <w:vAlign w:val="bottom"/>
            <w:gridSpan w:val="2"/>
            <w:shd w:val="clear" w:color="auto" w:fill="CFF0FC"/>
          </w:tcPr>
          <w:p>
            <w:pPr>
              <w:jc w:val="right"/>
              <w:ind w:right="500"/>
              <w:spacing w:after="0"/>
              <w:rPr>
                <w:sz w:val="20"/>
                <w:szCs w:val="20"/>
                <w:color w:val="auto"/>
              </w:rPr>
            </w:pPr>
            <w:r>
              <w:rPr>
                <w:rFonts w:ascii="Arial" w:cs="Arial" w:eastAsia="Arial" w:hAnsi="Arial"/>
                <w:sz w:val="12"/>
                <w:szCs w:val="12"/>
                <w:color w:val="auto"/>
              </w:rPr>
              <w:t>$</w:t>
            </w: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3,036</w:t>
            </w:r>
          </w:p>
        </w:tc>
        <w:tc>
          <w:tcPr>
            <w:tcW w:w="820" w:type="dxa"/>
            <w:vAlign w:val="bottom"/>
            <w:gridSpan w:val="2"/>
            <w:shd w:val="clear" w:color="auto" w:fill="CFF0FC"/>
          </w:tcPr>
          <w:p>
            <w:pPr>
              <w:jc w:val="right"/>
              <w:ind w:right="500"/>
              <w:spacing w:after="0"/>
              <w:rPr>
                <w:sz w:val="20"/>
                <w:szCs w:val="20"/>
                <w:color w:val="auto"/>
              </w:rPr>
            </w:pPr>
            <w:r>
              <w:rPr>
                <w:rFonts w:ascii="Arial" w:cs="Arial" w:eastAsia="Arial" w:hAnsi="Arial"/>
                <w:sz w:val="12"/>
                <w:szCs w:val="12"/>
                <w:color w:val="auto"/>
              </w:rPr>
              <w:t>$</w:t>
            </w: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2"/>
                <w:szCs w:val="12"/>
                <w:color w:val="auto"/>
              </w:rPr>
            </w:pPr>
          </w:p>
        </w:tc>
      </w:tr>
      <w:tr>
        <w:trPr>
          <w:trHeight w:val="153"/>
        </w:trPr>
        <w:tc>
          <w:tcPr>
            <w:tcW w:w="6300" w:type="dxa"/>
            <w:vAlign w:val="bottom"/>
          </w:tcPr>
          <w:p>
            <w:pPr>
              <w:spacing w:after="0"/>
              <w:rPr>
                <w:sz w:val="20"/>
                <w:szCs w:val="20"/>
                <w:color w:val="auto"/>
              </w:rPr>
            </w:pPr>
            <w:r>
              <w:rPr>
                <w:rFonts w:ascii="Arial" w:cs="Arial" w:eastAsia="Arial" w:hAnsi="Arial"/>
                <w:sz w:val="12"/>
                <w:szCs w:val="12"/>
                <w:color w:val="auto"/>
              </w:rPr>
              <w:t>Additions related to acquisitions</w:t>
            </w: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76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760" w:type="dxa"/>
            <w:vAlign w:val="bottom"/>
          </w:tcPr>
          <w:p>
            <w:pPr>
              <w:jc w:val="right"/>
              <w:spacing w:after="0"/>
              <w:rPr>
                <w:sz w:val="20"/>
                <w:szCs w:val="20"/>
                <w:color w:val="auto"/>
              </w:rPr>
            </w:pPr>
            <w:r>
              <w:rPr>
                <w:rFonts w:ascii="Arial" w:cs="Arial" w:eastAsia="Arial" w:hAnsi="Arial"/>
                <w:sz w:val="12"/>
                <w:szCs w:val="12"/>
                <w:color w:val="auto"/>
              </w:rPr>
              <w:t>3,036</w:t>
            </w:r>
          </w:p>
        </w:tc>
        <w:tc>
          <w:tcPr>
            <w:tcW w:w="120" w:type="dxa"/>
            <w:vAlign w:val="bottom"/>
          </w:tcPr>
          <w:p>
            <w:pPr>
              <w:spacing w:after="0"/>
              <w:rPr>
                <w:sz w:val="13"/>
                <w:szCs w:val="13"/>
                <w:color w:val="auto"/>
              </w:rPr>
            </w:pPr>
          </w:p>
        </w:tc>
      </w:tr>
      <w:tr>
        <w:trPr>
          <w:trHeight w:val="153"/>
        </w:trPr>
        <w:tc>
          <w:tcPr>
            <w:tcW w:w="6300" w:type="dxa"/>
            <w:vAlign w:val="bottom"/>
            <w:shd w:val="clear" w:color="auto" w:fill="CFF0FC"/>
          </w:tcPr>
          <w:p>
            <w:pPr>
              <w:spacing w:after="0"/>
              <w:rPr>
                <w:sz w:val="20"/>
                <w:szCs w:val="20"/>
                <w:color w:val="auto"/>
              </w:rPr>
            </w:pPr>
            <w:r>
              <w:rPr>
                <w:rFonts w:ascii="Arial" w:cs="Arial" w:eastAsia="Arial" w:hAnsi="Arial"/>
                <w:sz w:val="12"/>
                <w:szCs w:val="12"/>
                <w:color w:val="auto"/>
              </w:rPr>
              <w:t>Additions for tax positions for the current year</w:t>
            </w:r>
          </w:p>
        </w:tc>
        <w:tc>
          <w:tcPr>
            <w:tcW w:w="160" w:type="dxa"/>
            <w:vAlign w:val="bottom"/>
            <w:shd w:val="clear" w:color="auto" w:fill="CFF0FC"/>
          </w:tcPr>
          <w:p>
            <w:pPr>
              <w:spacing w:after="0"/>
              <w:rPr>
                <w:sz w:val="13"/>
                <w:szCs w:val="13"/>
                <w:color w:val="auto"/>
              </w:rPr>
            </w:pPr>
          </w:p>
        </w:tc>
        <w:tc>
          <w:tcPr>
            <w:tcW w:w="560" w:type="dxa"/>
            <w:vAlign w:val="bottom"/>
            <w:shd w:val="clear" w:color="auto" w:fill="CFF0FC"/>
          </w:tcPr>
          <w:p>
            <w:pPr>
              <w:spacing w:after="0"/>
              <w:rPr>
                <w:sz w:val="13"/>
                <w:szCs w:val="13"/>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560" w:type="dxa"/>
            <w:vAlign w:val="bottom"/>
            <w:shd w:val="clear" w:color="auto" w:fill="CFF0FC"/>
          </w:tcPr>
          <w:p>
            <w:pPr>
              <w:spacing w:after="0"/>
              <w:rPr>
                <w:sz w:val="13"/>
                <w:szCs w:val="13"/>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r>
      <w:tr>
        <w:trPr>
          <w:trHeight w:val="153"/>
        </w:trPr>
        <w:tc>
          <w:tcPr>
            <w:tcW w:w="6300" w:type="dxa"/>
            <w:vAlign w:val="bottom"/>
          </w:tcPr>
          <w:p>
            <w:pPr>
              <w:spacing w:after="0"/>
              <w:rPr>
                <w:sz w:val="20"/>
                <w:szCs w:val="20"/>
                <w:color w:val="auto"/>
              </w:rPr>
            </w:pPr>
            <w:r>
              <w:rPr>
                <w:rFonts w:ascii="Arial" w:cs="Arial" w:eastAsia="Arial" w:hAnsi="Arial"/>
                <w:sz w:val="12"/>
                <w:szCs w:val="12"/>
                <w:color w:val="auto"/>
              </w:rPr>
              <w:t>Additions for tax positions of prior years</w:t>
            </w: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76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76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r>
      <w:tr>
        <w:trPr>
          <w:trHeight w:val="153"/>
        </w:trPr>
        <w:tc>
          <w:tcPr>
            <w:tcW w:w="6300" w:type="dxa"/>
            <w:vAlign w:val="bottom"/>
            <w:shd w:val="clear" w:color="auto" w:fill="CFF0FC"/>
          </w:tcPr>
          <w:p>
            <w:pPr>
              <w:spacing w:after="0"/>
              <w:rPr>
                <w:sz w:val="20"/>
                <w:szCs w:val="20"/>
                <w:color w:val="auto"/>
              </w:rPr>
            </w:pPr>
            <w:r>
              <w:rPr>
                <w:rFonts w:ascii="Arial" w:cs="Arial" w:eastAsia="Arial" w:hAnsi="Arial"/>
                <w:sz w:val="12"/>
                <w:szCs w:val="12"/>
                <w:color w:val="auto"/>
              </w:rPr>
              <w:t>Reductions for tax positions of prior years</w:t>
            </w:r>
          </w:p>
        </w:tc>
        <w:tc>
          <w:tcPr>
            <w:tcW w:w="160" w:type="dxa"/>
            <w:vAlign w:val="bottom"/>
            <w:shd w:val="clear" w:color="auto" w:fill="CFF0FC"/>
          </w:tcPr>
          <w:p>
            <w:pPr>
              <w:spacing w:after="0"/>
              <w:rPr>
                <w:sz w:val="13"/>
                <w:szCs w:val="13"/>
                <w:color w:val="auto"/>
              </w:rPr>
            </w:pPr>
          </w:p>
        </w:tc>
        <w:tc>
          <w:tcPr>
            <w:tcW w:w="560" w:type="dxa"/>
            <w:vAlign w:val="bottom"/>
            <w:shd w:val="clear" w:color="auto" w:fill="CFF0FC"/>
          </w:tcPr>
          <w:p>
            <w:pPr>
              <w:spacing w:after="0"/>
              <w:rPr>
                <w:sz w:val="13"/>
                <w:szCs w:val="13"/>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3"/>
                <w:szCs w:val="13"/>
                <w:color w:val="auto"/>
              </w:rPr>
            </w:pPr>
          </w:p>
        </w:tc>
        <w:tc>
          <w:tcPr>
            <w:tcW w:w="560" w:type="dxa"/>
            <w:vAlign w:val="bottom"/>
            <w:shd w:val="clear" w:color="auto" w:fill="CFF0FC"/>
          </w:tcPr>
          <w:p>
            <w:pPr>
              <w:spacing w:after="0"/>
              <w:rPr>
                <w:sz w:val="13"/>
                <w:szCs w:val="13"/>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r>
      <w:tr>
        <w:trPr>
          <w:trHeight w:val="153"/>
        </w:trPr>
        <w:tc>
          <w:tcPr>
            <w:tcW w:w="630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Settlements</w:t>
            </w:r>
          </w:p>
        </w:tc>
        <w:tc>
          <w:tcPr>
            <w:tcW w:w="16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6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3"/>
                <w:szCs w:val="13"/>
                <w:color w:val="auto"/>
              </w:rPr>
            </w:pPr>
          </w:p>
        </w:tc>
      </w:tr>
      <w:tr>
        <w:trPr>
          <w:trHeight w:val="142"/>
        </w:trPr>
        <w:tc>
          <w:tcPr>
            <w:tcW w:w="6300" w:type="dxa"/>
            <w:vAlign w:val="bottom"/>
            <w:shd w:val="clear" w:color="auto" w:fill="CFF0FC"/>
          </w:tcPr>
          <w:p>
            <w:pPr>
              <w:spacing w:after="0"/>
              <w:rPr>
                <w:sz w:val="20"/>
                <w:szCs w:val="20"/>
                <w:color w:val="auto"/>
              </w:rPr>
            </w:pPr>
            <w:r>
              <w:rPr>
                <w:rFonts w:ascii="Arial" w:cs="Arial" w:eastAsia="Arial" w:hAnsi="Arial"/>
                <w:sz w:val="12"/>
                <w:szCs w:val="12"/>
                <w:color w:val="auto"/>
              </w:rPr>
              <w:t>Balance at December 31</w:t>
            </w:r>
          </w:p>
        </w:tc>
        <w:tc>
          <w:tcPr>
            <w:tcW w:w="720" w:type="dxa"/>
            <w:vAlign w:val="bottom"/>
            <w:gridSpan w:val="2"/>
            <w:shd w:val="clear" w:color="auto" w:fill="CFF0FC"/>
          </w:tcPr>
          <w:p>
            <w:pPr>
              <w:jc w:val="right"/>
              <w:ind w:right="500"/>
              <w:spacing w:after="0"/>
              <w:rPr>
                <w:sz w:val="20"/>
                <w:szCs w:val="20"/>
                <w:color w:val="auto"/>
              </w:rPr>
            </w:pPr>
            <w:r>
              <w:rPr>
                <w:rFonts w:ascii="Arial" w:cs="Arial" w:eastAsia="Arial" w:hAnsi="Arial"/>
                <w:sz w:val="12"/>
                <w:szCs w:val="12"/>
                <w:color w:val="auto"/>
              </w:rPr>
              <w:t>$</w:t>
            </w: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3,036</w:t>
            </w:r>
          </w:p>
        </w:tc>
        <w:tc>
          <w:tcPr>
            <w:tcW w:w="820" w:type="dxa"/>
            <w:vAlign w:val="bottom"/>
            <w:gridSpan w:val="2"/>
            <w:shd w:val="clear" w:color="auto" w:fill="CFF0FC"/>
          </w:tcPr>
          <w:p>
            <w:pPr>
              <w:jc w:val="right"/>
              <w:ind w:right="500"/>
              <w:spacing w:after="0"/>
              <w:rPr>
                <w:sz w:val="20"/>
                <w:szCs w:val="20"/>
                <w:color w:val="auto"/>
              </w:rPr>
            </w:pPr>
            <w:r>
              <w:rPr>
                <w:rFonts w:ascii="Arial" w:cs="Arial" w:eastAsia="Arial" w:hAnsi="Arial"/>
                <w:sz w:val="12"/>
                <w:szCs w:val="12"/>
                <w:color w:val="auto"/>
              </w:rPr>
              <w:t>$</w:t>
            </w: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3,036</w:t>
            </w:r>
          </w:p>
        </w:tc>
        <w:tc>
          <w:tcPr>
            <w:tcW w:w="120" w:type="dxa"/>
            <w:vAlign w:val="bottom"/>
            <w:shd w:val="clear" w:color="auto" w:fill="CFF0FC"/>
          </w:tcPr>
          <w:p>
            <w:pPr>
              <w:spacing w:after="0"/>
              <w:rPr>
                <w:sz w:val="12"/>
                <w:szCs w:val="12"/>
                <w:color w:val="auto"/>
              </w:rPr>
            </w:pPr>
          </w:p>
        </w:tc>
      </w:tr>
      <w:tr>
        <w:trPr>
          <w:trHeight w:val="27"/>
        </w:trPr>
        <w:tc>
          <w:tcPr>
            <w:tcW w:w="6300" w:type="dxa"/>
            <w:vAlign w:val="bottom"/>
            <w:shd w:val="clear" w:color="auto" w:fill="CFF0FC"/>
          </w:tcPr>
          <w:p>
            <w:pPr>
              <w:spacing w:after="0"/>
              <w:rPr>
                <w:sz w:val="2"/>
                <w:szCs w:val="2"/>
                <w:color w:val="auto"/>
              </w:rPr>
            </w:pPr>
          </w:p>
        </w:tc>
        <w:tc>
          <w:tcPr>
            <w:tcW w:w="160" w:type="dxa"/>
            <w:vAlign w:val="bottom"/>
            <w:shd w:val="clear" w:color="auto" w:fill="CFF0FC"/>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760" w:type="dxa"/>
            <w:vAlign w:val="bottom"/>
            <w:shd w:val="clear" w:color="auto" w:fill="000000"/>
          </w:tcPr>
          <w:p>
            <w:pPr>
              <w:spacing w:after="0"/>
              <w:rPr>
                <w:sz w:val="2"/>
                <w:szCs w:val="2"/>
                <w:color w:val="auto"/>
              </w:rPr>
            </w:pPr>
          </w:p>
        </w:tc>
        <w:tc>
          <w:tcPr>
            <w:tcW w:w="260" w:type="dxa"/>
            <w:vAlign w:val="bottom"/>
            <w:shd w:val="clear" w:color="auto" w:fill="CFF0FC"/>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760" w:type="dxa"/>
            <w:vAlign w:val="bottom"/>
            <w:shd w:val="clear" w:color="auto" w:fill="000000"/>
          </w:tcPr>
          <w:p>
            <w:pPr>
              <w:spacing w:after="0"/>
              <w:rPr>
                <w:sz w:val="2"/>
                <w:szCs w:val="2"/>
                <w:color w:val="auto"/>
              </w:rPr>
            </w:pPr>
          </w:p>
        </w:tc>
        <w:tc>
          <w:tcPr>
            <w:tcW w:w="120" w:type="dxa"/>
            <w:vAlign w:val="bottom"/>
            <w:shd w:val="clear" w:color="auto" w:fill="CFF0FC"/>
          </w:tcPr>
          <w:p>
            <w:pPr>
              <w:spacing w:after="0"/>
              <w:rPr>
                <w:sz w:val="2"/>
                <w:szCs w:val="2"/>
                <w:color w:val="auto"/>
              </w:rPr>
            </w:pPr>
          </w:p>
        </w:tc>
      </w:tr>
    </w:tbl>
    <w:p>
      <w:pPr>
        <w:spacing w:after="0" w:line="135" w:lineRule="exact"/>
        <w:rPr>
          <w:sz w:val="20"/>
          <w:szCs w:val="20"/>
          <w:color w:val="auto"/>
        </w:rPr>
      </w:pPr>
    </w:p>
    <w:p>
      <w:pPr>
        <w:ind w:right="280"/>
        <w:spacing w:after="0" w:line="323" w:lineRule="auto"/>
        <w:rPr>
          <w:rFonts w:ascii="Arial" w:cs="Arial" w:eastAsia="Arial" w:hAnsi="Arial"/>
          <w:sz w:val="11"/>
          <w:szCs w:val="11"/>
          <w:color w:val="auto"/>
        </w:rPr>
      </w:pPr>
      <w:r>
        <w:rPr>
          <w:rFonts w:ascii="Arial" w:cs="Arial" w:eastAsia="Arial" w:hAnsi="Arial"/>
          <w:sz w:val="11"/>
          <w:szCs w:val="11"/>
          <w:color w:val="auto"/>
        </w:rPr>
        <w:t xml:space="preserve">The Company’s entire liability for unrecognized tax benefit would affect the annual effective tax rate if recognized. On February 19, 2019 the Company announced it had agreed to sell its Uniti Towers’ business in Latin America. The transaction is subject to customary closing conditions and is expected to close in the first quarter of 2019. See </w:t>
      </w:r>
      <w:hyperlink w:anchor="page103">
        <w:r>
          <w:rPr>
            <w:rFonts w:ascii="Arial" w:cs="Arial" w:eastAsia="Arial" w:hAnsi="Arial"/>
            <w:sz w:val="11"/>
            <w:szCs w:val="11"/>
            <w:u w:val="single" w:color="auto"/>
            <w:color w:val="0000EE"/>
          </w:rPr>
          <w:t>Note 23</w:t>
        </w:r>
      </w:hyperlink>
      <w:r>
        <w:rPr>
          <w:rFonts w:ascii="Arial" w:cs="Arial" w:eastAsia="Arial" w:hAnsi="Arial"/>
          <w:sz w:val="11"/>
          <w:szCs w:val="11"/>
          <w:color w:val="auto"/>
        </w:rPr>
        <w:t>. As a result of the sale, the balance of unrecognized tax benefits will decrease within the next 12 months.</w:t>
      </w:r>
    </w:p>
    <w:p>
      <w:pPr>
        <w:spacing w:after="0" w:line="92" w:lineRule="exact"/>
        <w:rPr>
          <w:sz w:val="20"/>
          <w:szCs w:val="20"/>
          <w:color w:val="auto"/>
        </w:rPr>
      </w:pPr>
    </w:p>
    <w:p>
      <w:pPr>
        <w:ind w:right="220"/>
        <w:spacing w:after="0" w:line="276" w:lineRule="auto"/>
        <w:rPr>
          <w:sz w:val="20"/>
          <w:szCs w:val="20"/>
          <w:color w:val="auto"/>
        </w:rPr>
      </w:pPr>
      <w:r>
        <w:rPr>
          <w:rFonts w:ascii="Arial" w:cs="Arial" w:eastAsia="Arial" w:hAnsi="Arial"/>
          <w:sz w:val="12"/>
          <w:szCs w:val="12"/>
          <w:color w:val="auto"/>
        </w:rPr>
        <w:t>The Company recognizes accrued interest and penalties related to unrecognized tax benefits as additional tax expense. The Company recorded no interest expense or penalties for the period ending December 31, 2018. The Company’s balance of accrued interest and penalties related to unrecognized tax benefits as of December 31, 2018 was $2.3 million.</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18. Supplemental Cash Flow Information</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Cash paid for interest expense and income taxes is as follows: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40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64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2180" w:type="dxa"/>
            <w:vAlign w:val="bottom"/>
            <w:tcBorders>
              <w:bottom w:val="single" w:sz="8" w:color="auto"/>
            </w:tcBorders>
            <w:gridSpan w:val="2"/>
          </w:tcPr>
          <w:p>
            <w:pPr>
              <w:ind w:left="240"/>
              <w:spacing w:after="0"/>
              <w:rPr>
                <w:sz w:val="20"/>
                <w:szCs w:val="20"/>
                <w:color w:val="auto"/>
              </w:rPr>
            </w:pPr>
            <w:r>
              <w:rPr>
                <w:rFonts w:ascii="Arial" w:cs="Arial" w:eastAsia="Arial" w:hAnsi="Arial"/>
                <w:sz w:val="10"/>
                <w:szCs w:val="10"/>
                <w:b w:val="1"/>
                <w:bCs w:val="1"/>
                <w:color w:val="auto"/>
              </w:rPr>
              <w:t>Year Ended December 31,</w:t>
            </w:r>
          </w:p>
        </w:tc>
        <w:tc>
          <w:tcPr>
            <w:tcW w:w="520" w:type="dxa"/>
            <w:vAlign w:val="bottom"/>
            <w:tcBorders>
              <w:bottom w:val="single" w:sz="8" w:color="auto"/>
            </w:tcBorders>
          </w:tcPr>
          <w:p>
            <w:pPr>
              <w:spacing w:after="0"/>
              <w:rPr>
                <w:sz w:val="10"/>
                <w:szCs w:val="10"/>
                <w:color w:val="auto"/>
              </w:rPr>
            </w:pPr>
          </w:p>
        </w:tc>
        <w:tc>
          <w:tcPr>
            <w:tcW w:w="162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r>
      <w:tr>
        <w:trPr>
          <w:trHeight w:val="151"/>
        </w:trPr>
        <w:tc>
          <w:tcPr>
            <w:tcW w:w="4280" w:type="dxa"/>
            <w:vAlign w:val="bottom"/>
            <w:gridSpan w:val="2"/>
          </w:tcPr>
          <w:p>
            <w:pPr>
              <w:spacing w:after="0"/>
              <w:rPr>
                <w:sz w:val="20"/>
                <w:szCs w:val="20"/>
                <w:color w:val="auto"/>
              </w:rPr>
            </w:pPr>
            <w:r>
              <w:rPr>
                <w:rFonts w:ascii="Arial" w:cs="Arial" w:eastAsia="Arial" w:hAnsi="Arial"/>
                <w:sz w:val="10"/>
                <w:szCs w:val="10"/>
                <w:color w:val="auto"/>
              </w:rPr>
              <w:t>(Thousands)</w:t>
            </w:r>
          </w:p>
        </w:tc>
        <w:tc>
          <w:tcPr>
            <w:tcW w:w="520" w:type="dxa"/>
            <w:vAlign w:val="bottom"/>
          </w:tcPr>
          <w:p>
            <w:pPr>
              <w:spacing w:after="0"/>
              <w:rPr>
                <w:sz w:val="13"/>
                <w:szCs w:val="13"/>
                <w:color w:val="auto"/>
              </w:rPr>
            </w:pPr>
          </w:p>
        </w:tc>
        <w:tc>
          <w:tcPr>
            <w:tcW w:w="1640" w:type="dxa"/>
            <w:vAlign w:val="bottom"/>
          </w:tcPr>
          <w:p>
            <w:pPr>
              <w:jc w:val="right"/>
              <w:ind w:right="948"/>
              <w:spacing w:after="0"/>
              <w:rPr>
                <w:sz w:val="20"/>
                <w:szCs w:val="20"/>
                <w:color w:val="auto"/>
              </w:rPr>
            </w:pPr>
            <w:r>
              <w:rPr>
                <w:rFonts w:ascii="Arial" w:cs="Arial" w:eastAsia="Arial" w:hAnsi="Arial"/>
                <w:sz w:val="10"/>
                <w:szCs w:val="10"/>
                <w:b w:val="1"/>
                <w:bCs w:val="1"/>
                <w:color w:val="auto"/>
              </w:rPr>
              <w:t>2018</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60" w:type="dxa"/>
            <w:vAlign w:val="bottom"/>
          </w:tcPr>
          <w:p>
            <w:pPr>
              <w:jc w:val="right"/>
              <w:ind w:right="929"/>
              <w:spacing w:after="0"/>
              <w:rPr>
                <w:sz w:val="20"/>
                <w:szCs w:val="20"/>
                <w:color w:val="auto"/>
              </w:rPr>
            </w:pPr>
            <w:r>
              <w:rPr>
                <w:rFonts w:ascii="Arial" w:cs="Arial" w:eastAsia="Arial" w:hAnsi="Arial"/>
                <w:sz w:val="10"/>
                <w:szCs w:val="10"/>
                <w:b w:val="1"/>
                <w:bCs w:val="1"/>
                <w:color w:val="auto"/>
              </w:rPr>
              <w:t>2017</w:t>
            </w: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20" w:type="dxa"/>
            <w:vAlign w:val="bottom"/>
          </w:tcPr>
          <w:p>
            <w:pPr>
              <w:jc w:val="right"/>
              <w:ind w:right="928"/>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3"/>
                <w:szCs w:val="13"/>
                <w:color w:val="auto"/>
              </w:rPr>
            </w:pPr>
          </w:p>
        </w:tc>
      </w:tr>
      <w:tr>
        <w:trPr>
          <w:trHeight w:val="133"/>
        </w:trPr>
        <w:tc>
          <w:tcPr>
            <w:tcW w:w="40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1"/>
                <w:szCs w:val="11"/>
                <w:b w:val="1"/>
                <w:bCs w:val="1"/>
                <w:color w:val="auto"/>
              </w:rPr>
              <w:t>Cash payments for:</w:t>
            </w:r>
          </w:p>
        </w:tc>
        <w:tc>
          <w:tcPr>
            <w:tcW w:w="200" w:type="dxa"/>
            <w:vAlign w:val="bottom"/>
            <w:tcBorders>
              <w:top w:val="single" w:sz="8" w:color="CFF0FC"/>
            </w:tcBorders>
            <w:shd w:val="clear" w:color="auto" w:fill="CFF0FC"/>
          </w:tcPr>
          <w:p>
            <w:pPr>
              <w:spacing w:after="0"/>
              <w:rPr>
                <w:sz w:val="11"/>
                <w:szCs w:val="11"/>
                <w:color w:val="auto"/>
              </w:rPr>
            </w:pPr>
          </w:p>
        </w:tc>
        <w:tc>
          <w:tcPr>
            <w:tcW w:w="520" w:type="dxa"/>
            <w:vAlign w:val="bottom"/>
            <w:tcBorders>
              <w:top w:val="single" w:sz="8" w:color="auto"/>
            </w:tcBorders>
            <w:shd w:val="clear" w:color="auto" w:fill="CFF0FC"/>
          </w:tcPr>
          <w:p>
            <w:pPr>
              <w:spacing w:after="0"/>
              <w:rPr>
                <w:sz w:val="11"/>
                <w:szCs w:val="11"/>
                <w:color w:val="auto"/>
              </w:rPr>
            </w:pPr>
          </w:p>
        </w:tc>
        <w:tc>
          <w:tcPr>
            <w:tcW w:w="1640" w:type="dxa"/>
            <w:vAlign w:val="bottom"/>
            <w:tcBorders>
              <w:top w:val="single" w:sz="8" w:color="auto"/>
            </w:tcBorders>
            <w:shd w:val="clear" w:color="auto" w:fill="CFF0FC"/>
          </w:tcPr>
          <w:p>
            <w:pPr>
              <w:spacing w:after="0"/>
              <w:rPr>
                <w:sz w:val="11"/>
                <w:szCs w:val="11"/>
                <w:color w:val="auto"/>
              </w:rPr>
            </w:pPr>
          </w:p>
        </w:tc>
        <w:tc>
          <w:tcPr>
            <w:tcW w:w="300" w:type="dxa"/>
            <w:vAlign w:val="bottom"/>
            <w:tcBorders>
              <w:top w:val="single" w:sz="8" w:color="CFF0FC"/>
            </w:tcBorders>
            <w:shd w:val="clear" w:color="auto" w:fill="CFF0FC"/>
          </w:tcPr>
          <w:p>
            <w:pPr>
              <w:spacing w:after="0"/>
              <w:rPr>
                <w:sz w:val="11"/>
                <w:szCs w:val="11"/>
                <w:color w:val="auto"/>
              </w:rPr>
            </w:pPr>
          </w:p>
        </w:tc>
        <w:tc>
          <w:tcPr>
            <w:tcW w:w="300" w:type="dxa"/>
            <w:vAlign w:val="bottom"/>
            <w:tcBorders>
              <w:top w:val="single" w:sz="8" w:color="auto"/>
            </w:tcBorders>
            <w:shd w:val="clear" w:color="auto" w:fill="CFF0FC"/>
          </w:tcPr>
          <w:p>
            <w:pPr>
              <w:spacing w:after="0"/>
              <w:rPr>
                <w:sz w:val="11"/>
                <w:szCs w:val="11"/>
                <w:color w:val="auto"/>
              </w:rPr>
            </w:pPr>
          </w:p>
        </w:tc>
        <w:tc>
          <w:tcPr>
            <w:tcW w:w="1860" w:type="dxa"/>
            <w:vAlign w:val="bottom"/>
            <w:tcBorders>
              <w:top w:val="single" w:sz="8" w:color="auto"/>
            </w:tcBorders>
            <w:shd w:val="clear" w:color="auto" w:fill="CFF0FC"/>
          </w:tcPr>
          <w:p>
            <w:pPr>
              <w:spacing w:after="0"/>
              <w:rPr>
                <w:sz w:val="11"/>
                <w:szCs w:val="11"/>
                <w:color w:val="auto"/>
              </w:rPr>
            </w:pPr>
          </w:p>
        </w:tc>
        <w:tc>
          <w:tcPr>
            <w:tcW w:w="320" w:type="dxa"/>
            <w:vAlign w:val="bottom"/>
            <w:tcBorders>
              <w:top w:val="single" w:sz="8" w:color="CFF0FC"/>
            </w:tcBorders>
            <w:shd w:val="clear" w:color="auto" w:fill="CFF0FC"/>
          </w:tcPr>
          <w:p>
            <w:pPr>
              <w:spacing w:after="0"/>
              <w:rPr>
                <w:sz w:val="11"/>
                <w:szCs w:val="11"/>
                <w:color w:val="auto"/>
              </w:rPr>
            </w:pPr>
          </w:p>
        </w:tc>
        <w:tc>
          <w:tcPr>
            <w:tcW w:w="520" w:type="dxa"/>
            <w:vAlign w:val="bottom"/>
            <w:tcBorders>
              <w:top w:val="single" w:sz="8" w:color="auto"/>
            </w:tcBorders>
            <w:shd w:val="clear" w:color="auto" w:fill="CFF0FC"/>
          </w:tcPr>
          <w:p>
            <w:pPr>
              <w:spacing w:after="0"/>
              <w:rPr>
                <w:sz w:val="11"/>
                <w:szCs w:val="11"/>
                <w:color w:val="auto"/>
              </w:rPr>
            </w:pPr>
          </w:p>
        </w:tc>
        <w:tc>
          <w:tcPr>
            <w:tcW w:w="162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r>
      <w:tr>
        <w:trPr>
          <w:trHeight w:val="142"/>
        </w:trPr>
        <w:tc>
          <w:tcPr>
            <w:tcW w:w="4280" w:type="dxa"/>
            <w:vAlign w:val="bottom"/>
            <w:gridSpan w:val="2"/>
          </w:tcPr>
          <w:p>
            <w:pPr>
              <w:ind w:left="160"/>
              <w:spacing w:after="0"/>
              <w:rPr>
                <w:sz w:val="20"/>
                <w:szCs w:val="20"/>
                <w:color w:val="auto"/>
              </w:rPr>
            </w:pPr>
            <w:r>
              <w:rPr>
                <w:rFonts w:ascii="Arial" w:cs="Arial" w:eastAsia="Arial" w:hAnsi="Arial"/>
                <w:sz w:val="11"/>
                <w:szCs w:val="11"/>
                <w:color w:val="auto"/>
              </w:rPr>
              <w:t>Interest (net of capitalized interest)</w:t>
            </w:r>
          </w:p>
        </w:tc>
        <w:tc>
          <w:tcPr>
            <w:tcW w:w="520" w:type="dxa"/>
            <w:vAlign w:val="bottom"/>
          </w:tcPr>
          <w:p>
            <w:pPr>
              <w:jc w:val="right"/>
              <w:ind w:right="411"/>
              <w:spacing w:after="0"/>
              <w:rPr>
                <w:sz w:val="20"/>
                <w:szCs w:val="20"/>
                <w:color w:val="auto"/>
              </w:rPr>
            </w:pPr>
            <w:r>
              <w:rPr>
                <w:rFonts w:ascii="Arial" w:cs="Arial" w:eastAsia="Arial" w:hAnsi="Arial"/>
                <w:sz w:val="10"/>
                <w:szCs w:val="10"/>
                <w:color w:val="auto"/>
                <w:w w:val="71"/>
              </w:rPr>
              <w:t>$</w:t>
            </w:r>
          </w:p>
        </w:tc>
        <w:tc>
          <w:tcPr>
            <w:tcW w:w="1640" w:type="dxa"/>
            <w:vAlign w:val="bottom"/>
          </w:tcPr>
          <w:p>
            <w:pPr>
              <w:jc w:val="right"/>
              <w:spacing w:after="0"/>
              <w:rPr>
                <w:sz w:val="20"/>
                <w:szCs w:val="20"/>
                <w:color w:val="auto"/>
              </w:rPr>
            </w:pPr>
            <w:r>
              <w:rPr>
                <w:rFonts w:ascii="Arial" w:cs="Arial" w:eastAsia="Arial" w:hAnsi="Arial"/>
                <w:sz w:val="11"/>
                <w:szCs w:val="11"/>
                <w:color w:val="auto"/>
              </w:rPr>
              <w:t>281,364</w:t>
            </w:r>
          </w:p>
        </w:tc>
        <w:tc>
          <w:tcPr>
            <w:tcW w:w="600" w:type="dxa"/>
            <w:vAlign w:val="bottom"/>
            <w:gridSpan w:val="2"/>
          </w:tcPr>
          <w:p>
            <w:pPr>
              <w:jc w:val="right"/>
              <w:ind w:right="240"/>
              <w:spacing w:after="0"/>
              <w:rPr>
                <w:sz w:val="20"/>
                <w:szCs w:val="20"/>
                <w:color w:val="auto"/>
              </w:rPr>
            </w:pPr>
            <w:r>
              <w:rPr>
                <w:rFonts w:ascii="Arial" w:cs="Arial" w:eastAsia="Arial" w:hAnsi="Arial"/>
                <w:sz w:val="11"/>
                <w:szCs w:val="11"/>
                <w:color w:val="auto"/>
              </w:rPr>
              <w:t>$</w:t>
            </w:r>
          </w:p>
        </w:tc>
        <w:tc>
          <w:tcPr>
            <w:tcW w:w="1860" w:type="dxa"/>
            <w:vAlign w:val="bottom"/>
          </w:tcPr>
          <w:p>
            <w:pPr>
              <w:jc w:val="right"/>
              <w:spacing w:after="0"/>
              <w:rPr>
                <w:sz w:val="20"/>
                <w:szCs w:val="20"/>
                <w:color w:val="auto"/>
              </w:rPr>
            </w:pPr>
            <w:r>
              <w:rPr>
                <w:rFonts w:ascii="Arial" w:cs="Arial" w:eastAsia="Arial" w:hAnsi="Arial"/>
                <w:sz w:val="11"/>
                <w:szCs w:val="11"/>
                <w:color w:val="auto"/>
              </w:rPr>
              <w:t>276,071</w:t>
            </w:r>
          </w:p>
        </w:tc>
        <w:tc>
          <w:tcPr>
            <w:tcW w:w="320" w:type="dxa"/>
            <w:vAlign w:val="bottom"/>
          </w:tcPr>
          <w:p>
            <w:pPr>
              <w:spacing w:after="0"/>
              <w:rPr>
                <w:sz w:val="12"/>
                <w:szCs w:val="12"/>
                <w:color w:val="auto"/>
              </w:rPr>
            </w:pPr>
          </w:p>
        </w:tc>
        <w:tc>
          <w:tcPr>
            <w:tcW w:w="520" w:type="dxa"/>
            <w:vAlign w:val="bottom"/>
          </w:tcPr>
          <w:p>
            <w:pPr>
              <w:jc w:val="right"/>
              <w:ind w:right="453"/>
              <w:spacing w:after="0"/>
              <w:rPr>
                <w:sz w:val="20"/>
                <w:szCs w:val="20"/>
                <w:color w:val="auto"/>
              </w:rPr>
            </w:pPr>
            <w:r>
              <w:rPr>
                <w:rFonts w:ascii="Arial" w:cs="Arial" w:eastAsia="Arial" w:hAnsi="Arial"/>
                <w:sz w:val="5"/>
                <w:szCs w:val="5"/>
                <w:color w:val="auto"/>
                <w:w w:val="70"/>
              </w:rPr>
              <w:t>$</w:t>
            </w:r>
          </w:p>
        </w:tc>
        <w:tc>
          <w:tcPr>
            <w:tcW w:w="1620" w:type="dxa"/>
            <w:vAlign w:val="bottom"/>
          </w:tcPr>
          <w:p>
            <w:pPr>
              <w:jc w:val="right"/>
              <w:spacing w:after="0"/>
              <w:rPr>
                <w:sz w:val="20"/>
                <w:szCs w:val="20"/>
                <w:color w:val="auto"/>
              </w:rPr>
            </w:pPr>
            <w:r>
              <w:rPr>
                <w:rFonts w:ascii="Arial" w:cs="Arial" w:eastAsia="Arial" w:hAnsi="Arial"/>
                <w:sz w:val="11"/>
                <w:szCs w:val="11"/>
                <w:color w:val="auto"/>
              </w:rPr>
              <w:t>255,945</w:t>
            </w:r>
          </w:p>
        </w:tc>
        <w:tc>
          <w:tcPr>
            <w:tcW w:w="120" w:type="dxa"/>
            <w:vAlign w:val="bottom"/>
          </w:tcPr>
          <w:p>
            <w:pPr>
              <w:spacing w:after="0"/>
              <w:rPr>
                <w:sz w:val="12"/>
                <w:szCs w:val="12"/>
                <w:color w:val="auto"/>
              </w:rPr>
            </w:pPr>
          </w:p>
        </w:tc>
      </w:tr>
      <w:tr>
        <w:trPr>
          <w:trHeight w:val="146"/>
        </w:trPr>
        <w:tc>
          <w:tcPr>
            <w:tcW w:w="4280" w:type="dxa"/>
            <w:vAlign w:val="bottom"/>
            <w:gridSpan w:val="2"/>
            <w:shd w:val="clear" w:color="auto" w:fill="CFF0FC"/>
          </w:tcPr>
          <w:p>
            <w:pPr>
              <w:ind w:left="160"/>
              <w:spacing w:after="0"/>
              <w:rPr>
                <w:sz w:val="20"/>
                <w:szCs w:val="20"/>
                <w:color w:val="auto"/>
              </w:rPr>
            </w:pPr>
            <w:r>
              <w:rPr>
                <w:rFonts w:ascii="Arial" w:cs="Arial" w:eastAsia="Arial" w:hAnsi="Arial"/>
                <w:sz w:val="11"/>
                <w:szCs w:val="11"/>
                <w:color w:val="auto"/>
              </w:rPr>
              <w:t>Income Taxes</w:t>
            </w:r>
          </w:p>
        </w:tc>
        <w:tc>
          <w:tcPr>
            <w:tcW w:w="520" w:type="dxa"/>
            <w:vAlign w:val="bottom"/>
            <w:shd w:val="clear" w:color="auto" w:fill="CFF0FC"/>
          </w:tcPr>
          <w:p>
            <w:pPr>
              <w:jc w:val="right"/>
              <w:ind w:right="411"/>
              <w:spacing w:after="0"/>
              <w:rPr>
                <w:sz w:val="20"/>
                <w:szCs w:val="20"/>
                <w:color w:val="auto"/>
              </w:rPr>
            </w:pPr>
            <w:r>
              <w:rPr>
                <w:rFonts w:ascii="Arial" w:cs="Arial" w:eastAsia="Arial" w:hAnsi="Arial"/>
                <w:sz w:val="10"/>
                <w:szCs w:val="10"/>
                <w:color w:val="auto"/>
                <w:w w:val="71"/>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1,688</w:t>
            </w:r>
          </w:p>
        </w:tc>
        <w:tc>
          <w:tcPr>
            <w:tcW w:w="600" w:type="dxa"/>
            <w:vAlign w:val="bottom"/>
            <w:gridSpan w:val="2"/>
            <w:shd w:val="clear" w:color="auto" w:fill="CFF0FC"/>
          </w:tcPr>
          <w:p>
            <w:pPr>
              <w:jc w:val="right"/>
              <w:ind w:right="240"/>
              <w:spacing w:after="0"/>
              <w:rPr>
                <w:sz w:val="20"/>
                <w:szCs w:val="20"/>
                <w:color w:val="auto"/>
              </w:rPr>
            </w:pPr>
            <w:r>
              <w:rPr>
                <w:rFonts w:ascii="Arial" w:cs="Arial" w:eastAsia="Arial" w:hAnsi="Arial"/>
                <w:sz w:val="11"/>
                <w:szCs w:val="11"/>
                <w:color w:val="auto"/>
              </w:rPr>
              <w:t>$</w:t>
            </w:r>
          </w:p>
        </w:tc>
        <w:tc>
          <w:tcPr>
            <w:tcW w:w="18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4,388</w:t>
            </w:r>
          </w:p>
        </w:tc>
        <w:tc>
          <w:tcPr>
            <w:tcW w:w="320" w:type="dxa"/>
            <w:vAlign w:val="bottom"/>
            <w:shd w:val="clear" w:color="auto" w:fill="CFF0FC"/>
          </w:tcPr>
          <w:p>
            <w:pPr>
              <w:spacing w:after="0"/>
              <w:rPr>
                <w:sz w:val="12"/>
                <w:szCs w:val="12"/>
                <w:color w:val="auto"/>
              </w:rPr>
            </w:pPr>
          </w:p>
        </w:tc>
        <w:tc>
          <w:tcPr>
            <w:tcW w:w="520" w:type="dxa"/>
            <w:vAlign w:val="bottom"/>
            <w:shd w:val="clear" w:color="auto" w:fill="CFF0FC"/>
          </w:tcPr>
          <w:p>
            <w:pPr>
              <w:jc w:val="right"/>
              <w:ind w:right="453"/>
              <w:spacing w:after="0"/>
              <w:rPr>
                <w:sz w:val="20"/>
                <w:szCs w:val="20"/>
                <w:color w:val="auto"/>
              </w:rPr>
            </w:pPr>
            <w:r>
              <w:rPr>
                <w:rFonts w:ascii="Arial" w:cs="Arial" w:eastAsia="Arial" w:hAnsi="Arial"/>
                <w:sz w:val="5"/>
                <w:szCs w:val="5"/>
                <w:color w:val="auto"/>
                <w:w w:val="70"/>
              </w:rPr>
              <w:t>$</w:t>
            </w:r>
          </w:p>
        </w:tc>
        <w:tc>
          <w:tcPr>
            <w:tcW w:w="1620" w:type="dxa"/>
            <w:vAlign w:val="bottom"/>
            <w:shd w:val="clear" w:color="auto" w:fill="CFF0FC"/>
          </w:tcPr>
          <w:p>
            <w:pPr>
              <w:jc w:val="right"/>
              <w:spacing w:after="0"/>
              <w:rPr>
                <w:sz w:val="20"/>
                <w:szCs w:val="20"/>
                <w:color w:val="auto"/>
              </w:rPr>
            </w:pPr>
            <w:r>
              <w:rPr>
                <w:rFonts w:ascii="Arial" w:cs="Arial" w:eastAsia="Arial" w:hAnsi="Arial"/>
                <w:sz w:val="11"/>
                <w:szCs w:val="11"/>
                <w:color w:val="auto"/>
              </w:rPr>
              <w:t>3,003</w:t>
            </w:r>
          </w:p>
        </w:tc>
        <w:tc>
          <w:tcPr>
            <w:tcW w:w="120" w:type="dxa"/>
            <w:vAlign w:val="bottom"/>
            <w:shd w:val="clear" w:color="auto" w:fill="CFF0FC"/>
          </w:tcPr>
          <w:p>
            <w:pPr>
              <w:spacing w:after="0"/>
              <w:rPr>
                <w:sz w:val="12"/>
                <w:szCs w:val="12"/>
                <w:color w:val="auto"/>
              </w:rPr>
            </w:pPr>
          </w:p>
        </w:tc>
      </w:tr>
    </w:tbl>
    <w:p>
      <w:pPr>
        <w:spacing w:after="0" w:line="13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19. Capital Stock</w:t>
      </w:r>
    </w:p>
    <w:p>
      <w:pPr>
        <w:spacing w:after="0" w:line="154" w:lineRule="exact"/>
        <w:rPr>
          <w:sz w:val="20"/>
          <w:szCs w:val="20"/>
          <w:color w:val="auto"/>
        </w:rPr>
      </w:pPr>
    </w:p>
    <w:p>
      <w:pPr>
        <w:ind w:right="180"/>
        <w:spacing w:after="0" w:line="298" w:lineRule="auto"/>
        <w:rPr>
          <w:sz w:val="20"/>
          <w:szCs w:val="20"/>
          <w:color w:val="auto"/>
        </w:rPr>
      </w:pPr>
      <w:r>
        <w:rPr>
          <w:rFonts w:ascii="Arial" w:cs="Arial" w:eastAsia="Arial" w:hAnsi="Arial"/>
          <w:sz w:val="11"/>
          <w:szCs w:val="11"/>
          <w:color w:val="auto"/>
        </w:rPr>
        <w:t>We have an effective shelf registration statement on file with the SEC (the “Registration Statement”) to offer and sell various securities from time to time. Under the Registration Statement, we have established an at-the-market common stock offering program (the “ATM Program”) to sell shares of common stock having an aggregate offering price of up to $250.0 million. As of December 31, 2018, Company has issued and sold an aggregate of 5.5 million shares of common stock at a weighted average price of $20.19 per share under the ATM Program, receiving net proceeds of $109.4 million, after commissions of $1.4 million and other offering costs.</w:t>
      </w:r>
    </w:p>
    <w:p>
      <w:pPr>
        <w:spacing w:after="0" w:line="105" w:lineRule="exact"/>
        <w:rPr>
          <w:sz w:val="20"/>
          <w:szCs w:val="20"/>
          <w:color w:val="auto"/>
        </w:rPr>
      </w:pPr>
    </w:p>
    <w:p>
      <w:pPr>
        <w:ind w:right="440"/>
        <w:spacing w:after="0" w:line="380" w:lineRule="auto"/>
        <w:rPr>
          <w:sz w:val="20"/>
          <w:szCs w:val="20"/>
          <w:color w:val="auto"/>
        </w:rPr>
      </w:pPr>
      <w:r>
        <w:rPr>
          <w:rFonts w:ascii="Arial" w:cs="Arial" w:eastAsia="Arial" w:hAnsi="Arial"/>
          <w:sz w:val="10"/>
          <w:szCs w:val="10"/>
          <w:color w:val="auto"/>
        </w:rPr>
        <w:t>On April 25, 2017, we issued 19.5 million shares of our common stock, par value $0.0001 per share. The shares were sold at a public offering price of $26.50, generating proceeds of approximately $518 million, before underwriter discounts and transaction costs. The Company used the proceeds from this offering to fund a portion of the cash consideration paid in connection with the acquisitions of Southern Light and Hunt that closed on July 3, 2017.</w:t>
      </w:r>
    </w:p>
    <w:p>
      <w:pPr>
        <w:spacing w:after="0" w:line="68" w:lineRule="exact"/>
        <w:rPr>
          <w:sz w:val="20"/>
          <w:szCs w:val="20"/>
          <w:color w:val="auto"/>
        </w:rPr>
      </w:pPr>
    </w:p>
    <w:p>
      <w:pPr>
        <w:ind w:right="100"/>
        <w:spacing w:after="0" w:line="286" w:lineRule="auto"/>
        <w:rPr>
          <w:sz w:val="20"/>
          <w:szCs w:val="20"/>
          <w:color w:val="auto"/>
        </w:rPr>
      </w:pPr>
      <w:r>
        <w:rPr>
          <w:rFonts w:ascii="Arial" w:cs="Arial" w:eastAsia="Arial" w:hAnsi="Arial"/>
          <w:sz w:val="11"/>
          <w:szCs w:val="11"/>
          <w:color w:val="auto"/>
        </w:rPr>
        <w:t>On May 2, 2016, we issued 87,500 shares of the Company’s 3% Series A Convertible Preferred Stock, $0.0001 par value, with a liquidation value of $87.5 million. The Series A Shares are non-voting and entitle the holders to receive cumulative dividends at the rate per annum of 3.0%, payable in cash. Holders of the Series A Shares have the option to convert at any time after three years, or are mandatorily convertible after eight years at a conversion rate of 28.5714 shares of common stock per Series A Share, subject to adjustment for certain dilutive events not to exceed a conversion rate of 50.5305 shares of common stock per Series A Share. The Series A Shares provide us the option to cash or share settle, and it is our policy to settle in cash upon conversion. Upon liquidation, each holder of the Series A Shares shall be entitled to receive the liquidation preference per share of $1,000 plus an amount equal to the accumulated and unpaid dividends on such shares. The Series A Shares were recorded at inception on the Consolidated Balance Sheet as mezzanine equity at fair value.</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02" w:name="page103"/>
    <w:bookmarkEnd w:id="102"/>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80"/>
        <w:spacing w:after="0" w:line="276" w:lineRule="auto"/>
        <w:rPr>
          <w:sz w:val="20"/>
          <w:szCs w:val="20"/>
          <w:color w:val="auto"/>
        </w:rPr>
      </w:pPr>
      <w:r>
        <w:rPr>
          <w:rFonts w:ascii="Arial" w:cs="Arial" w:eastAsia="Arial" w:hAnsi="Arial"/>
          <w:sz w:val="12"/>
          <w:szCs w:val="12"/>
          <w:color w:val="auto"/>
        </w:rPr>
        <w:t>We are authorized to issue up to 500,000,000 shares of voting common stock and 50,000,000 shares of preferred stock, of which 180,535,971 and 0 shares, respectively, were outstanding at December 31, 2018. We had 319,464,029 shares of voting common stock available for issuance at December 31, 2018.</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20. Dividends (Distributions)</w:t>
      </w:r>
    </w:p>
    <w:p>
      <w:pPr>
        <w:spacing w:after="0" w:line="154"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Distributions with respect to our common stock is characterized for federal income tax purposes as taxable ordinary dividends, capital gains dividends, non-dividend distribution or a combination thereof. For the years ended December 31, 2018, 2017, and 2016, our common stock distribution per share was $2.40, $2.40 and $2.40, respectively, characterized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282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150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760" w:type="dxa"/>
            <w:vAlign w:val="bottom"/>
            <w:tcBorders>
              <w:bottom w:val="single" w:sz="8" w:color="auto"/>
            </w:tcBorders>
          </w:tcPr>
          <w:p>
            <w:pPr>
              <w:jc w:val="right"/>
              <w:ind w:right="365"/>
              <w:spacing w:after="0"/>
              <w:rPr>
                <w:sz w:val="20"/>
                <w:szCs w:val="20"/>
                <w:color w:val="auto"/>
              </w:rPr>
            </w:pPr>
            <w:r>
              <w:rPr>
                <w:rFonts w:ascii="Arial" w:cs="Arial" w:eastAsia="Arial" w:hAnsi="Arial"/>
                <w:sz w:val="10"/>
                <w:szCs w:val="10"/>
                <w:b w:val="1"/>
                <w:bCs w:val="1"/>
                <w:color w:val="auto"/>
              </w:rPr>
              <w:t>Year Ended December 31,</w:t>
            </w:r>
          </w:p>
        </w:tc>
        <w:tc>
          <w:tcPr>
            <w:tcW w:w="28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r>
      <w:tr>
        <w:trPr>
          <w:trHeight w:val="151"/>
        </w:trPr>
        <w:tc>
          <w:tcPr>
            <w:tcW w:w="2820" w:type="dxa"/>
            <w:vAlign w:val="bottom"/>
            <w:tcBorders>
              <w:bottom w:val="single" w:sz="8" w:color="CFF0FC"/>
            </w:tcBorders>
          </w:tcPr>
          <w:p>
            <w:pPr>
              <w:spacing w:after="0"/>
              <w:rPr>
                <w:sz w:val="13"/>
                <w:szCs w:val="13"/>
                <w:color w:val="auto"/>
              </w:rPr>
            </w:pPr>
          </w:p>
        </w:tc>
        <w:tc>
          <w:tcPr>
            <w:tcW w:w="1520" w:type="dxa"/>
            <w:vAlign w:val="bottom"/>
            <w:tcBorders>
              <w:bottom w:val="single" w:sz="8" w:color="CFF0FC"/>
            </w:tcBorders>
          </w:tcPr>
          <w:p>
            <w:pPr>
              <w:spacing w:after="0"/>
              <w:rPr>
                <w:sz w:val="13"/>
                <w:szCs w:val="13"/>
                <w:color w:val="auto"/>
              </w:rPr>
            </w:pPr>
          </w:p>
        </w:tc>
        <w:tc>
          <w:tcPr>
            <w:tcW w:w="1500" w:type="dxa"/>
            <w:vAlign w:val="bottom"/>
            <w:tcBorders>
              <w:bottom w:val="single" w:sz="8" w:color="auto"/>
            </w:tcBorders>
          </w:tcPr>
          <w:p>
            <w:pPr>
              <w:jc w:val="right"/>
              <w:ind w:right="312"/>
              <w:spacing w:after="0"/>
              <w:rPr>
                <w:sz w:val="20"/>
                <w:szCs w:val="20"/>
                <w:color w:val="auto"/>
              </w:rPr>
            </w:pPr>
            <w:r>
              <w:rPr>
                <w:rFonts w:ascii="Arial" w:cs="Arial" w:eastAsia="Arial" w:hAnsi="Arial"/>
                <w:sz w:val="10"/>
                <w:szCs w:val="10"/>
                <w:b w:val="1"/>
                <w:bCs w:val="1"/>
                <w:color w:val="auto"/>
              </w:rPr>
              <w:t>2018</w:t>
            </w:r>
          </w:p>
        </w:tc>
        <w:tc>
          <w:tcPr>
            <w:tcW w:w="60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760" w:type="dxa"/>
            <w:vAlign w:val="bottom"/>
            <w:tcBorders>
              <w:bottom w:val="single" w:sz="8" w:color="auto"/>
            </w:tcBorders>
          </w:tcPr>
          <w:p>
            <w:pPr>
              <w:jc w:val="right"/>
              <w:ind w:right="905"/>
              <w:spacing w:after="0"/>
              <w:rPr>
                <w:sz w:val="20"/>
                <w:szCs w:val="20"/>
                <w:color w:val="auto"/>
              </w:rPr>
            </w:pPr>
            <w:r>
              <w:rPr>
                <w:rFonts w:ascii="Arial" w:cs="Arial" w:eastAsia="Arial" w:hAnsi="Arial"/>
                <w:sz w:val="10"/>
                <w:szCs w:val="10"/>
                <w:b w:val="1"/>
                <w:bCs w:val="1"/>
                <w:color w:val="auto"/>
              </w:rPr>
              <w:t>2017</w:t>
            </w:r>
          </w:p>
        </w:tc>
        <w:tc>
          <w:tcPr>
            <w:tcW w:w="28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720" w:type="dxa"/>
            <w:vAlign w:val="bottom"/>
            <w:tcBorders>
              <w:bottom w:val="single" w:sz="8" w:color="auto"/>
            </w:tcBorders>
          </w:tcPr>
          <w:p>
            <w:pPr>
              <w:jc w:val="right"/>
              <w:ind w:right="983"/>
              <w:spacing w:after="0"/>
              <w:rPr>
                <w:sz w:val="20"/>
                <w:szCs w:val="20"/>
                <w:color w:val="auto"/>
              </w:rPr>
            </w:pPr>
            <w:r>
              <w:rPr>
                <w:rFonts w:ascii="Arial" w:cs="Arial" w:eastAsia="Arial" w:hAnsi="Arial"/>
                <w:sz w:val="10"/>
                <w:szCs w:val="10"/>
                <w:b w:val="1"/>
                <w:bCs w:val="1"/>
                <w:color w:val="auto"/>
              </w:rPr>
              <w:t>2016</w:t>
            </w:r>
          </w:p>
        </w:tc>
        <w:tc>
          <w:tcPr>
            <w:tcW w:w="120" w:type="dxa"/>
            <w:vAlign w:val="bottom"/>
            <w:tcBorders>
              <w:bottom w:val="single" w:sz="8" w:color="CFF0FC"/>
            </w:tcBorders>
          </w:tcPr>
          <w:p>
            <w:pPr>
              <w:spacing w:after="0"/>
              <w:rPr>
                <w:sz w:val="13"/>
                <w:szCs w:val="13"/>
                <w:color w:val="auto"/>
              </w:rPr>
            </w:pPr>
          </w:p>
        </w:tc>
      </w:tr>
      <w:tr>
        <w:trPr>
          <w:trHeight w:val="151"/>
        </w:trPr>
        <w:tc>
          <w:tcPr>
            <w:tcW w:w="2820" w:type="dxa"/>
            <w:vAlign w:val="bottom"/>
            <w:shd w:val="clear" w:color="auto" w:fill="CFF0FC"/>
          </w:tcPr>
          <w:p>
            <w:pPr>
              <w:spacing w:after="0"/>
              <w:rPr>
                <w:sz w:val="20"/>
                <w:szCs w:val="20"/>
                <w:color w:val="auto"/>
              </w:rPr>
            </w:pPr>
            <w:r>
              <w:rPr>
                <w:rFonts w:ascii="Arial" w:cs="Arial" w:eastAsia="Arial" w:hAnsi="Arial"/>
                <w:sz w:val="12"/>
                <w:szCs w:val="12"/>
                <w:color w:val="auto"/>
              </w:rPr>
              <w:t>Ordinary dividends</w:t>
            </w:r>
          </w:p>
        </w:tc>
        <w:tc>
          <w:tcPr>
            <w:tcW w:w="3020" w:type="dxa"/>
            <w:vAlign w:val="bottom"/>
            <w:gridSpan w:val="2"/>
            <w:shd w:val="clear" w:color="auto" w:fill="CFF0FC"/>
          </w:tcPr>
          <w:p>
            <w:pPr>
              <w:jc w:val="right"/>
              <w:ind w:right="1392"/>
              <w:spacing w:after="0"/>
              <w:rPr>
                <w:sz w:val="20"/>
                <w:szCs w:val="20"/>
                <w:color w:val="auto"/>
              </w:rPr>
            </w:pPr>
            <w:r>
              <w:rPr>
                <w:rFonts w:ascii="Arial" w:cs="Arial" w:eastAsia="Arial" w:hAnsi="Arial"/>
                <w:sz w:val="12"/>
                <w:szCs w:val="12"/>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1.53</w:t>
            </w:r>
          </w:p>
        </w:tc>
        <w:tc>
          <w:tcPr>
            <w:tcW w:w="60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1.22</w:t>
            </w:r>
          </w:p>
        </w:tc>
        <w:tc>
          <w:tcPr>
            <w:tcW w:w="840" w:type="dxa"/>
            <w:vAlign w:val="bottom"/>
            <w:gridSpan w:val="2"/>
            <w:shd w:val="clear" w:color="auto" w:fill="CFF0FC"/>
          </w:tcPr>
          <w:p>
            <w:pPr>
              <w:jc w:val="right"/>
              <w:ind w:right="500"/>
              <w:spacing w:after="0"/>
              <w:rPr>
                <w:sz w:val="20"/>
                <w:szCs w:val="20"/>
                <w:color w:val="auto"/>
              </w:rPr>
            </w:pPr>
            <w:r>
              <w:rPr>
                <w:rFonts w:ascii="Arial" w:cs="Arial" w:eastAsia="Arial" w:hAnsi="Arial"/>
                <w:sz w:val="12"/>
                <w:szCs w:val="12"/>
                <w:color w:val="auto"/>
              </w:rPr>
              <w:t>$</w:t>
            </w: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1.31</w:t>
            </w:r>
          </w:p>
        </w:tc>
        <w:tc>
          <w:tcPr>
            <w:tcW w:w="120" w:type="dxa"/>
            <w:vAlign w:val="bottom"/>
            <w:shd w:val="clear" w:color="auto" w:fill="CFF0FC"/>
          </w:tcPr>
          <w:p>
            <w:pPr>
              <w:spacing w:after="0"/>
              <w:rPr>
                <w:sz w:val="13"/>
                <w:szCs w:val="13"/>
                <w:color w:val="auto"/>
              </w:rPr>
            </w:pPr>
          </w:p>
        </w:tc>
      </w:tr>
      <w:tr>
        <w:trPr>
          <w:trHeight w:val="162"/>
        </w:trPr>
        <w:tc>
          <w:tcPr>
            <w:tcW w:w="282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Non-dividend distributions</w:t>
            </w:r>
          </w:p>
        </w:tc>
        <w:tc>
          <w:tcPr>
            <w:tcW w:w="1520" w:type="dxa"/>
            <w:vAlign w:val="bottom"/>
            <w:tcBorders>
              <w:bottom w:val="single" w:sz="8" w:color="CFF0FC"/>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0.87</w:t>
            </w:r>
          </w:p>
        </w:tc>
        <w:tc>
          <w:tcPr>
            <w:tcW w:w="260" w:type="dxa"/>
            <w:vAlign w:val="bottom"/>
            <w:tcBorders>
              <w:bottom w:val="single" w:sz="8" w:color="CFF0FC"/>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1.18</w:t>
            </w:r>
          </w:p>
        </w:tc>
        <w:tc>
          <w:tcPr>
            <w:tcW w:w="280" w:type="dxa"/>
            <w:vAlign w:val="bottom"/>
            <w:tcBorders>
              <w:bottom w:val="single" w:sz="8" w:color="CFF0FC"/>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1.09</w:t>
            </w:r>
          </w:p>
        </w:tc>
        <w:tc>
          <w:tcPr>
            <w:tcW w:w="120" w:type="dxa"/>
            <w:vAlign w:val="bottom"/>
            <w:tcBorders>
              <w:bottom w:val="single" w:sz="8" w:color="CFF0FC"/>
            </w:tcBorders>
          </w:tcPr>
          <w:p>
            <w:pPr>
              <w:spacing w:after="0"/>
              <w:rPr>
                <w:sz w:val="14"/>
                <w:szCs w:val="14"/>
                <w:color w:val="auto"/>
              </w:rPr>
            </w:pPr>
          </w:p>
        </w:tc>
      </w:tr>
      <w:tr>
        <w:trPr>
          <w:trHeight w:val="151"/>
        </w:trPr>
        <w:tc>
          <w:tcPr>
            <w:tcW w:w="2820" w:type="dxa"/>
            <w:vAlign w:val="bottom"/>
            <w:shd w:val="clear" w:color="auto" w:fill="CFF0FC"/>
          </w:tcPr>
          <w:p>
            <w:pPr>
              <w:spacing w:after="0"/>
              <w:rPr>
                <w:sz w:val="20"/>
                <w:szCs w:val="20"/>
                <w:color w:val="auto"/>
              </w:rPr>
            </w:pPr>
            <w:r>
              <w:rPr>
                <w:rFonts w:ascii="Arial" w:cs="Arial" w:eastAsia="Arial" w:hAnsi="Arial"/>
                <w:sz w:val="12"/>
                <w:szCs w:val="12"/>
                <w:color w:val="auto"/>
              </w:rPr>
              <w:t>Total</w:t>
            </w:r>
          </w:p>
        </w:tc>
        <w:tc>
          <w:tcPr>
            <w:tcW w:w="3020" w:type="dxa"/>
            <w:vAlign w:val="bottom"/>
            <w:gridSpan w:val="2"/>
            <w:shd w:val="clear" w:color="auto" w:fill="CFF0FC"/>
          </w:tcPr>
          <w:p>
            <w:pPr>
              <w:jc w:val="right"/>
              <w:ind w:right="1392"/>
              <w:spacing w:after="0"/>
              <w:rPr>
                <w:sz w:val="20"/>
                <w:szCs w:val="20"/>
                <w:color w:val="auto"/>
              </w:rPr>
            </w:pPr>
            <w:r>
              <w:rPr>
                <w:rFonts w:ascii="Arial" w:cs="Arial" w:eastAsia="Arial" w:hAnsi="Arial"/>
                <w:sz w:val="12"/>
                <w:szCs w:val="12"/>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w:t>
            </w:r>
          </w:p>
        </w:tc>
        <w:tc>
          <w:tcPr>
            <w:tcW w:w="60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7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w:t>
            </w:r>
          </w:p>
        </w:tc>
        <w:tc>
          <w:tcPr>
            <w:tcW w:w="840" w:type="dxa"/>
            <w:vAlign w:val="bottom"/>
            <w:gridSpan w:val="2"/>
            <w:shd w:val="clear" w:color="auto" w:fill="CFF0FC"/>
          </w:tcPr>
          <w:p>
            <w:pPr>
              <w:jc w:val="right"/>
              <w:ind w:right="500"/>
              <w:spacing w:after="0"/>
              <w:rPr>
                <w:sz w:val="20"/>
                <w:szCs w:val="20"/>
                <w:color w:val="auto"/>
              </w:rPr>
            </w:pPr>
            <w:r>
              <w:rPr>
                <w:rFonts w:ascii="Arial" w:cs="Arial" w:eastAsia="Arial" w:hAnsi="Arial"/>
                <w:sz w:val="12"/>
                <w:szCs w:val="12"/>
                <w:color w:val="auto"/>
              </w:rPr>
              <w:t>$</w:t>
            </w: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2.40</w:t>
            </w:r>
          </w:p>
        </w:tc>
        <w:tc>
          <w:tcPr>
            <w:tcW w:w="120" w:type="dxa"/>
            <w:vAlign w:val="bottom"/>
            <w:shd w:val="clear" w:color="auto" w:fill="CFF0FC"/>
          </w:tcPr>
          <w:p>
            <w:pPr>
              <w:spacing w:after="0"/>
              <w:rPr>
                <w:sz w:val="13"/>
                <w:szCs w:val="13"/>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21. Future Minimum Rents</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Future minimum lease payments to be received, excluding operating expense reimbursements, from tenants under non-cancelable operating leases as of December 31, 2018, are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836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w:t>
            </w:r>
          </w:p>
        </w:tc>
        <w:tc>
          <w:tcPr>
            <w:tcW w:w="200" w:type="dxa"/>
            <w:vAlign w:val="bottom"/>
            <w:tcBorders>
              <w:bottom w:val="single" w:sz="8" w:color="CFF0FC"/>
            </w:tcBorders>
          </w:tcPr>
          <w:p>
            <w:pPr>
              <w:spacing w:after="0"/>
              <w:rPr>
                <w:sz w:val="10"/>
                <w:szCs w:val="10"/>
                <w:color w:val="auto"/>
              </w:rPr>
            </w:pPr>
          </w:p>
        </w:tc>
        <w:tc>
          <w:tcPr>
            <w:tcW w:w="1200" w:type="dxa"/>
            <w:vAlign w:val="bottom"/>
            <w:tcBorders>
              <w:bottom w:val="single" w:sz="8" w:color="CFF0FC"/>
            </w:tcBorders>
          </w:tcPr>
          <w:p>
            <w:pPr>
              <w:spacing w:after="0"/>
              <w:rPr>
                <w:sz w:val="10"/>
                <w:szCs w:val="10"/>
                <w:color w:val="auto"/>
              </w:rPr>
            </w:pPr>
          </w:p>
        </w:tc>
        <w:tc>
          <w:tcPr>
            <w:tcW w:w="1600" w:type="dxa"/>
            <w:vAlign w:val="bottom"/>
            <w:tcBorders>
              <w:bottom w:val="single" w:sz="8" w:color="CFF0FC"/>
            </w:tcBorders>
          </w:tcPr>
          <w:p>
            <w:pPr>
              <w:spacing w:after="0"/>
              <w:rPr>
                <w:sz w:val="10"/>
                <w:szCs w:val="10"/>
                <w:color w:val="auto"/>
              </w:rPr>
            </w:pPr>
          </w:p>
        </w:tc>
        <w:tc>
          <w:tcPr>
            <w:tcW w:w="120" w:type="dxa"/>
            <w:vAlign w:val="bottom"/>
            <w:tcBorders>
              <w:bottom w:val="single" w:sz="8" w:color="CFF0FC"/>
            </w:tcBorders>
          </w:tcPr>
          <w:p>
            <w:pPr>
              <w:spacing w:after="0"/>
              <w:rPr>
                <w:sz w:val="10"/>
                <w:szCs w:val="10"/>
                <w:color w:val="auto"/>
              </w:rPr>
            </w:pPr>
          </w:p>
        </w:tc>
      </w:tr>
      <w:tr>
        <w:trPr>
          <w:trHeight w:val="142"/>
        </w:trPr>
        <w:tc>
          <w:tcPr>
            <w:tcW w:w="8360" w:type="dxa"/>
            <w:vAlign w:val="bottom"/>
            <w:shd w:val="clear" w:color="auto" w:fill="CFF0FC"/>
          </w:tcPr>
          <w:p>
            <w:pPr>
              <w:spacing w:after="0"/>
              <w:rPr>
                <w:sz w:val="20"/>
                <w:szCs w:val="20"/>
                <w:color w:val="auto"/>
              </w:rPr>
            </w:pPr>
            <w:r>
              <w:rPr>
                <w:rFonts w:ascii="Arial" w:cs="Arial" w:eastAsia="Arial" w:hAnsi="Arial"/>
                <w:sz w:val="12"/>
                <w:szCs w:val="12"/>
                <w:color w:val="auto"/>
              </w:rPr>
              <w:t>2019</w:t>
            </w:r>
          </w:p>
        </w:tc>
        <w:tc>
          <w:tcPr>
            <w:tcW w:w="1400" w:type="dxa"/>
            <w:vAlign w:val="bottom"/>
            <w:gridSpan w:val="2"/>
            <w:shd w:val="clear" w:color="auto" w:fill="CFF0FC"/>
          </w:tcPr>
          <w:p>
            <w:pPr>
              <w:jc w:val="right"/>
              <w:ind w:right="1090"/>
              <w:spacing w:after="0"/>
              <w:rPr>
                <w:sz w:val="20"/>
                <w:szCs w:val="20"/>
                <w:color w:val="auto"/>
              </w:rPr>
            </w:pPr>
            <w:r>
              <w:rPr>
                <w:rFonts w:ascii="Arial" w:cs="Arial" w:eastAsia="Arial" w:hAnsi="Arial"/>
                <w:sz w:val="12"/>
                <w:szCs w:val="12"/>
                <w:color w:val="auto"/>
              </w:rPr>
              <w:t>$</w:t>
            </w:r>
          </w:p>
        </w:tc>
        <w:tc>
          <w:tcPr>
            <w:tcW w:w="16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724,269</w:t>
            </w:r>
          </w:p>
        </w:tc>
        <w:tc>
          <w:tcPr>
            <w:tcW w:w="120" w:type="dxa"/>
            <w:vAlign w:val="bottom"/>
            <w:shd w:val="clear" w:color="auto" w:fill="CFF0FC"/>
          </w:tcPr>
          <w:p>
            <w:pPr>
              <w:spacing w:after="0"/>
              <w:rPr>
                <w:sz w:val="12"/>
                <w:szCs w:val="12"/>
                <w:color w:val="auto"/>
              </w:rPr>
            </w:pPr>
          </w:p>
        </w:tc>
      </w:tr>
      <w:tr>
        <w:trPr>
          <w:trHeight w:val="153"/>
        </w:trPr>
        <w:tc>
          <w:tcPr>
            <w:tcW w:w="8360" w:type="dxa"/>
            <w:vAlign w:val="bottom"/>
          </w:tcPr>
          <w:p>
            <w:pPr>
              <w:spacing w:after="0"/>
              <w:rPr>
                <w:sz w:val="20"/>
                <w:szCs w:val="20"/>
                <w:color w:val="auto"/>
              </w:rPr>
            </w:pPr>
            <w:r>
              <w:rPr>
                <w:rFonts w:ascii="Arial" w:cs="Arial" w:eastAsia="Arial" w:hAnsi="Arial"/>
                <w:sz w:val="12"/>
                <w:szCs w:val="12"/>
                <w:color w:val="auto"/>
              </w:rPr>
              <w:t>2020</w:t>
            </w: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00" w:type="dxa"/>
            <w:vAlign w:val="bottom"/>
          </w:tcPr>
          <w:p>
            <w:pPr>
              <w:jc w:val="right"/>
              <w:spacing w:after="0"/>
              <w:rPr>
                <w:sz w:val="20"/>
                <w:szCs w:val="20"/>
                <w:color w:val="auto"/>
              </w:rPr>
            </w:pPr>
            <w:r>
              <w:rPr>
                <w:rFonts w:ascii="Arial" w:cs="Arial" w:eastAsia="Arial" w:hAnsi="Arial"/>
                <w:sz w:val="12"/>
                <w:szCs w:val="12"/>
                <w:color w:val="auto"/>
              </w:rPr>
              <w:t>693,596</w:t>
            </w:r>
          </w:p>
        </w:tc>
        <w:tc>
          <w:tcPr>
            <w:tcW w:w="120" w:type="dxa"/>
            <w:vAlign w:val="bottom"/>
          </w:tcPr>
          <w:p>
            <w:pPr>
              <w:spacing w:after="0"/>
              <w:rPr>
                <w:sz w:val="13"/>
                <w:szCs w:val="13"/>
                <w:color w:val="auto"/>
              </w:rPr>
            </w:pPr>
          </w:p>
        </w:tc>
      </w:tr>
      <w:tr>
        <w:trPr>
          <w:trHeight w:val="153"/>
        </w:trPr>
        <w:tc>
          <w:tcPr>
            <w:tcW w:w="8360" w:type="dxa"/>
            <w:vAlign w:val="bottom"/>
            <w:shd w:val="clear" w:color="auto" w:fill="CFF0FC"/>
          </w:tcPr>
          <w:p>
            <w:pPr>
              <w:spacing w:after="0"/>
              <w:rPr>
                <w:sz w:val="20"/>
                <w:szCs w:val="20"/>
                <w:color w:val="auto"/>
              </w:rPr>
            </w:pPr>
            <w:r>
              <w:rPr>
                <w:rFonts w:ascii="Arial" w:cs="Arial" w:eastAsia="Arial" w:hAnsi="Arial"/>
                <w:sz w:val="12"/>
                <w:szCs w:val="12"/>
                <w:color w:val="auto"/>
              </w:rPr>
              <w:t>2021</w:t>
            </w:r>
          </w:p>
        </w:tc>
        <w:tc>
          <w:tcPr>
            <w:tcW w:w="200" w:type="dxa"/>
            <w:vAlign w:val="bottom"/>
            <w:shd w:val="clear" w:color="auto" w:fill="CFF0FC"/>
          </w:tcPr>
          <w:p>
            <w:pPr>
              <w:spacing w:after="0"/>
              <w:rPr>
                <w:sz w:val="13"/>
                <w:szCs w:val="13"/>
                <w:color w:val="auto"/>
              </w:rPr>
            </w:pPr>
          </w:p>
        </w:tc>
        <w:tc>
          <w:tcPr>
            <w:tcW w:w="1200" w:type="dxa"/>
            <w:vAlign w:val="bottom"/>
            <w:shd w:val="clear" w:color="auto" w:fill="CFF0FC"/>
          </w:tcPr>
          <w:p>
            <w:pPr>
              <w:spacing w:after="0"/>
              <w:rPr>
                <w:sz w:val="13"/>
                <w:szCs w:val="13"/>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696,713</w:t>
            </w:r>
          </w:p>
        </w:tc>
        <w:tc>
          <w:tcPr>
            <w:tcW w:w="120" w:type="dxa"/>
            <w:vAlign w:val="bottom"/>
            <w:shd w:val="clear" w:color="auto" w:fill="CFF0FC"/>
          </w:tcPr>
          <w:p>
            <w:pPr>
              <w:spacing w:after="0"/>
              <w:rPr>
                <w:sz w:val="13"/>
                <w:szCs w:val="13"/>
                <w:color w:val="auto"/>
              </w:rPr>
            </w:pPr>
          </w:p>
        </w:tc>
      </w:tr>
      <w:tr>
        <w:trPr>
          <w:trHeight w:val="153"/>
        </w:trPr>
        <w:tc>
          <w:tcPr>
            <w:tcW w:w="8360" w:type="dxa"/>
            <w:vAlign w:val="bottom"/>
          </w:tcPr>
          <w:p>
            <w:pPr>
              <w:spacing w:after="0"/>
              <w:rPr>
                <w:sz w:val="20"/>
                <w:szCs w:val="20"/>
                <w:color w:val="auto"/>
              </w:rPr>
            </w:pPr>
            <w:r>
              <w:rPr>
                <w:rFonts w:ascii="Arial" w:cs="Arial" w:eastAsia="Arial" w:hAnsi="Arial"/>
                <w:sz w:val="12"/>
                <w:szCs w:val="12"/>
                <w:color w:val="auto"/>
              </w:rPr>
              <w:t>2022</w:t>
            </w: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00" w:type="dxa"/>
            <w:vAlign w:val="bottom"/>
          </w:tcPr>
          <w:p>
            <w:pPr>
              <w:jc w:val="right"/>
              <w:spacing w:after="0"/>
              <w:rPr>
                <w:sz w:val="20"/>
                <w:szCs w:val="20"/>
                <w:color w:val="auto"/>
              </w:rPr>
            </w:pPr>
            <w:r>
              <w:rPr>
                <w:rFonts w:ascii="Arial" w:cs="Arial" w:eastAsia="Arial" w:hAnsi="Arial"/>
                <w:sz w:val="12"/>
                <w:szCs w:val="12"/>
                <w:color w:val="auto"/>
              </w:rPr>
              <w:t>699,561</w:t>
            </w:r>
          </w:p>
        </w:tc>
        <w:tc>
          <w:tcPr>
            <w:tcW w:w="120" w:type="dxa"/>
            <w:vAlign w:val="bottom"/>
          </w:tcPr>
          <w:p>
            <w:pPr>
              <w:spacing w:after="0"/>
              <w:rPr>
                <w:sz w:val="13"/>
                <w:szCs w:val="13"/>
                <w:color w:val="auto"/>
              </w:rPr>
            </w:pPr>
          </w:p>
        </w:tc>
      </w:tr>
      <w:tr>
        <w:trPr>
          <w:trHeight w:val="153"/>
        </w:trPr>
        <w:tc>
          <w:tcPr>
            <w:tcW w:w="8360" w:type="dxa"/>
            <w:vAlign w:val="bottom"/>
            <w:shd w:val="clear" w:color="auto" w:fill="CFF0FC"/>
          </w:tcPr>
          <w:p>
            <w:pPr>
              <w:spacing w:after="0"/>
              <w:rPr>
                <w:sz w:val="20"/>
                <w:szCs w:val="20"/>
                <w:color w:val="auto"/>
              </w:rPr>
            </w:pPr>
            <w:r>
              <w:rPr>
                <w:rFonts w:ascii="Arial" w:cs="Arial" w:eastAsia="Arial" w:hAnsi="Arial"/>
                <w:sz w:val="12"/>
                <w:szCs w:val="12"/>
                <w:color w:val="auto"/>
              </w:rPr>
              <w:t>2023</w:t>
            </w:r>
          </w:p>
        </w:tc>
        <w:tc>
          <w:tcPr>
            <w:tcW w:w="200" w:type="dxa"/>
            <w:vAlign w:val="bottom"/>
            <w:shd w:val="clear" w:color="auto" w:fill="CFF0FC"/>
          </w:tcPr>
          <w:p>
            <w:pPr>
              <w:spacing w:after="0"/>
              <w:rPr>
                <w:sz w:val="13"/>
                <w:szCs w:val="13"/>
                <w:color w:val="auto"/>
              </w:rPr>
            </w:pPr>
          </w:p>
        </w:tc>
        <w:tc>
          <w:tcPr>
            <w:tcW w:w="1200" w:type="dxa"/>
            <w:vAlign w:val="bottom"/>
            <w:shd w:val="clear" w:color="auto" w:fill="CFF0FC"/>
          </w:tcPr>
          <w:p>
            <w:pPr>
              <w:spacing w:after="0"/>
              <w:rPr>
                <w:sz w:val="13"/>
                <w:szCs w:val="13"/>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702,663</w:t>
            </w:r>
          </w:p>
        </w:tc>
        <w:tc>
          <w:tcPr>
            <w:tcW w:w="120" w:type="dxa"/>
            <w:vAlign w:val="bottom"/>
            <w:shd w:val="clear" w:color="auto" w:fill="CFF0FC"/>
          </w:tcPr>
          <w:p>
            <w:pPr>
              <w:spacing w:after="0"/>
              <w:rPr>
                <w:sz w:val="13"/>
                <w:szCs w:val="13"/>
                <w:color w:val="auto"/>
              </w:rPr>
            </w:pPr>
          </w:p>
        </w:tc>
      </w:tr>
      <w:tr>
        <w:trPr>
          <w:trHeight w:val="153"/>
        </w:trPr>
        <w:tc>
          <w:tcPr>
            <w:tcW w:w="8360" w:type="dxa"/>
            <w:vAlign w:val="bottom"/>
            <w:tcBorders>
              <w:bottom w:val="single" w:sz="8" w:color="CFF0FC"/>
            </w:tcBorders>
          </w:tcPr>
          <w:p>
            <w:pPr>
              <w:spacing w:after="0"/>
              <w:rPr>
                <w:sz w:val="20"/>
                <w:szCs w:val="20"/>
                <w:color w:val="auto"/>
              </w:rPr>
            </w:pPr>
            <w:r>
              <w:rPr>
                <w:rFonts w:ascii="Arial" w:cs="Arial" w:eastAsia="Arial" w:hAnsi="Arial"/>
                <w:sz w:val="12"/>
                <w:szCs w:val="12"/>
                <w:color w:val="auto"/>
              </w:rPr>
              <w:t>Thereafter</w:t>
            </w:r>
          </w:p>
        </w:tc>
        <w:tc>
          <w:tcPr>
            <w:tcW w:w="200" w:type="dxa"/>
            <w:vAlign w:val="bottom"/>
            <w:tcBorders>
              <w:bottom w:val="single" w:sz="8" w:color="CFF0FC"/>
            </w:tcBorders>
          </w:tcPr>
          <w:p>
            <w:pPr>
              <w:spacing w:after="0"/>
              <w:rPr>
                <w:sz w:val="13"/>
                <w:szCs w:val="13"/>
                <w:color w:val="auto"/>
              </w:rPr>
            </w:pPr>
          </w:p>
        </w:tc>
        <w:tc>
          <w:tcPr>
            <w:tcW w:w="1200" w:type="dxa"/>
            <w:vAlign w:val="bottom"/>
            <w:tcBorders>
              <w:bottom w:val="single" w:sz="8" w:color="auto"/>
            </w:tcBorders>
          </w:tcPr>
          <w:p>
            <w:pPr>
              <w:spacing w:after="0"/>
              <w:rPr>
                <w:sz w:val="13"/>
                <w:szCs w:val="13"/>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4,706,951</w:t>
            </w:r>
          </w:p>
        </w:tc>
        <w:tc>
          <w:tcPr>
            <w:tcW w:w="120" w:type="dxa"/>
            <w:vAlign w:val="bottom"/>
            <w:tcBorders>
              <w:bottom w:val="single" w:sz="8" w:color="CFF0FC"/>
            </w:tcBorders>
          </w:tcPr>
          <w:p>
            <w:pPr>
              <w:spacing w:after="0"/>
              <w:rPr>
                <w:sz w:val="13"/>
                <w:szCs w:val="13"/>
                <w:color w:val="auto"/>
              </w:rPr>
            </w:pPr>
          </w:p>
        </w:tc>
      </w:tr>
      <w:tr>
        <w:trPr>
          <w:trHeight w:val="158"/>
        </w:trPr>
        <w:tc>
          <w:tcPr>
            <w:tcW w:w="83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2"/>
                <w:szCs w:val="12"/>
                <w:color w:val="auto"/>
              </w:rPr>
              <w:t>Total</w:t>
            </w:r>
          </w:p>
        </w:tc>
        <w:tc>
          <w:tcPr>
            <w:tcW w:w="200" w:type="dxa"/>
            <w:vAlign w:val="bottom"/>
            <w:tcBorders>
              <w:bottom w:val="single" w:sz="8" w:color="CFF0FC"/>
            </w:tcBorders>
            <w:shd w:val="clear" w:color="auto" w:fill="CFF0FC"/>
          </w:tcPr>
          <w:p>
            <w:pPr>
              <w:spacing w:after="0"/>
              <w:rPr>
                <w:sz w:val="13"/>
                <w:szCs w:val="13"/>
                <w:color w:val="auto"/>
              </w:rPr>
            </w:pPr>
          </w:p>
        </w:tc>
        <w:tc>
          <w:tcPr>
            <w:tcW w:w="1200" w:type="dxa"/>
            <w:vAlign w:val="bottom"/>
            <w:tcBorders>
              <w:bottom w:val="single" w:sz="8" w:color="auto"/>
            </w:tcBorders>
            <w:shd w:val="clear" w:color="auto" w:fill="CFF0FC"/>
          </w:tcPr>
          <w:p>
            <w:pPr>
              <w:jc w:val="right"/>
              <w:ind w:right="1090"/>
              <w:spacing w:after="0"/>
              <w:rPr>
                <w:sz w:val="20"/>
                <w:szCs w:val="20"/>
                <w:color w:val="auto"/>
              </w:rPr>
            </w:pPr>
            <w:r>
              <w:rPr>
                <w:rFonts w:ascii="Arial" w:cs="Arial" w:eastAsia="Arial" w:hAnsi="Arial"/>
                <w:sz w:val="10"/>
                <w:szCs w:val="10"/>
                <w:color w:val="auto"/>
                <w:w w:val="71"/>
              </w:rPr>
              <w:t>$</w:t>
            </w: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8,223,753</w:t>
            </w:r>
          </w:p>
        </w:tc>
        <w:tc>
          <w:tcPr>
            <w:tcW w:w="120" w:type="dxa"/>
            <w:vAlign w:val="bottom"/>
            <w:tcBorders>
              <w:bottom w:val="single" w:sz="8" w:color="CFF0FC"/>
            </w:tcBorders>
            <w:shd w:val="clear" w:color="auto" w:fill="CFF0FC"/>
          </w:tcPr>
          <w:p>
            <w:pPr>
              <w:spacing w:after="0"/>
              <w:rPr>
                <w:sz w:val="13"/>
                <w:szCs w:val="13"/>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22. Employee Benefit Plan</w:t>
      </w:r>
    </w:p>
    <w:p>
      <w:pPr>
        <w:spacing w:after="0" w:line="154" w:lineRule="exact"/>
        <w:rPr>
          <w:sz w:val="20"/>
          <w:szCs w:val="20"/>
          <w:color w:val="auto"/>
        </w:rPr>
      </w:pPr>
    </w:p>
    <w:p>
      <w:pPr>
        <w:jc w:val="both"/>
        <w:ind w:right="100"/>
        <w:spacing w:after="0" w:line="263" w:lineRule="auto"/>
        <w:rPr>
          <w:sz w:val="20"/>
          <w:szCs w:val="20"/>
          <w:color w:val="auto"/>
        </w:rPr>
      </w:pPr>
      <w:r>
        <w:rPr>
          <w:rFonts w:ascii="Arial" w:cs="Arial" w:eastAsia="Arial" w:hAnsi="Arial"/>
          <w:sz w:val="12"/>
          <w:szCs w:val="12"/>
          <w:color w:val="auto"/>
        </w:rPr>
        <w:t>We sponsor a defined contribution plan under section 401(k) of the Internal Revenue Code, which covers employees who are 21 years of age and over. Under this plan, we match voluntary employee contributions at a rate of 100% for the first 3% of an employee’s annual compensation and at a rate of 50% for the next 2% of an employee’s annual compensation. Employees vest in our contribution immediately. Our expense related to the plan recognized for the years ended December 31, 2018, 2017 and 2016 was $1.2 million, $0.8 million and $0.4 million, respectively.</w:t>
      </w:r>
    </w:p>
    <w:p>
      <w:pPr>
        <w:spacing w:after="0" w:line="123" w:lineRule="exact"/>
        <w:rPr>
          <w:sz w:val="20"/>
          <w:szCs w:val="20"/>
          <w:color w:val="auto"/>
        </w:rPr>
      </w:pPr>
    </w:p>
    <w:p>
      <w:pPr>
        <w:ind w:right="200"/>
        <w:spacing w:after="0" w:line="298" w:lineRule="auto"/>
        <w:rPr>
          <w:sz w:val="20"/>
          <w:szCs w:val="20"/>
          <w:color w:val="auto"/>
        </w:rPr>
      </w:pPr>
      <w:r>
        <w:rPr>
          <w:rFonts w:ascii="Arial" w:cs="Arial" w:eastAsia="Arial" w:hAnsi="Arial"/>
          <w:sz w:val="11"/>
          <w:szCs w:val="11"/>
          <w:color w:val="auto"/>
        </w:rPr>
        <w:t>We sponsor a deferred compensation plan. The plan is established and maintained by the Company primarily to permit certain management or highly compensated employees of the Company and its subsidiaries, within the meaning of Section 301(a) of the Employee Retirement Income Security Act of 1974, as amended (“ERISA”), to defer a percentage of their compensation. The plan is an unfunded deferred compensation plan intended to qualify for the exemptions provided in, and shall be administered in a manner consistent with Section 201, 301 and 401 of ERISA and Section 409A of the Internal Revenue Code of 1986, as amended.</w:t>
      </w:r>
    </w:p>
    <w:p>
      <w:pPr>
        <w:spacing w:after="0" w:line="10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23. Subsequent Events</w:t>
      </w:r>
    </w:p>
    <w:p>
      <w:pPr>
        <w:spacing w:after="0" w:line="154" w:lineRule="exact"/>
        <w:rPr>
          <w:sz w:val="20"/>
          <w:szCs w:val="20"/>
          <w:color w:val="auto"/>
        </w:rPr>
      </w:pPr>
    </w:p>
    <w:p>
      <w:pPr>
        <w:ind w:right="220"/>
        <w:spacing w:after="0" w:line="323" w:lineRule="auto"/>
        <w:rPr>
          <w:sz w:val="20"/>
          <w:szCs w:val="20"/>
          <w:color w:val="auto"/>
        </w:rPr>
      </w:pPr>
      <w:r>
        <w:rPr>
          <w:rFonts w:ascii="Arial" w:cs="Arial" w:eastAsia="Arial" w:hAnsi="Arial"/>
          <w:sz w:val="11"/>
          <w:szCs w:val="11"/>
          <w:color w:val="auto"/>
        </w:rPr>
        <w:t>On January 15, 2019, the Company entered into an OpCo-PropCo transaction with Macquarie Infrastructure Partners (“MIP”) to acquire Bluebird Network, LLC (“Bluebird”). MIP operates within the Macquarie Infrastructure and Real Assets ("MIRA") division of Macquarie Group. Bluebird’s network is located in the Midwest across Missouri, Kansas, Illinois, and Oklahoma. In the transaction, Uniti agreed to purchase the Bluebird fiber network</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03" w:name="page104"/>
    <w:bookmarkEnd w:id="10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ind w:right="160"/>
        <w:spacing w:after="0" w:line="290" w:lineRule="auto"/>
        <w:rPr>
          <w:sz w:val="20"/>
          <w:szCs w:val="20"/>
          <w:color w:val="auto"/>
        </w:rPr>
      </w:pPr>
      <w:r>
        <w:rPr>
          <w:rFonts w:ascii="Arial" w:cs="Arial" w:eastAsia="Arial" w:hAnsi="Arial"/>
          <w:sz w:val="11"/>
          <w:szCs w:val="11"/>
          <w:color w:val="auto"/>
        </w:rPr>
        <w:t>and MIP agreed to purchase the Bluebird operations. In addition, Uniti has agreed to sell Uniti Fiber’s Midwest operations to MIP for $37 million, including related pre-paid rent to be received from MIP at closing, while Uniti will retain its existing Midwest fiber network. Uniti is acquiring the fiber network of Bluebird for $319 million, of which $175 million will be funded by Uniti in cash and $144 million from pre-paid rent to be received from MIP at closing. These transactions are subject to regulatory and other closing conditions and are expected to close by the end of the third quarter of 2019. Concurrently with the closing of these transactions, Uniti will lease the Bluebird fiber network and its Midwest fiber network on a combined basis to MIP, under a long-term triple net lease, with initial annual cash rents of approximately $20.3 million. The lease will be reported within the results of our Leasing segment.</w:t>
      </w:r>
    </w:p>
    <w:p>
      <w:pPr>
        <w:spacing w:after="0" w:line="109" w:lineRule="exact"/>
        <w:rPr>
          <w:sz w:val="20"/>
          <w:szCs w:val="20"/>
          <w:color w:val="auto"/>
        </w:rPr>
      </w:pPr>
    </w:p>
    <w:p>
      <w:pPr>
        <w:ind w:right="240"/>
        <w:spacing w:after="0" w:line="323" w:lineRule="auto"/>
        <w:rPr>
          <w:sz w:val="20"/>
          <w:szCs w:val="20"/>
          <w:color w:val="auto"/>
        </w:rPr>
      </w:pPr>
      <w:r>
        <w:rPr>
          <w:rFonts w:ascii="Arial" w:cs="Arial" w:eastAsia="Arial" w:hAnsi="Arial"/>
          <w:sz w:val="11"/>
          <w:szCs w:val="11"/>
          <w:color w:val="auto"/>
        </w:rPr>
        <w:t>On February 19, 2019, the Company announced it had agreed to sell Uniti Towers’ Latin America business to an entity controlled by Phoenix Towers International (“PTI”) for cash consideration of approximately $100 million. PTI will acquire approximately 500 towers located across Mexico, Colombia and Nicaragua. The transaction is subject to customary closing conditions and is expected to close by the end of the first quarter of 2019.</w:t>
      </w:r>
    </w:p>
    <w:p>
      <w:pPr>
        <w:spacing w:after="0" w:line="92" w:lineRule="exact"/>
        <w:rPr>
          <w:sz w:val="20"/>
          <w:szCs w:val="20"/>
          <w:color w:val="auto"/>
        </w:rPr>
      </w:pPr>
    </w:p>
    <w:p>
      <w:pPr>
        <w:ind w:right="180"/>
        <w:spacing w:after="0" w:line="290" w:lineRule="auto"/>
        <w:rPr>
          <w:rFonts w:ascii="Arial" w:cs="Arial" w:eastAsia="Arial" w:hAnsi="Arial"/>
          <w:sz w:val="11"/>
          <w:szCs w:val="11"/>
          <w:color w:val="auto"/>
        </w:rPr>
      </w:pPr>
      <w:r>
        <w:rPr>
          <w:rFonts w:ascii="Arial" w:cs="Arial" w:eastAsia="Arial" w:hAnsi="Arial"/>
          <w:sz w:val="11"/>
          <w:szCs w:val="11"/>
          <w:color w:val="auto"/>
        </w:rPr>
        <w:t xml:space="preserve">As a result of the adverse court ruling Windstream received on February 15, 2019 (see </w:t>
      </w:r>
      <w:hyperlink w:anchor="page64">
        <w:r>
          <w:rPr>
            <w:rFonts w:ascii="Arial" w:cs="Arial" w:eastAsia="Arial" w:hAnsi="Arial"/>
            <w:sz w:val="11"/>
            <w:szCs w:val="11"/>
            <w:u w:val="single" w:color="auto"/>
            <w:color w:val="0000EE"/>
          </w:rPr>
          <w:t>Note 2</w:t>
        </w:r>
      </w:hyperlink>
      <w:r>
        <w:rPr>
          <w:rFonts w:ascii="Arial" w:cs="Arial" w:eastAsia="Arial" w:hAnsi="Arial"/>
          <w:sz w:val="11"/>
          <w:szCs w:val="11"/>
          <w:color w:val="auto"/>
        </w:rPr>
        <w:t>), the Company has evaluated the potential impacts to our Consolidated Financial Statements as of and for the year ended December 31, 2018, concluding that no adjustments were required to be made to amounts reported on the financial statements at this time. We will continue to monitor the situation and evaluate any potential impacts to our first quarter 2019 Condensed Consolidated Financial Statements including, but not limited to, compliance with debt covenants, our quarterly REIT compliance test, goodwill impairment and long-lived asset impairment tests, the collectability of our straight line rent receivable related to the Master Lease and our assertion that we will cash settle any contingent consideration arrangements or Series A Shares upon conversion by the holders.</w:t>
      </w:r>
    </w:p>
    <w:p>
      <w:pPr>
        <w:spacing w:after="0" w:line="109" w:lineRule="exact"/>
        <w:rPr>
          <w:sz w:val="20"/>
          <w:szCs w:val="20"/>
          <w:color w:val="auto"/>
        </w:rPr>
      </w:pPr>
    </w:p>
    <w:p>
      <w:pPr>
        <w:jc w:val="both"/>
        <w:ind w:right="120"/>
        <w:spacing w:after="0" w:line="340" w:lineRule="auto"/>
        <w:rPr>
          <w:sz w:val="20"/>
          <w:szCs w:val="20"/>
          <w:color w:val="auto"/>
        </w:rPr>
      </w:pPr>
      <w:r>
        <w:rPr>
          <w:rFonts w:ascii="Arial" w:cs="Arial" w:eastAsia="Arial" w:hAnsi="Arial"/>
          <w:sz w:val="10"/>
          <w:szCs w:val="10"/>
          <w:color w:val="auto"/>
        </w:rPr>
        <w:t>We may take measures to conserve cash as we anticipate that it would be difficult for us to access the capital markets at attractive rates until uncertainty is clarified and because of the risk of disruptions in payments by Windstream during its bankruptcy proceeding. Accordingly, we may elect to suspend, delay or reduce success-based capital expenditures and our dividend to conserve cash. Because our Master Lease is essential to Windstream’s operations, we expect that any disruption in payments by Windstream would be limited, and we believe that if we take such actions, we would have adequate liquidity to fund our operations for twelve months after the date the financial statements are issued.</w:t>
      </w:r>
    </w:p>
    <w:p>
      <w:pPr>
        <w:spacing w:after="0" w:line="84"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24. Quarterly Results of Operations (unaudited)</w:t>
      </w:r>
    </w:p>
    <w:p>
      <w:pPr>
        <w:spacing w:after="0" w:line="154" w:lineRule="exact"/>
        <w:rPr>
          <w:sz w:val="20"/>
          <w:szCs w:val="20"/>
          <w:color w:val="auto"/>
        </w:rPr>
      </w:pPr>
    </w:p>
    <w:p>
      <w:pPr>
        <w:spacing w:after="0"/>
        <w:rPr>
          <w:sz w:val="20"/>
          <w:szCs w:val="20"/>
          <w:color w:val="auto"/>
        </w:rPr>
      </w:pPr>
      <w:r>
        <w:rPr>
          <w:rFonts w:ascii="Arial" w:cs="Arial" w:eastAsia="Arial" w:hAnsi="Arial"/>
          <w:sz w:val="12"/>
          <w:szCs w:val="12"/>
          <w:color w:val="auto"/>
        </w:rPr>
        <w:t>Selected quarterly information for each of the four quarters in the year ended December 31, 2018:</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80"/>
              </w:rPr>
              <w:t>2018</w:t>
            </w:r>
          </w:p>
        </w:tc>
        <w:tc>
          <w:tcPr>
            <w:tcW w:w="28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70"/>
        </w:trPr>
        <w:tc>
          <w:tcPr>
            <w:tcW w:w="5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jc w:val="right"/>
              <w:ind w:right="69"/>
              <w:spacing w:after="0"/>
              <w:rPr>
                <w:sz w:val="20"/>
                <w:szCs w:val="20"/>
                <w:color w:val="auto"/>
              </w:rPr>
            </w:pPr>
            <w:r>
              <w:rPr>
                <w:rFonts w:ascii="Arial" w:cs="Arial" w:eastAsia="Arial" w:hAnsi="Arial"/>
                <w:sz w:val="10"/>
                <w:szCs w:val="10"/>
                <w:b w:val="1"/>
                <w:bCs w:val="1"/>
                <w:color w:val="auto"/>
              </w:rPr>
              <w:t>First</w:t>
            </w: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0"/>
                <w:szCs w:val="10"/>
                <w:b w:val="1"/>
                <w:bCs w:val="1"/>
                <w:color w:val="auto"/>
              </w:rPr>
              <w:t>Second</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60" w:type="dxa"/>
            <w:vAlign w:val="bottom"/>
          </w:tcPr>
          <w:p>
            <w:pPr>
              <w:jc w:val="right"/>
              <w:ind w:right="503"/>
              <w:spacing w:after="0"/>
              <w:rPr>
                <w:sz w:val="20"/>
                <w:szCs w:val="20"/>
                <w:color w:val="auto"/>
              </w:rPr>
            </w:pPr>
            <w:r>
              <w:rPr>
                <w:rFonts w:ascii="Arial" w:cs="Arial" w:eastAsia="Arial" w:hAnsi="Arial"/>
                <w:sz w:val="10"/>
                <w:szCs w:val="10"/>
                <w:b w:val="1"/>
                <w:bCs w:val="1"/>
                <w:color w:val="auto"/>
              </w:rPr>
              <w:t>Third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gridSpan w:val="2"/>
          </w:tcPr>
          <w:p>
            <w:pPr>
              <w:ind w:left="240"/>
              <w:spacing w:after="0"/>
              <w:rPr>
                <w:sz w:val="20"/>
                <w:szCs w:val="20"/>
                <w:color w:val="auto"/>
              </w:rPr>
            </w:pPr>
            <w:r>
              <w:rPr>
                <w:rFonts w:ascii="Arial" w:cs="Arial" w:eastAsia="Arial" w:hAnsi="Arial"/>
                <w:sz w:val="10"/>
                <w:szCs w:val="10"/>
                <w:b w:val="1"/>
                <w:bCs w:val="1"/>
                <w:color w:val="auto"/>
              </w:rPr>
              <w:t>Fourth</w:t>
            </w:r>
          </w:p>
        </w:tc>
        <w:tc>
          <w:tcPr>
            <w:tcW w:w="20" w:type="dxa"/>
            <w:vAlign w:val="bottom"/>
          </w:tcPr>
          <w:p>
            <w:pPr>
              <w:spacing w:after="0"/>
              <w:rPr>
                <w:sz w:val="14"/>
                <w:szCs w:val="14"/>
                <w:color w:val="auto"/>
              </w:rPr>
            </w:pPr>
          </w:p>
        </w:tc>
      </w:tr>
      <w:tr>
        <w:trPr>
          <w:trHeight w:val="152"/>
        </w:trPr>
        <w:tc>
          <w:tcPr>
            <w:tcW w:w="514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16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rPr>
              <w:t>Quarter</w:t>
            </w:r>
          </w:p>
        </w:tc>
        <w:tc>
          <w:tcPr>
            <w:tcW w:w="46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right"/>
              <w:ind w:right="423"/>
              <w:spacing w:after="0"/>
              <w:rPr>
                <w:sz w:val="20"/>
                <w:szCs w:val="20"/>
                <w:color w:val="auto"/>
              </w:rPr>
            </w:pPr>
            <w:r>
              <w:rPr>
                <w:rFonts w:ascii="Arial" w:cs="Arial" w:eastAsia="Arial" w:hAnsi="Arial"/>
                <w:sz w:val="10"/>
                <w:szCs w:val="10"/>
                <w:b w:val="1"/>
                <w:bCs w:val="1"/>
                <w:color w:val="auto"/>
              </w:rPr>
              <w:t>Quarter</w:t>
            </w:r>
          </w:p>
        </w:tc>
        <w:tc>
          <w:tcPr>
            <w:tcW w:w="4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443"/>
              <w:spacing w:after="0"/>
              <w:rPr>
                <w:sz w:val="20"/>
                <w:szCs w:val="20"/>
                <w:color w:val="auto"/>
              </w:rPr>
            </w:pPr>
            <w:r>
              <w:rPr>
                <w:rFonts w:ascii="Arial" w:cs="Arial" w:eastAsia="Arial" w:hAnsi="Arial"/>
                <w:sz w:val="10"/>
                <w:szCs w:val="10"/>
                <w:b w:val="1"/>
                <w:bCs w:val="1"/>
                <w:color w:val="auto"/>
              </w:rPr>
              <w:t>Quarter</w:t>
            </w:r>
          </w:p>
        </w:tc>
        <w:tc>
          <w:tcPr>
            <w:tcW w:w="26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443"/>
              <w:spacing w:after="0"/>
              <w:rPr>
                <w:sz w:val="20"/>
                <w:szCs w:val="20"/>
                <w:color w:val="auto"/>
              </w:rPr>
            </w:pPr>
            <w:r>
              <w:rPr>
                <w:rFonts w:ascii="Arial" w:cs="Arial" w:eastAsia="Arial" w:hAnsi="Arial"/>
                <w:sz w:val="10"/>
                <w:szCs w:val="10"/>
                <w:b w:val="1"/>
                <w:bCs w:val="1"/>
                <w:color w:val="auto"/>
              </w:rPr>
              <w:t>Quarter</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5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Total revenues</w:t>
            </w:r>
          </w:p>
        </w:tc>
        <w:tc>
          <w:tcPr>
            <w:tcW w:w="860" w:type="dxa"/>
            <w:vAlign w:val="bottom"/>
            <w:shd w:val="clear" w:color="auto" w:fill="CFF0FC"/>
          </w:tcPr>
          <w:p>
            <w:pPr>
              <w:jc w:val="right"/>
              <w:ind w:right="749"/>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6"/>
              </w:rPr>
              <w:t>246,915</w:t>
            </w:r>
          </w:p>
        </w:tc>
        <w:tc>
          <w:tcPr>
            <w:tcW w:w="260" w:type="dxa"/>
            <w:vAlign w:val="bottom"/>
            <w:shd w:val="clear" w:color="auto" w:fill="CFF0FC"/>
          </w:tcPr>
          <w:p>
            <w:pPr>
              <w:spacing w:after="0"/>
              <w:rPr>
                <w:sz w:val="12"/>
                <w:szCs w:val="12"/>
                <w:color w:val="auto"/>
              </w:rPr>
            </w:pP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247,329</w:t>
            </w:r>
          </w:p>
        </w:tc>
        <w:tc>
          <w:tcPr>
            <w:tcW w:w="4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252,636</w:t>
            </w:r>
          </w:p>
        </w:tc>
        <w:tc>
          <w:tcPr>
            <w:tcW w:w="52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270,754</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Income (loss) before income taxes</w:t>
            </w:r>
          </w:p>
        </w:tc>
        <w:tc>
          <w:tcPr>
            <w:tcW w:w="860" w:type="dxa"/>
            <w:vAlign w:val="bottom"/>
          </w:tcPr>
          <w:p>
            <w:pPr>
              <w:spacing w:after="0"/>
              <w:rPr>
                <w:sz w:val="13"/>
                <w:szCs w:val="13"/>
                <w:color w:val="auto"/>
              </w:rPr>
            </w:pPr>
          </w:p>
        </w:tc>
        <w:tc>
          <w:tcPr>
            <w:tcW w:w="460" w:type="dxa"/>
            <w:vAlign w:val="bottom"/>
          </w:tcPr>
          <w:p>
            <w:pPr>
              <w:jc w:val="right"/>
              <w:spacing w:after="0"/>
              <w:rPr>
                <w:sz w:val="20"/>
                <w:szCs w:val="20"/>
                <w:color w:val="auto"/>
              </w:rPr>
            </w:pPr>
            <w:r>
              <w:rPr>
                <w:rFonts w:ascii="Arial" w:cs="Arial" w:eastAsia="Arial" w:hAnsi="Arial"/>
                <w:sz w:val="12"/>
                <w:szCs w:val="12"/>
                <w:color w:val="auto"/>
              </w:rPr>
              <w:t>135</w:t>
            </w: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(6,239)</w:t>
            </w: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2,758</w:t>
            </w: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14,470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Net income (loss)</w:t>
            </w:r>
          </w:p>
        </w:tc>
        <w:tc>
          <w:tcPr>
            <w:tcW w:w="860" w:type="dxa"/>
            <w:vAlign w:val="bottom"/>
            <w:shd w:val="clear" w:color="auto" w:fill="CFF0FC"/>
          </w:tcPr>
          <w:p>
            <w:pPr>
              <w:spacing w:after="0"/>
              <w:rPr>
                <w:sz w:val="13"/>
                <w:szCs w:val="13"/>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1,231</w:t>
            </w:r>
          </w:p>
        </w:tc>
        <w:tc>
          <w:tcPr>
            <w:tcW w:w="2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(3,593)</w:t>
            </w:r>
          </w:p>
        </w:tc>
        <w:tc>
          <w:tcPr>
            <w:tcW w:w="2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4,224</w:t>
            </w:r>
          </w:p>
        </w:tc>
        <w:tc>
          <w:tcPr>
            <w:tcW w:w="2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14,683</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Net (loss) income attributable to common shareholders</w:t>
            </w:r>
          </w:p>
        </w:tc>
        <w:tc>
          <w:tcPr>
            <w:tcW w:w="860" w:type="dxa"/>
            <w:vAlign w:val="bottom"/>
          </w:tcPr>
          <w:p>
            <w:pPr>
              <w:spacing w:after="0"/>
              <w:rPr>
                <w:sz w:val="13"/>
                <w:szCs w:val="13"/>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2"/>
                <w:szCs w:val="12"/>
                <w:color w:val="auto"/>
              </w:rPr>
              <w:t>(870)</w:t>
            </w:r>
          </w:p>
        </w:tc>
        <w:tc>
          <w:tcPr>
            <w:tcW w:w="260" w:type="dxa"/>
            <w:vAlign w:val="bottom"/>
          </w:tcPr>
          <w:p>
            <w:pPr>
              <w:spacing w:after="0"/>
              <w:rPr>
                <w:sz w:val="13"/>
                <w:szCs w:val="13"/>
                <w:color w:val="auto"/>
              </w:rPr>
            </w:pP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(5,562)</w:t>
            </w: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2,075</w:t>
            </w: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12,346</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1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0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Basic (loss) earnings per common share</w:t>
            </w:r>
          </w:p>
        </w:tc>
        <w:tc>
          <w:tcPr>
            <w:tcW w:w="860" w:type="dxa"/>
            <w:vAlign w:val="bottom"/>
          </w:tcPr>
          <w:p>
            <w:pPr>
              <w:jc w:val="right"/>
              <w:ind w:right="749"/>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ind w:right="220"/>
              <w:spacing w:after="0"/>
              <w:rPr>
                <w:sz w:val="20"/>
                <w:szCs w:val="20"/>
                <w:color w:val="auto"/>
              </w:rPr>
            </w:pPr>
            <w:r>
              <w:rPr>
                <w:rFonts w:ascii="Arial" w:cs="Arial" w:eastAsia="Arial" w:hAnsi="Arial"/>
                <w:sz w:val="12"/>
                <w:szCs w:val="12"/>
                <w:color w:val="auto"/>
              </w:rPr>
              <w:t>(0.00)</w:t>
            </w: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(0.03)</w:t>
            </w:r>
          </w:p>
        </w:tc>
        <w:tc>
          <w:tcPr>
            <w:tcW w:w="50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0.01</w:t>
            </w:r>
          </w:p>
        </w:tc>
        <w:tc>
          <w:tcPr>
            <w:tcW w:w="5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0.07</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Diluted (loss) earnings per common share</w:t>
            </w:r>
          </w:p>
        </w:tc>
        <w:tc>
          <w:tcPr>
            <w:tcW w:w="860" w:type="dxa"/>
            <w:vAlign w:val="bottom"/>
            <w:shd w:val="clear" w:color="auto" w:fill="CFF0FC"/>
          </w:tcPr>
          <w:p>
            <w:pPr>
              <w:jc w:val="right"/>
              <w:ind w:right="749"/>
              <w:spacing w:after="0"/>
              <w:rPr>
                <w:sz w:val="20"/>
                <w:szCs w:val="20"/>
                <w:color w:val="auto"/>
              </w:rPr>
            </w:pPr>
            <w:r>
              <w:rPr>
                <w:rFonts w:ascii="Arial" w:cs="Arial" w:eastAsia="Arial" w:hAnsi="Arial"/>
                <w:sz w:val="10"/>
                <w:szCs w:val="10"/>
                <w:color w:val="auto"/>
                <w:w w:val="71"/>
              </w:rPr>
              <w:t>$</w:t>
            </w:r>
          </w:p>
        </w:tc>
        <w:tc>
          <w:tcPr>
            <w:tcW w:w="72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(0.01)</w:t>
            </w: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(0.03)</w:t>
            </w:r>
          </w:p>
        </w:tc>
        <w:tc>
          <w:tcPr>
            <w:tcW w:w="5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0.01</w:t>
            </w:r>
          </w:p>
        </w:tc>
        <w:tc>
          <w:tcPr>
            <w:tcW w:w="52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0.05</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Dividends declared per common share</w:t>
            </w:r>
          </w:p>
        </w:tc>
        <w:tc>
          <w:tcPr>
            <w:tcW w:w="860" w:type="dxa"/>
            <w:vAlign w:val="bottom"/>
          </w:tcPr>
          <w:p>
            <w:pPr>
              <w:jc w:val="right"/>
              <w:ind w:right="749"/>
              <w:spacing w:after="0"/>
              <w:rPr>
                <w:sz w:val="20"/>
                <w:szCs w:val="20"/>
                <w:color w:val="auto"/>
              </w:rPr>
            </w:pPr>
            <w:r>
              <w:rPr>
                <w:rFonts w:ascii="Arial" w:cs="Arial" w:eastAsia="Arial" w:hAnsi="Arial"/>
                <w:sz w:val="10"/>
                <w:szCs w:val="10"/>
                <w:color w:val="auto"/>
                <w:w w:val="71"/>
              </w:rPr>
              <w:t>$</w:t>
            </w:r>
          </w:p>
        </w:tc>
        <w:tc>
          <w:tcPr>
            <w:tcW w:w="460" w:type="dxa"/>
            <w:vAlign w:val="bottom"/>
          </w:tcPr>
          <w:p>
            <w:pPr>
              <w:jc w:val="right"/>
              <w:spacing w:after="0"/>
              <w:rPr>
                <w:sz w:val="20"/>
                <w:szCs w:val="20"/>
                <w:color w:val="auto"/>
              </w:rPr>
            </w:pPr>
            <w:r>
              <w:rPr>
                <w:rFonts w:ascii="Arial" w:cs="Arial" w:eastAsia="Arial" w:hAnsi="Arial"/>
                <w:sz w:val="12"/>
                <w:szCs w:val="12"/>
                <w:color w:val="auto"/>
              </w:rPr>
              <w:t>0.60</w:t>
            </w:r>
          </w:p>
        </w:tc>
        <w:tc>
          <w:tcPr>
            <w:tcW w:w="260" w:type="dxa"/>
            <w:vAlign w:val="bottom"/>
          </w:tcPr>
          <w:p>
            <w:pPr>
              <w:spacing w:after="0"/>
              <w:rPr>
                <w:sz w:val="13"/>
                <w:szCs w:val="13"/>
                <w:color w:val="auto"/>
              </w:rPr>
            </w:pP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040" w:type="dxa"/>
            <w:vAlign w:val="bottom"/>
          </w:tcPr>
          <w:p>
            <w:pPr>
              <w:jc w:val="right"/>
              <w:spacing w:after="0"/>
              <w:rPr>
                <w:sz w:val="20"/>
                <w:szCs w:val="20"/>
                <w:color w:val="auto"/>
              </w:rPr>
            </w:pPr>
            <w:r>
              <w:rPr>
                <w:rFonts w:ascii="Arial" w:cs="Arial" w:eastAsia="Arial" w:hAnsi="Arial"/>
                <w:sz w:val="12"/>
                <w:szCs w:val="12"/>
                <w:color w:val="auto"/>
              </w:rPr>
              <w:t>0.60</w:t>
            </w:r>
          </w:p>
        </w:tc>
        <w:tc>
          <w:tcPr>
            <w:tcW w:w="40" w:type="dxa"/>
            <w:vAlign w:val="bottom"/>
          </w:tcPr>
          <w:p>
            <w:pPr>
              <w:spacing w:after="0"/>
              <w:rPr>
                <w:sz w:val="13"/>
                <w:szCs w:val="13"/>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0.60</w:t>
            </w:r>
          </w:p>
        </w:tc>
        <w:tc>
          <w:tcPr>
            <w:tcW w:w="5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0.60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288"/>
        </w:trPr>
        <w:tc>
          <w:tcPr>
            <w:tcW w:w="5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jc w:val="right"/>
              <w:ind w:right="289"/>
              <w:spacing w:after="0"/>
              <w:rPr>
                <w:sz w:val="20"/>
                <w:szCs w:val="20"/>
                <w:color w:val="auto"/>
              </w:rPr>
            </w:pPr>
            <w:r>
              <w:rPr>
                <w:rFonts w:ascii="Arial" w:cs="Arial" w:eastAsia="Arial" w:hAnsi="Arial"/>
                <w:sz w:val="12"/>
                <w:szCs w:val="12"/>
                <w:color w:val="auto"/>
              </w:rPr>
              <w:t>104</w:t>
            </w: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514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4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104" w:name="page105"/>
    <w:bookmarkEnd w:id="104"/>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294" w:lineRule="exact"/>
        <w:rPr>
          <w:sz w:val="20"/>
          <w:szCs w:val="20"/>
          <w:color w:val="auto"/>
        </w:rPr>
      </w:pPr>
    </w:p>
    <w:p>
      <w:pPr>
        <w:spacing w:after="0"/>
        <w:rPr>
          <w:sz w:val="20"/>
          <w:szCs w:val="20"/>
          <w:color w:val="auto"/>
        </w:rPr>
      </w:pPr>
      <w:r>
        <w:rPr>
          <w:rFonts w:ascii="Arial" w:cs="Arial" w:eastAsia="Arial" w:hAnsi="Arial"/>
          <w:sz w:val="12"/>
          <w:szCs w:val="12"/>
          <w:color w:val="auto"/>
        </w:rPr>
        <w:t>Selected quarterly information for each of the four quarters in the year ended December 31, 2017:</w:t>
      </w: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80"/>
              </w:rPr>
              <w:t>2017</w:t>
            </w:r>
          </w:p>
        </w:tc>
        <w:tc>
          <w:tcPr>
            <w:tcW w:w="28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70"/>
        </w:trPr>
        <w:tc>
          <w:tcPr>
            <w:tcW w:w="5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jc w:val="right"/>
              <w:ind w:right="69"/>
              <w:spacing w:after="0"/>
              <w:rPr>
                <w:sz w:val="20"/>
                <w:szCs w:val="20"/>
                <w:color w:val="auto"/>
              </w:rPr>
            </w:pPr>
            <w:r>
              <w:rPr>
                <w:rFonts w:ascii="Arial" w:cs="Arial" w:eastAsia="Arial" w:hAnsi="Arial"/>
                <w:sz w:val="10"/>
                <w:szCs w:val="10"/>
                <w:b w:val="1"/>
                <w:bCs w:val="1"/>
                <w:color w:val="auto"/>
              </w:rPr>
              <w:t>First</w:t>
            </w: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0"/>
                <w:szCs w:val="10"/>
                <w:b w:val="1"/>
                <w:bCs w:val="1"/>
                <w:color w:val="auto"/>
              </w:rPr>
              <w:t>Second</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2"/>
          </w:tcPr>
          <w:p>
            <w:pPr>
              <w:jc w:val="right"/>
              <w:ind w:right="700"/>
              <w:spacing w:after="0"/>
              <w:rPr>
                <w:sz w:val="20"/>
                <w:szCs w:val="20"/>
                <w:color w:val="auto"/>
              </w:rPr>
            </w:pPr>
            <w:r>
              <w:rPr>
                <w:rFonts w:ascii="Arial" w:cs="Arial" w:eastAsia="Arial" w:hAnsi="Arial"/>
                <w:sz w:val="10"/>
                <w:szCs w:val="10"/>
                <w:b w:val="1"/>
                <w:bCs w:val="1"/>
                <w:color w:val="auto"/>
              </w:rPr>
              <w:t>Third</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0"/>
                <w:szCs w:val="10"/>
                <w:b w:val="1"/>
                <w:bCs w:val="1"/>
                <w:color w:val="auto"/>
              </w:rPr>
              <w:t>Fourth</w:t>
            </w:r>
          </w:p>
        </w:tc>
        <w:tc>
          <w:tcPr>
            <w:tcW w:w="20" w:type="dxa"/>
            <w:vAlign w:val="bottom"/>
          </w:tcPr>
          <w:p>
            <w:pPr>
              <w:spacing w:after="0"/>
              <w:rPr>
                <w:sz w:val="14"/>
                <w:szCs w:val="14"/>
                <w:color w:val="auto"/>
              </w:rPr>
            </w:pPr>
          </w:p>
        </w:tc>
      </w:tr>
      <w:tr>
        <w:trPr>
          <w:trHeight w:val="152"/>
        </w:trPr>
        <w:tc>
          <w:tcPr>
            <w:tcW w:w="5140" w:type="dxa"/>
            <w:vAlign w:val="bottom"/>
            <w:tcBorders>
              <w:bottom w:val="single" w:sz="8" w:color="auto"/>
            </w:tcBorders>
          </w:tcPr>
          <w:p>
            <w:pPr>
              <w:spacing w:after="0"/>
              <w:rPr>
                <w:sz w:val="20"/>
                <w:szCs w:val="20"/>
                <w:color w:val="auto"/>
              </w:rPr>
            </w:pPr>
            <w:r>
              <w:rPr>
                <w:rFonts w:ascii="Arial" w:cs="Arial" w:eastAsia="Arial" w:hAnsi="Arial"/>
                <w:sz w:val="10"/>
                <w:szCs w:val="10"/>
                <w:color w:val="auto"/>
              </w:rPr>
              <w:t>(Thousands, except per share data)</w:t>
            </w:r>
          </w:p>
        </w:tc>
        <w:tc>
          <w:tcPr>
            <w:tcW w:w="16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rPr>
              <w:t>Quarter</w:t>
            </w:r>
          </w:p>
        </w:tc>
        <w:tc>
          <w:tcPr>
            <w:tcW w:w="46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right"/>
              <w:ind w:right="423"/>
              <w:spacing w:after="0"/>
              <w:rPr>
                <w:sz w:val="20"/>
                <w:szCs w:val="20"/>
                <w:color w:val="auto"/>
              </w:rPr>
            </w:pPr>
            <w:r>
              <w:rPr>
                <w:rFonts w:ascii="Arial" w:cs="Arial" w:eastAsia="Arial" w:hAnsi="Arial"/>
                <w:sz w:val="10"/>
                <w:szCs w:val="10"/>
                <w:b w:val="1"/>
                <w:bCs w:val="1"/>
                <w:color w:val="auto"/>
              </w:rPr>
              <w:t>Quarter</w:t>
            </w:r>
          </w:p>
        </w:tc>
        <w:tc>
          <w:tcPr>
            <w:tcW w:w="40" w:type="dxa"/>
            <w:vAlign w:val="bottom"/>
            <w:tcBorders>
              <w:bottom w:val="single" w:sz="8" w:color="CFF0FC"/>
            </w:tcBorders>
          </w:tcPr>
          <w:p>
            <w:pPr>
              <w:spacing w:after="0"/>
              <w:rPr>
                <w:sz w:val="13"/>
                <w:szCs w:val="13"/>
                <w:color w:val="auto"/>
              </w:rPr>
            </w:pPr>
          </w:p>
        </w:tc>
        <w:tc>
          <w:tcPr>
            <w:tcW w:w="22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443"/>
              <w:spacing w:after="0"/>
              <w:rPr>
                <w:sz w:val="20"/>
                <w:szCs w:val="20"/>
                <w:color w:val="auto"/>
              </w:rPr>
            </w:pPr>
            <w:r>
              <w:rPr>
                <w:rFonts w:ascii="Arial" w:cs="Arial" w:eastAsia="Arial" w:hAnsi="Arial"/>
                <w:sz w:val="10"/>
                <w:szCs w:val="10"/>
                <w:b w:val="1"/>
                <w:bCs w:val="1"/>
                <w:color w:val="auto"/>
              </w:rPr>
              <w:t>Quarter</w:t>
            </w:r>
          </w:p>
        </w:tc>
        <w:tc>
          <w:tcPr>
            <w:tcW w:w="14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443"/>
              <w:spacing w:after="0"/>
              <w:rPr>
                <w:sz w:val="20"/>
                <w:szCs w:val="20"/>
                <w:color w:val="auto"/>
              </w:rPr>
            </w:pPr>
            <w:r>
              <w:rPr>
                <w:rFonts w:ascii="Arial" w:cs="Arial" w:eastAsia="Arial" w:hAnsi="Arial"/>
                <w:sz w:val="10"/>
                <w:szCs w:val="10"/>
                <w:b w:val="1"/>
                <w:bCs w:val="1"/>
                <w:color w:val="auto"/>
              </w:rPr>
              <w:t>Quarter</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5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Total revenues</w:t>
            </w:r>
          </w:p>
        </w:tc>
        <w:tc>
          <w:tcPr>
            <w:tcW w:w="860" w:type="dxa"/>
            <w:vAlign w:val="bottom"/>
            <w:shd w:val="clear" w:color="auto" w:fill="CFF0FC"/>
          </w:tcPr>
          <w:p>
            <w:pPr>
              <w:jc w:val="right"/>
              <w:ind w:right="749"/>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6"/>
              </w:rPr>
              <w:t>211,473</w:t>
            </w:r>
          </w:p>
        </w:tc>
        <w:tc>
          <w:tcPr>
            <w:tcW w:w="260" w:type="dxa"/>
            <w:vAlign w:val="bottom"/>
            <w:shd w:val="clear" w:color="auto" w:fill="CFF0FC"/>
          </w:tcPr>
          <w:p>
            <w:pPr>
              <w:spacing w:after="0"/>
              <w:rPr>
                <w:sz w:val="12"/>
                <w:szCs w:val="12"/>
                <w:color w:val="auto"/>
              </w:rPr>
            </w:pP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213,013</w:t>
            </w:r>
          </w:p>
        </w:tc>
        <w:tc>
          <w:tcPr>
            <w:tcW w:w="4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245,210</w:t>
            </w:r>
          </w:p>
        </w:tc>
        <w:tc>
          <w:tcPr>
            <w:tcW w:w="14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246,336</w:t>
            </w:r>
          </w:p>
        </w:tc>
        <w:tc>
          <w:tcPr>
            <w:tcW w:w="120" w:type="dxa"/>
            <w:vAlign w:val="bottom"/>
            <w:shd w:val="clear" w:color="auto" w:fill="CFF0FC"/>
          </w:tcPr>
          <w:p>
            <w:pPr>
              <w:spacing w:after="0"/>
              <w:rPr>
                <w:sz w:val="12"/>
                <w:szCs w:val="12"/>
                <w:color w:val="auto"/>
              </w:rPr>
            </w:pPr>
          </w:p>
        </w:tc>
        <w:tc>
          <w:tcPr>
            <w:tcW w:w="20" w:type="dxa"/>
            <w:vAlign w:val="bottom"/>
          </w:tcPr>
          <w:p>
            <w:pPr>
              <w:spacing w:after="0"/>
              <w:rPr>
                <w:sz w:val="12"/>
                <w:szCs w:val="12"/>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Loss before income taxes</w:t>
            </w:r>
          </w:p>
        </w:tc>
        <w:tc>
          <w:tcPr>
            <w:tcW w:w="860" w:type="dxa"/>
            <w:vAlign w:val="bottom"/>
          </w:tcPr>
          <w:p>
            <w:pPr>
              <w:spacing w:after="0"/>
              <w:rPr>
                <w:sz w:val="13"/>
                <w:szCs w:val="13"/>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2"/>
                <w:szCs w:val="12"/>
                <w:color w:val="auto"/>
              </w:rPr>
              <w:t>(20,379)</w:t>
            </w:r>
          </w:p>
        </w:tc>
        <w:tc>
          <w:tcPr>
            <w:tcW w:w="260" w:type="dxa"/>
            <w:vAlign w:val="bottom"/>
          </w:tcPr>
          <w:p>
            <w:pPr>
              <w:spacing w:after="0"/>
              <w:rPr>
                <w:sz w:val="13"/>
                <w:szCs w:val="13"/>
                <w:color w:val="auto"/>
              </w:rPr>
            </w:pP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(16,385)</w:t>
            </w: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2"/>
                <w:szCs w:val="12"/>
                <w:color w:val="auto"/>
              </w:rPr>
              <w:t>(3,837)</w:t>
            </w: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2"/>
                <w:szCs w:val="12"/>
                <w:color w:val="auto"/>
              </w:rPr>
              <w:t>(7,076)</w:t>
            </w:r>
          </w:p>
        </w:tc>
        <w:tc>
          <w:tcPr>
            <w:tcW w:w="20" w:type="dxa"/>
            <w:vAlign w:val="bottom"/>
          </w:tcPr>
          <w:p>
            <w:pPr>
              <w:spacing w:after="0"/>
              <w:rPr>
                <w:sz w:val="13"/>
                <w:szCs w:val="13"/>
                <w:color w:val="auto"/>
              </w:rPr>
            </w:pPr>
          </w:p>
        </w:tc>
      </w:tr>
      <w:tr>
        <w:trPr>
          <w:trHeight w:val="153"/>
        </w:trPr>
        <w:tc>
          <w:tcPr>
            <w:tcW w:w="5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Net (loss) income</w:t>
            </w:r>
          </w:p>
        </w:tc>
        <w:tc>
          <w:tcPr>
            <w:tcW w:w="860" w:type="dxa"/>
            <w:vAlign w:val="bottom"/>
            <w:shd w:val="clear" w:color="auto" w:fill="CFF0FC"/>
          </w:tcPr>
          <w:p>
            <w:pPr>
              <w:spacing w:after="0"/>
              <w:rPr>
                <w:sz w:val="13"/>
                <w:szCs w:val="13"/>
                <w:color w:val="auto"/>
              </w:rPr>
            </w:pPr>
          </w:p>
        </w:tc>
        <w:tc>
          <w:tcPr>
            <w:tcW w:w="72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(20,000)</w:t>
            </w:r>
          </w:p>
        </w:tc>
        <w:tc>
          <w:tcPr>
            <w:tcW w:w="26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(16,460)</w:t>
            </w:r>
          </w:p>
        </w:tc>
        <w:tc>
          <w:tcPr>
            <w:tcW w:w="2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4,835</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22,797</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Net (loss) income attributable to common shareholders</w:t>
            </w:r>
          </w:p>
        </w:tc>
        <w:tc>
          <w:tcPr>
            <w:tcW w:w="860" w:type="dxa"/>
            <w:vAlign w:val="bottom"/>
          </w:tcPr>
          <w:p>
            <w:pPr>
              <w:spacing w:after="0"/>
              <w:rPr>
                <w:sz w:val="13"/>
                <w:szCs w:val="13"/>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2"/>
                <w:szCs w:val="12"/>
                <w:color w:val="auto"/>
              </w:rPr>
              <w:t>(21,788)</w:t>
            </w:r>
          </w:p>
        </w:tc>
        <w:tc>
          <w:tcPr>
            <w:tcW w:w="260" w:type="dxa"/>
            <w:vAlign w:val="bottom"/>
          </w:tcPr>
          <w:p>
            <w:pPr>
              <w:spacing w:after="0"/>
              <w:rPr>
                <w:sz w:val="13"/>
                <w:szCs w:val="13"/>
                <w:color w:val="auto"/>
              </w:rPr>
            </w:pP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(18,242)</w:t>
            </w: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2,939</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2"/>
                <w:szCs w:val="12"/>
                <w:color w:val="auto"/>
              </w:rPr>
              <w:t>20,539</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1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860" w:type="dxa"/>
            <w:vAlign w:val="bottom"/>
            <w:shd w:val="clear" w:color="auto" w:fill="CFF0FC"/>
          </w:tcPr>
          <w:p>
            <w:pPr>
              <w:spacing w:after="0"/>
              <w:rPr>
                <w:sz w:val="13"/>
                <w:szCs w:val="13"/>
                <w:color w:val="auto"/>
              </w:rPr>
            </w:pPr>
          </w:p>
        </w:tc>
        <w:tc>
          <w:tcPr>
            <w:tcW w:w="4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4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106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10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Basic (loss) earnings per common share</w:t>
            </w:r>
          </w:p>
        </w:tc>
        <w:tc>
          <w:tcPr>
            <w:tcW w:w="860" w:type="dxa"/>
            <w:vAlign w:val="bottom"/>
          </w:tcPr>
          <w:p>
            <w:pPr>
              <w:jc w:val="right"/>
              <w:ind w:right="749"/>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ind w:right="220"/>
              <w:spacing w:after="0"/>
              <w:rPr>
                <w:sz w:val="20"/>
                <w:szCs w:val="20"/>
                <w:color w:val="auto"/>
              </w:rPr>
            </w:pPr>
            <w:r>
              <w:rPr>
                <w:rFonts w:ascii="Arial" w:cs="Arial" w:eastAsia="Arial" w:hAnsi="Arial"/>
                <w:sz w:val="12"/>
                <w:szCs w:val="12"/>
                <w:color w:val="auto"/>
              </w:rPr>
              <w:t>(0.14)</w:t>
            </w: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(0.11)</w:t>
            </w:r>
          </w:p>
        </w:tc>
        <w:tc>
          <w:tcPr>
            <w:tcW w:w="50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0.02</w:t>
            </w:r>
          </w:p>
        </w:tc>
        <w:tc>
          <w:tcPr>
            <w:tcW w:w="140" w:type="dxa"/>
            <w:vAlign w:val="bottom"/>
          </w:tcPr>
          <w:p>
            <w:pPr>
              <w:spacing w:after="0"/>
              <w:rPr>
                <w:sz w:val="13"/>
                <w:szCs w:val="13"/>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0.12</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Diluted (loss) earnings per common share</w:t>
            </w:r>
          </w:p>
        </w:tc>
        <w:tc>
          <w:tcPr>
            <w:tcW w:w="860" w:type="dxa"/>
            <w:vAlign w:val="bottom"/>
            <w:shd w:val="clear" w:color="auto" w:fill="CFF0FC"/>
          </w:tcPr>
          <w:p>
            <w:pPr>
              <w:jc w:val="right"/>
              <w:ind w:right="749"/>
              <w:spacing w:after="0"/>
              <w:rPr>
                <w:sz w:val="20"/>
                <w:szCs w:val="20"/>
                <w:color w:val="auto"/>
              </w:rPr>
            </w:pPr>
            <w:r>
              <w:rPr>
                <w:rFonts w:ascii="Arial" w:cs="Arial" w:eastAsia="Arial" w:hAnsi="Arial"/>
                <w:sz w:val="10"/>
                <w:szCs w:val="10"/>
                <w:color w:val="auto"/>
                <w:w w:val="71"/>
              </w:rPr>
              <w:t>$</w:t>
            </w:r>
          </w:p>
        </w:tc>
        <w:tc>
          <w:tcPr>
            <w:tcW w:w="72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(0.14)</w:t>
            </w:r>
          </w:p>
        </w:tc>
        <w:tc>
          <w:tcPr>
            <w:tcW w:w="260" w:type="dxa"/>
            <w:vAlign w:val="bottom"/>
            <w:shd w:val="clear" w:color="auto" w:fill="CFF0FC"/>
          </w:tcPr>
          <w:p>
            <w:pPr>
              <w:jc w:val="right"/>
              <w:ind w:right="150"/>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(0.11)</w:t>
            </w:r>
          </w:p>
        </w:tc>
        <w:tc>
          <w:tcPr>
            <w:tcW w:w="5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120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(0.02)</w:t>
            </w: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0.12</w:t>
            </w: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53"/>
        </w:trPr>
        <w:tc>
          <w:tcPr>
            <w:tcW w:w="5300" w:type="dxa"/>
            <w:vAlign w:val="bottom"/>
            <w:gridSpan w:val="2"/>
          </w:tcPr>
          <w:p>
            <w:pPr>
              <w:spacing w:after="0"/>
              <w:rPr>
                <w:sz w:val="20"/>
                <w:szCs w:val="20"/>
                <w:color w:val="auto"/>
              </w:rPr>
            </w:pPr>
            <w:r>
              <w:rPr>
                <w:rFonts w:ascii="Arial" w:cs="Arial" w:eastAsia="Arial" w:hAnsi="Arial"/>
                <w:sz w:val="12"/>
                <w:szCs w:val="12"/>
                <w:color w:val="auto"/>
              </w:rPr>
              <w:t>Dividends declared per common share</w:t>
            </w:r>
          </w:p>
        </w:tc>
        <w:tc>
          <w:tcPr>
            <w:tcW w:w="860" w:type="dxa"/>
            <w:vAlign w:val="bottom"/>
          </w:tcPr>
          <w:p>
            <w:pPr>
              <w:jc w:val="right"/>
              <w:ind w:right="749"/>
              <w:spacing w:after="0"/>
              <w:rPr>
                <w:sz w:val="20"/>
                <w:szCs w:val="20"/>
                <w:color w:val="auto"/>
              </w:rPr>
            </w:pPr>
            <w:r>
              <w:rPr>
                <w:rFonts w:ascii="Arial" w:cs="Arial" w:eastAsia="Arial" w:hAnsi="Arial"/>
                <w:sz w:val="10"/>
                <w:szCs w:val="10"/>
                <w:color w:val="auto"/>
                <w:w w:val="71"/>
              </w:rPr>
              <w:t>$</w:t>
            </w:r>
          </w:p>
        </w:tc>
        <w:tc>
          <w:tcPr>
            <w:tcW w:w="460" w:type="dxa"/>
            <w:vAlign w:val="bottom"/>
          </w:tcPr>
          <w:p>
            <w:pPr>
              <w:jc w:val="right"/>
              <w:spacing w:after="0"/>
              <w:rPr>
                <w:sz w:val="20"/>
                <w:szCs w:val="20"/>
                <w:color w:val="auto"/>
              </w:rPr>
            </w:pPr>
            <w:r>
              <w:rPr>
                <w:rFonts w:ascii="Arial" w:cs="Arial" w:eastAsia="Arial" w:hAnsi="Arial"/>
                <w:sz w:val="12"/>
                <w:szCs w:val="12"/>
                <w:color w:val="auto"/>
              </w:rPr>
              <w:t>0.60</w:t>
            </w:r>
          </w:p>
        </w:tc>
        <w:tc>
          <w:tcPr>
            <w:tcW w:w="260" w:type="dxa"/>
            <w:vAlign w:val="bottom"/>
          </w:tcPr>
          <w:p>
            <w:pPr>
              <w:spacing w:after="0"/>
              <w:rPr>
                <w:sz w:val="13"/>
                <w:szCs w:val="13"/>
                <w:color w:val="auto"/>
              </w:rPr>
            </w:pP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1040" w:type="dxa"/>
            <w:vAlign w:val="bottom"/>
          </w:tcPr>
          <w:p>
            <w:pPr>
              <w:jc w:val="right"/>
              <w:spacing w:after="0"/>
              <w:rPr>
                <w:sz w:val="20"/>
                <w:szCs w:val="20"/>
                <w:color w:val="auto"/>
              </w:rPr>
            </w:pPr>
            <w:r>
              <w:rPr>
                <w:rFonts w:ascii="Arial" w:cs="Arial" w:eastAsia="Arial" w:hAnsi="Arial"/>
                <w:sz w:val="12"/>
                <w:szCs w:val="12"/>
                <w:color w:val="auto"/>
              </w:rPr>
              <w:t>0.60</w:t>
            </w:r>
          </w:p>
        </w:tc>
        <w:tc>
          <w:tcPr>
            <w:tcW w:w="40" w:type="dxa"/>
            <w:vAlign w:val="bottom"/>
          </w:tcPr>
          <w:p>
            <w:pPr>
              <w:spacing w:after="0"/>
              <w:rPr>
                <w:sz w:val="13"/>
                <w:szCs w:val="13"/>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0.60</w:t>
            </w:r>
          </w:p>
        </w:tc>
        <w:tc>
          <w:tcPr>
            <w:tcW w:w="140" w:type="dxa"/>
            <w:vAlign w:val="bottom"/>
          </w:tcPr>
          <w:p>
            <w:pPr>
              <w:spacing w:after="0"/>
              <w:rPr>
                <w:sz w:val="13"/>
                <w:szCs w:val="13"/>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60" w:type="dxa"/>
            <w:vAlign w:val="bottom"/>
          </w:tcPr>
          <w:p>
            <w:pPr>
              <w:jc w:val="right"/>
              <w:spacing w:after="0"/>
              <w:rPr>
                <w:sz w:val="20"/>
                <w:szCs w:val="20"/>
                <w:color w:val="auto"/>
              </w:rPr>
            </w:pPr>
            <w:r>
              <w:rPr>
                <w:rFonts w:ascii="Arial" w:cs="Arial" w:eastAsia="Arial" w:hAnsi="Arial"/>
                <w:sz w:val="12"/>
                <w:szCs w:val="12"/>
                <w:color w:val="auto"/>
              </w:rPr>
              <w:t>0.60</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432"/>
        </w:trPr>
        <w:tc>
          <w:tcPr>
            <w:tcW w:w="5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jc w:val="right"/>
              <w:ind w:right="289"/>
              <w:spacing w:after="0"/>
              <w:rPr>
                <w:sz w:val="20"/>
                <w:szCs w:val="20"/>
                <w:color w:val="auto"/>
              </w:rPr>
            </w:pPr>
            <w:r>
              <w:rPr>
                <w:rFonts w:ascii="Arial" w:cs="Arial" w:eastAsia="Arial" w:hAnsi="Arial"/>
                <w:sz w:val="12"/>
                <w:szCs w:val="12"/>
                <w:color w:val="auto"/>
              </w:rPr>
              <w:t>105</w:t>
            </w: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514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4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105" w:name="page106"/>
    <w:bookmarkEnd w:id="105"/>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9. Changes in and Disagreements With Accountants on Accounting and Financial Disclosure.</w:t>
      </w:r>
    </w:p>
    <w:p>
      <w:pPr>
        <w:spacing w:after="0" w:line="82" w:lineRule="exact"/>
        <w:rPr>
          <w:sz w:val="20"/>
          <w:szCs w:val="20"/>
          <w:color w:val="auto"/>
        </w:rPr>
      </w:pPr>
    </w:p>
    <w:p>
      <w:pPr>
        <w:spacing w:after="0"/>
        <w:rPr>
          <w:sz w:val="20"/>
          <w:szCs w:val="20"/>
          <w:color w:val="auto"/>
        </w:rPr>
      </w:pPr>
      <w:r>
        <w:rPr>
          <w:rFonts w:ascii="Arial" w:cs="Arial" w:eastAsia="Arial" w:hAnsi="Arial"/>
          <w:sz w:val="12"/>
          <w:szCs w:val="12"/>
          <w:color w:val="auto"/>
        </w:rPr>
        <w:t>None</w:t>
      </w:r>
    </w:p>
    <w:p>
      <w:pPr>
        <w:spacing w:after="0" w:line="21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9A. Controls and Procedures.</w:t>
      </w:r>
    </w:p>
    <w:p>
      <w:pPr>
        <w:spacing w:after="0" w:line="82"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Evaluation of Disclosure Controls and Procedures</w:t>
      </w:r>
    </w:p>
    <w:p>
      <w:pPr>
        <w:spacing w:after="0" w:line="150" w:lineRule="exact"/>
        <w:rPr>
          <w:sz w:val="20"/>
          <w:szCs w:val="20"/>
          <w:color w:val="auto"/>
        </w:rPr>
      </w:pPr>
    </w:p>
    <w:p>
      <w:pPr>
        <w:ind w:right="140"/>
        <w:spacing w:after="0" w:line="259" w:lineRule="auto"/>
        <w:rPr>
          <w:sz w:val="20"/>
          <w:szCs w:val="20"/>
          <w:color w:val="auto"/>
        </w:rPr>
      </w:pPr>
      <w:r>
        <w:rPr>
          <w:rFonts w:ascii="Arial" w:cs="Arial" w:eastAsia="Arial" w:hAnsi="Arial"/>
          <w:sz w:val="12"/>
          <w:szCs w:val="12"/>
          <w:color w:val="auto"/>
        </w:rPr>
        <w:t>We have established disclosure controls and procedures, as such term is defined in Rule 13a-15(e) under the Exchange Act, that are designed to ensure that information required to be disclosed by us in the reports that we file or submit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management, including our principal executive and principal financial officers as appropriate, to allow timely decisions regarding required disclosure.</w:t>
      </w:r>
    </w:p>
    <w:p>
      <w:pPr>
        <w:spacing w:after="0" w:line="125" w:lineRule="exact"/>
        <w:rPr>
          <w:sz w:val="20"/>
          <w:szCs w:val="20"/>
          <w:color w:val="auto"/>
        </w:rPr>
      </w:pPr>
    </w:p>
    <w:p>
      <w:pPr>
        <w:ind w:right="500"/>
        <w:spacing w:after="0" w:line="276" w:lineRule="auto"/>
        <w:rPr>
          <w:sz w:val="20"/>
          <w:szCs w:val="20"/>
          <w:color w:val="auto"/>
        </w:rPr>
      </w:pPr>
      <w:r>
        <w:rPr>
          <w:rFonts w:ascii="Arial" w:cs="Arial" w:eastAsia="Arial" w:hAnsi="Arial"/>
          <w:sz w:val="12"/>
          <w:szCs w:val="12"/>
          <w:color w:val="auto"/>
        </w:rPr>
        <w:t>Our management, with the participation of our principal executive officer and principal financial officer, evaluated the effectiveness of our disclosure controls and procedures as of December 31, 2018. Based on this evaluation, our principal executive officer and principal financial officer concluded that our disclosure controls and procedures were effective as of December 31, 2018.</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Management’s Annual Report on Internal Control Over Financial Reporting</w:t>
      </w:r>
    </w:p>
    <w:p>
      <w:pPr>
        <w:spacing w:after="0" w:line="150" w:lineRule="exact"/>
        <w:rPr>
          <w:sz w:val="20"/>
          <w:szCs w:val="20"/>
          <w:color w:val="auto"/>
        </w:rPr>
      </w:pPr>
    </w:p>
    <w:p>
      <w:pPr>
        <w:ind w:right="360"/>
        <w:spacing w:after="0" w:line="263" w:lineRule="auto"/>
        <w:rPr>
          <w:sz w:val="20"/>
          <w:szCs w:val="20"/>
          <w:color w:val="auto"/>
        </w:rPr>
      </w:pPr>
      <w:r>
        <w:rPr>
          <w:rFonts w:ascii="Arial" w:cs="Arial" w:eastAsia="Arial" w:hAnsi="Arial"/>
          <w:sz w:val="12"/>
          <w:szCs w:val="12"/>
          <w:color w:val="auto"/>
        </w:rPr>
        <w:t>Management is responsible for establishing and maintaining adequate internal control over financial reporting, as defined in Rule 13a-15(f) of the Exchange Act. The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123" w:lineRule="exact"/>
        <w:rPr>
          <w:sz w:val="20"/>
          <w:szCs w:val="20"/>
          <w:color w:val="auto"/>
        </w:rPr>
      </w:pPr>
    </w:p>
    <w:p>
      <w:pPr>
        <w:ind w:left="880" w:hanging="447"/>
        <w:spacing w:after="0"/>
        <w:tabs>
          <w:tab w:leader="none" w:pos="880" w:val="left"/>
        </w:tabs>
        <w:numPr>
          <w:ilvl w:val="0"/>
          <w:numId w:val="16"/>
        </w:numPr>
        <w:rPr>
          <w:rFonts w:ascii="Arial" w:cs="Arial" w:eastAsia="Arial" w:hAnsi="Arial"/>
          <w:sz w:val="12"/>
          <w:szCs w:val="12"/>
          <w:color w:val="auto"/>
        </w:rPr>
      </w:pPr>
      <w:r>
        <w:rPr>
          <w:rFonts w:ascii="Arial" w:cs="Arial" w:eastAsia="Arial" w:hAnsi="Arial"/>
          <w:sz w:val="12"/>
          <w:szCs w:val="12"/>
          <w:color w:val="auto"/>
        </w:rPr>
        <w:t>Pertain to the maintenance of records that in reasonable detail accurately and fairly reflect the transactions and dispositions of the assets of the Company;</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0"/>
          <w:szCs w:val="10"/>
          <w:color w:val="auto"/>
        </w:rPr>
        <w:t>Provide reasonable assurance that transactions are recorded as necessary to permit preparation of financial statements in accordance with generally accepted accounting principles, and that receipts and expenditures of the Company are being</w:t>
      </w:r>
    </w:p>
    <w:p>
      <w:pPr>
        <w:spacing w:after="0" w:line="29" w:lineRule="exact"/>
        <w:rPr>
          <w:sz w:val="20"/>
          <w:szCs w:val="20"/>
          <w:color w:val="auto"/>
        </w:rPr>
      </w:pPr>
    </w:p>
    <w:p>
      <w:pPr>
        <w:ind w:left="440"/>
        <w:spacing w:after="0"/>
        <w:rPr>
          <w:sz w:val="20"/>
          <w:szCs w:val="20"/>
          <w:color w:val="auto"/>
        </w:rPr>
      </w:pPr>
      <w:r>
        <w:rPr>
          <w:rFonts w:ascii="Arial" w:cs="Arial" w:eastAsia="Arial" w:hAnsi="Arial"/>
          <w:sz w:val="12"/>
          <w:szCs w:val="12"/>
          <w:color w:val="auto"/>
        </w:rPr>
        <w:t>•</w:t>
      </w:r>
    </w:p>
    <w:p>
      <w:pPr>
        <w:spacing w:after="0" w:line="6" w:lineRule="exact"/>
        <w:rPr>
          <w:sz w:val="20"/>
          <w:szCs w:val="20"/>
          <w:color w:val="auto"/>
        </w:rPr>
      </w:pPr>
    </w:p>
    <w:p>
      <w:pPr>
        <w:ind w:left="880" w:hanging="447"/>
        <w:spacing w:after="0"/>
        <w:tabs>
          <w:tab w:leader="none" w:pos="880" w:val="left"/>
        </w:tabs>
        <w:numPr>
          <w:ilvl w:val="0"/>
          <w:numId w:val="17"/>
        </w:numPr>
        <w:rPr>
          <w:rFonts w:ascii="Arial" w:cs="Arial" w:eastAsia="Arial" w:hAnsi="Arial"/>
          <w:sz w:val="11"/>
          <w:szCs w:val="11"/>
          <w:color w:val="auto"/>
        </w:rPr>
      </w:pPr>
      <w:r>
        <w:rPr>
          <w:rFonts w:ascii="Arial" w:cs="Arial" w:eastAsia="Arial" w:hAnsi="Arial"/>
          <w:sz w:val="11"/>
          <w:szCs w:val="11"/>
          <w:color w:val="auto"/>
        </w:rPr>
        <w:t>Provide reasonable assurance regarding prevention or timely detection of unauthorized acquisition, use or disposition of the Company’s assets that could have a material effect on the financial statements.</w:t>
      </w:r>
    </w:p>
    <w:p>
      <w:pPr>
        <w:spacing w:after="0" w:line="153" w:lineRule="exact"/>
        <w:rPr>
          <w:sz w:val="20"/>
          <w:szCs w:val="20"/>
          <w:color w:val="auto"/>
        </w:rPr>
      </w:pPr>
    </w:p>
    <w:p>
      <w:pPr>
        <w:ind w:right="300"/>
        <w:spacing w:after="0" w:line="276" w:lineRule="auto"/>
        <w:rPr>
          <w:sz w:val="20"/>
          <w:szCs w:val="20"/>
          <w:color w:val="auto"/>
        </w:rPr>
      </w:pPr>
      <w:r>
        <w:rPr>
          <w:rFonts w:ascii="Arial" w:cs="Arial" w:eastAsia="Arial" w:hAnsi="Arial"/>
          <w:sz w:val="12"/>
          <w:szCs w:val="12"/>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the degree of compliance with the policies or procedures may deteriorate.</w:t>
      </w:r>
    </w:p>
    <w:p>
      <w:pPr>
        <w:spacing w:after="0" w:line="115" w:lineRule="exact"/>
        <w:rPr>
          <w:sz w:val="20"/>
          <w:szCs w:val="20"/>
          <w:color w:val="auto"/>
        </w:rPr>
      </w:pPr>
    </w:p>
    <w:p>
      <w:pPr>
        <w:jc w:val="both"/>
        <w:ind w:right="140"/>
        <w:spacing w:after="0" w:line="263" w:lineRule="auto"/>
        <w:rPr>
          <w:sz w:val="20"/>
          <w:szCs w:val="20"/>
          <w:color w:val="auto"/>
        </w:rPr>
      </w:pPr>
      <w:r>
        <w:rPr>
          <w:rFonts w:ascii="Arial" w:cs="Arial" w:eastAsia="Arial" w:hAnsi="Arial"/>
          <w:sz w:val="12"/>
          <w:szCs w:val="12"/>
          <w:color w:val="auto"/>
        </w:rPr>
        <w:t>On October 19, 2018, the Company completed the acquisitions of Information Transport Solutions, Inc. (“ITS”) Management excluded ITS from its assessment of internal control over financial reporting as of December 31, 2018 because ITS was acquired by the Company in a purchase business combination in 2018. ITS represents 0.4% of total assets and 0.9% of total revenue, of the related consolidated financial statement amounts as of and for the year ended December 31, 2018.</w:t>
      </w:r>
    </w:p>
    <w:p>
      <w:pPr>
        <w:spacing w:after="0" w:line="123" w:lineRule="exact"/>
        <w:rPr>
          <w:sz w:val="20"/>
          <w:szCs w:val="20"/>
          <w:color w:val="auto"/>
        </w:rPr>
      </w:pPr>
    </w:p>
    <w:p>
      <w:pPr>
        <w:ind w:right="380"/>
        <w:spacing w:after="0" w:line="276" w:lineRule="auto"/>
        <w:rPr>
          <w:sz w:val="20"/>
          <w:szCs w:val="20"/>
          <w:color w:val="auto"/>
        </w:rPr>
      </w:pPr>
      <w:r>
        <w:rPr>
          <w:rFonts w:ascii="Arial" w:cs="Arial" w:eastAsia="Arial" w:hAnsi="Arial"/>
          <w:sz w:val="12"/>
          <w:szCs w:val="12"/>
          <w:color w:val="auto"/>
        </w:rPr>
        <w:t xml:space="preserve">Our management, with the participation of our principal executive officer and principal financial officer, evaluated the effectiveness of our internal control over financial reporting as of December 31, 2018. In making this assessment, management used the criteria set forth by the Committee of Sponsoring Organizations of the Treadway Commission (COSO) in </w:t>
      </w:r>
      <w:r>
        <w:rPr>
          <w:rFonts w:ascii="Arial" w:cs="Arial" w:eastAsia="Arial" w:hAnsi="Arial"/>
          <w:sz w:val="12"/>
          <w:szCs w:val="12"/>
          <w:i w:val="1"/>
          <w:iCs w:val="1"/>
          <w:color w:val="auto"/>
        </w:rPr>
        <w:t>Internal Control - Integrated Framework (2013)</w:t>
      </w:r>
      <w:r>
        <w:rPr>
          <w:rFonts w:ascii="Arial" w:cs="Arial" w:eastAsia="Arial" w:hAnsi="Arial"/>
          <w:sz w:val="12"/>
          <w:szCs w:val="12"/>
          <w:color w:val="auto"/>
        </w:rPr>
        <w:t>.</w:t>
      </w:r>
    </w:p>
    <w:p>
      <w:pPr>
        <w:spacing w:after="0" w:line="115" w:lineRule="exact"/>
        <w:rPr>
          <w:sz w:val="20"/>
          <w:szCs w:val="20"/>
          <w:color w:val="auto"/>
        </w:rPr>
      </w:pPr>
    </w:p>
    <w:p>
      <w:pPr>
        <w:jc w:val="center"/>
        <w:ind w:right="60"/>
        <w:spacing w:after="0"/>
        <w:rPr>
          <w:sz w:val="20"/>
          <w:szCs w:val="20"/>
          <w:color w:val="auto"/>
        </w:rPr>
      </w:pPr>
      <w:r>
        <w:rPr>
          <w:rFonts w:ascii="Arial" w:cs="Arial" w:eastAsia="Arial" w:hAnsi="Arial"/>
          <w:sz w:val="12"/>
          <w:szCs w:val="12"/>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540"/>
          </w:cols>
          <w:pgMar w:left="220" w:top="131" w:right="139" w:bottom="1440" w:gutter="0" w:footer="0" w:header="0"/>
        </w:sectPr>
      </w:pPr>
    </w:p>
    <w:bookmarkStart w:id="106" w:name="page107"/>
    <w:bookmarkEnd w:id="10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 xml:space="preserve">Based on this evaluation under the framework in </w:t>
      </w:r>
      <w:r>
        <w:rPr>
          <w:rFonts w:ascii="Arial" w:cs="Arial" w:eastAsia="Arial" w:hAnsi="Arial"/>
          <w:sz w:val="11"/>
          <w:szCs w:val="11"/>
          <w:i w:val="1"/>
          <w:iCs w:val="1"/>
          <w:color w:val="auto"/>
        </w:rPr>
        <w:t>Internal Control - Integrated Framework (2013)</w:t>
      </w:r>
      <w:r>
        <w:rPr>
          <w:rFonts w:ascii="Arial" w:cs="Arial" w:eastAsia="Arial" w:hAnsi="Arial"/>
          <w:sz w:val="11"/>
          <w:szCs w:val="11"/>
          <w:color w:val="auto"/>
        </w:rPr>
        <w:t xml:space="preserve"> issued by COSO, management concluded the Company’s internal control over financial reporting was effective as of December 31, 2018.</w:t>
      </w:r>
    </w:p>
    <w:p>
      <w:pPr>
        <w:spacing w:after="0" w:line="162"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The Company’s independent registered public accounting firm, PricewaterhouseCoopers LLP, who has audited the consolidated financial statements included in this Annual Report on Form 10-K, has also audited the effectiveness of the Company’s internal control over financial reporting as of December 31, 2018, as stated in their report which appears in Part II, Item 8 of this Annual Report on Form 10-K.</w:t>
      </w:r>
    </w:p>
    <w:p>
      <w:pPr>
        <w:spacing w:after="0" w:line="115"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Changes in Internal Control Over Financial Reporting</w:t>
      </w:r>
    </w:p>
    <w:p>
      <w:pPr>
        <w:spacing w:after="0" w:line="78" w:lineRule="exact"/>
        <w:rPr>
          <w:sz w:val="20"/>
          <w:szCs w:val="20"/>
          <w:color w:val="auto"/>
        </w:rPr>
      </w:pPr>
    </w:p>
    <w:p>
      <w:pPr>
        <w:ind w:right="160"/>
        <w:spacing w:after="0" w:line="276" w:lineRule="auto"/>
        <w:rPr>
          <w:sz w:val="20"/>
          <w:szCs w:val="20"/>
          <w:color w:val="auto"/>
        </w:rPr>
      </w:pPr>
      <w:r>
        <w:rPr>
          <w:rFonts w:ascii="Arial" w:cs="Arial" w:eastAsia="Arial" w:hAnsi="Arial"/>
          <w:sz w:val="12"/>
          <w:szCs w:val="12"/>
          <w:color w:val="auto"/>
        </w:rPr>
        <w:t>There were no changes in our internal control over financial reporting that occurred during the quarter ended December 31, 2018 that has materially affected, or is reasonably likely to materially affect, our internal control over financial reporting.</w:t>
      </w:r>
    </w:p>
    <w:p>
      <w:pPr>
        <w:spacing w:after="0" w:line="18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9B. Other Information.</w:t>
      </w:r>
    </w:p>
    <w:p>
      <w:pPr>
        <w:spacing w:after="0" w:line="82" w:lineRule="exact"/>
        <w:rPr>
          <w:sz w:val="20"/>
          <w:szCs w:val="20"/>
          <w:color w:val="auto"/>
        </w:rPr>
      </w:pPr>
    </w:p>
    <w:p>
      <w:pPr>
        <w:spacing w:after="0" w:line="259" w:lineRule="auto"/>
        <w:rPr>
          <w:sz w:val="20"/>
          <w:szCs w:val="20"/>
          <w:color w:val="auto"/>
        </w:rPr>
      </w:pPr>
      <w:r>
        <w:rPr>
          <w:rFonts w:ascii="Arial" w:cs="Arial" w:eastAsia="Arial" w:hAnsi="Arial"/>
          <w:sz w:val="12"/>
          <w:szCs w:val="12"/>
          <w:color w:val="auto"/>
        </w:rPr>
        <w:t>As noted above, on March 18, 2019, we entered into the fourth amendment and limited waiver (the “Amendment”) to our Credit Agreement among Uniti Group LP, Uniti Group Finance Inc. and CSL Capital, LLC, as borrowers, the guarantors party thereto, the lenders party thereto, and Bank of America, N.A., as administrative agent and collateral agent. Please see “Management’s Discussion and Analysis of Financial Condition and Results of Operations —Liquidity and Capital Resources—Credit Agreement” for additional information about the material terms of the Amendment. The foregoing descriptions of the Amendment are qualified in their entirety by reference to the Amendment, a copy of which is filed as Exhibit 10.11 hereto.</w:t>
      </w:r>
    </w:p>
    <w:p>
      <w:pPr>
        <w:spacing w:after="0" w:line="200" w:lineRule="exact"/>
        <w:rPr>
          <w:sz w:val="20"/>
          <w:szCs w:val="20"/>
          <w:color w:val="auto"/>
        </w:rPr>
      </w:pPr>
    </w:p>
    <w:p>
      <w:pPr>
        <w:spacing w:after="0" w:line="276" w:lineRule="exact"/>
        <w:rPr>
          <w:sz w:val="20"/>
          <w:szCs w:val="20"/>
          <w:color w:val="auto"/>
        </w:rPr>
      </w:pPr>
    </w:p>
    <w:p>
      <w:pPr>
        <w:jc w:val="center"/>
        <w:ind w:right="-39"/>
        <w:spacing w:after="0"/>
        <w:rPr>
          <w:sz w:val="20"/>
          <w:szCs w:val="20"/>
          <w:color w:val="auto"/>
        </w:rPr>
      </w:pPr>
      <w:r>
        <w:rPr>
          <w:rFonts w:ascii="Arial" w:cs="Arial" w:eastAsia="Arial" w:hAnsi="Arial"/>
          <w:sz w:val="12"/>
          <w:szCs w:val="12"/>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20"/>
          </w:cols>
          <w:pgMar w:left="220" w:top="131" w:right="259" w:bottom="1440" w:gutter="0" w:footer="0" w:header="0"/>
        </w:sectPr>
      </w:pPr>
    </w:p>
    <w:bookmarkStart w:id="107" w:name="page108"/>
    <w:bookmarkEnd w:id="10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ind w:right="-59"/>
        <w:spacing w:after="0"/>
        <w:rPr>
          <w:sz w:val="20"/>
          <w:szCs w:val="20"/>
          <w:color w:val="auto"/>
        </w:rPr>
      </w:pPr>
      <w:r>
        <w:rPr>
          <w:rFonts w:ascii="Arial" w:cs="Arial" w:eastAsia="Arial" w:hAnsi="Arial"/>
          <w:sz w:val="12"/>
          <w:szCs w:val="12"/>
          <w:b w:val="1"/>
          <w:bCs w:val="1"/>
          <w:color w:val="auto"/>
        </w:rPr>
        <w:t>PART III</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10. Directors, Executive Officers and Corporate Governance.</w:t>
      </w:r>
    </w:p>
    <w:p>
      <w:pPr>
        <w:spacing w:after="0" w:line="82" w:lineRule="exact"/>
        <w:rPr>
          <w:sz w:val="20"/>
          <w:szCs w:val="20"/>
          <w:color w:val="auto"/>
        </w:rPr>
      </w:pPr>
    </w:p>
    <w:p>
      <w:pPr>
        <w:ind w:right="40"/>
        <w:spacing w:after="0" w:line="276" w:lineRule="auto"/>
        <w:rPr>
          <w:sz w:val="20"/>
          <w:szCs w:val="20"/>
          <w:color w:val="auto"/>
        </w:rPr>
      </w:pPr>
      <w:r>
        <w:rPr>
          <w:rFonts w:ascii="Arial" w:cs="Arial" w:eastAsia="Arial" w:hAnsi="Arial"/>
          <w:sz w:val="12"/>
          <w:szCs w:val="12"/>
          <w:color w:val="auto"/>
        </w:rPr>
        <w:t>Except as set forth below, the information required by this item is incorporated by reference from the definitive proxy statement to be filed within 120 days after December 31, 2018, pursuant to Regulation 14A under the Exchange Act in connection with our 2019 annual meeting of stockholders.</w:t>
      </w:r>
    </w:p>
    <w:p>
      <w:pPr>
        <w:spacing w:after="0" w:line="115" w:lineRule="exact"/>
        <w:rPr>
          <w:sz w:val="20"/>
          <w:szCs w:val="20"/>
          <w:color w:val="auto"/>
        </w:rPr>
      </w:pPr>
    </w:p>
    <w:p>
      <w:pPr>
        <w:ind w:right="40"/>
        <w:spacing w:after="0" w:line="298" w:lineRule="auto"/>
        <w:rPr>
          <w:sz w:val="20"/>
          <w:szCs w:val="20"/>
          <w:color w:val="auto"/>
        </w:rPr>
      </w:pPr>
      <w:r>
        <w:rPr>
          <w:rFonts w:ascii="Arial" w:cs="Arial" w:eastAsia="Arial" w:hAnsi="Arial"/>
          <w:sz w:val="11"/>
          <w:szCs w:val="11"/>
          <w:color w:val="auto"/>
        </w:rPr>
        <w:t xml:space="preserve">We have a code of ethics as defined in Item 406 of Regulation S-K, which code applies to all of our directors and employees, including our principal executive officer, principal financial officer, principal accounting officer or controller, and persons performing similar functions. A copy of this code of ethics, titled “Code of Business Conduct and Ethics &amp; Whistleblower Policy,” is available free of charge in the </w:t>
      </w:r>
      <w:r>
        <w:rPr>
          <w:rFonts w:ascii="Arial" w:cs="Arial" w:eastAsia="Arial" w:hAnsi="Arial"/>
          <w:sz w:val="11"/>
          <w:szCs w:val="11"/>
          <w:i w:val="1"/>
          <w:iCs w:val="1"/>
          <w:color w:val="auto"/>
        </w:rPr>
        <w:t>Corporate Governance</w:t>
      </w:r>
      <w:r>
        <w:rPr>
          <w:rFonts w:ascii="Arial" w:cs="Arial" w:eastAsia="Arial" w:hAnsi="Arial"/>
          <w:sz w:val="11"/>
          <w:szCs w:val="11"/>
          <w:color w:val="auto"/>
        </w:rPr>
        <w:t xml:space="preserve"> section of the About Us page on our website at www.uniti.com. We intend to satisfy the disclosure requirements of Form 8-K regarding any amendment to, or a waiver from, any provision of our code of ethics by posting such amendment or waiver on our website.</w:t>
      </w:r>
    </w:p>
    <w:p>
      <w:pPr>
        <w:spacing w:after="0" w:line="17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11. Executive Compensation.</w:t>
      </w:r>
    </w:p>
    <w:p>
      <w:pPr>
        <w:spacing w:after="0" w:line="82"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The information required by this item is incorporated by reference from the definitive proxy statement to be filed within 120 days after December 31, 2018, pursuant to Regulation 14A under the Exchange Act in connection with our 2019 annual meeting of stockholders.</w:t>
      </w:r>
    </w:p>
    <w:p>
      <w:pPr>
        <w:spacing w:after="0" w:line="18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12. Security Ownership of Certain Beneficial Owners and Management and Related Stockholder Matters.</w:t>
      </w:r>
    </w:p>
    <w:p>
      <w:pPr>
        <w:spacing w:after="0" w:line="82" w:lineRule="exact"/>
        <w:rPr>
          <w:sz w:val="20"/>
          <w:szCs w:val="20"/>
          <w:color w:val="auto"/>
        </w:rPr>
      </w:pPr>
    </w:p>
    <w:p>
      <w:pPr>
        <w:ind w:right="40"/>
        <w:spacing w:after="0" w:line="276" w:lineRule="auto"/>
        <w:rPr>
          <w:sz w:val="20"/>
          <w:szCs w:val="20"/>
          <w:color w:val="auto"/>
        </w:rPr>
      </w:pPr>
      <w:r>
        <w:rPr>
          <w:rFonts w:ascii="Arial" w:cs="Arial" w:eastAsia="Arial" w:hAnsi="Arial"/>
          <w:sz w:val="12"/>
          <w:szCs w:val="12"/>
          <w:color w:val="auto"/>
        </w:rPr>
        <w:t>Except as set forth below, the information required by this item is incorporated by reference from the definitive proxy statement to be filed within 120 days after December 31, 2018, pursuant to Regulation 14A under the Exchange Act in connection with our 2019 annual meeting of stockholders.</w:t>
      </w:r>
    </w:p>
    <w:p>
      <w:pPr>
        <w:spacing w:after="0" w:line="187"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Securities Authorized for Issuance Under Equity Compensation Plans</w:t>
      </w:r>
    </w:p>
    <w:p>
      <w:pPr>
        <w:spacing w:after="0" w:line="78"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 contains information about our equity compensation plan as of December 31, 2018:</w:t>
      </w:r>
    </w:p>
    <w:p>
      <w:pPr>
        <w:spacing w:after="0" w:line="150" w:lineRule="exact"/>
        <w:rPr>
          <w:sz w:val="20"/>
          <w:szCs w:val="20"/>
          <w:color w:val="auto"/>
        </w:rPr>
      </w:pPr>
    </w:p>
    <w:p>
      <w:pPr>
        <w:jc w:val="center"/>
        <w:ind w:right="-59"/>
        <w:spacing w:after="0"/>
        <w:rPr>
          <w:sz w:val="20"/>
          <w:szCs w:val="20"/>
          <w:color w:val="auto"/>
        </w:rPr>
      </w:pPr>
      <w:r>
        <w:rPr>
          <w:rFonts w:ascii="Arial" w:cs="Arial" w:eastAsia="Arial" w:hAnsi="Arial"/>
          <w:sz w:val="11"/>
          <w:szCs w:val="11"/>
          <w:b w:val="1"/>
          <w:bCs w:val="1"/>
          <w:color w:val="auto"/>
        </w:rPr>
        <w:t>E</w:t>
      </w:r>
      <w:r>
        <w:rPr>
          <w:rFonts w:ascii="Arial" w:cs="Arial" w:eastAsia="Arial" w:hAnsi="Arial"/>
          <w:sz w:val="7"/>
          <w:szCs w:val="7"/>
          <w:b w:val="1"/>
          <w:bCs w:val="1"/>
          <w:color w:val="auto"/>
        </w:rPr>
        <w:t>QUITY</w:t>
      </w:r>
      <w:r>
        <w:rPr>
          <w:rFonts w:ascii="Arial" w:cs="Arial" w:eastAsia="Arial" w:hAnsi="Arial"/>
          <w:sz w:val="11"/>
          <w:szCs w:val="11"/>
          <w:b w:val="1"/>
          <w:bCs w:val="1"/>
          <w:color w:val="auto"/>
        </w:rPr>
        <w:t xml:space="preserve"> C</w:t>
      </w:r>
      <w:r>
        <w:rPr>
          <w:rFonts w:ascii="Arial" w:cs="Arial" w:eastAsia="Arial" w:hAnsi="Arial"/>
          <w:sz w:val="7"/>
          <w:szCs w:val="7"/>
          <w:b w:val="1"/>
          <w:bCs w:val="1"/>
          <w:color w:val="auto"/>
        </w:rPr>
        <w:t>OMPENSATION</w:t>
      </w:r>
      <w:r>
        <w:rPr>
          <w:rFonts w:ascii="Arial" w:cs="Arial" w:eastAsia="Arial" w:hAnsi="Arial"/>
          <w:sz w:val="11"/>
          <w:szCs w:val="11"/>
          <w:b w:val="1"/>
          <w:bCs w:val="1"/>
          <w:color w:val="auto"/>
        </w:rPr>
        <w:t xml:space="preserve"> P</w:t>
      </w:r>
      <w:r>
        <w:rPr>
          <w:rFonts w:ascii="Arial" w:cs="Arial" w:eastAsia="Arial" w:hAnsi="Arial"/>
          <w:sz w:val="7"/>
          <w:szCs w:val="7"/>
          <w:b w:val="1"/>
          <w:bCs w:val="1"/>
          <w:color w:val="auto"/>
        </w:rPr>
        <w:t>LAN</w:t>
      </w:r>
      <w:r>
        <w:rPr>
          <w:rFonts w:ascii="Arial" w:cs="Arial" w:eastAsia="Arial" w:hAnsi="Arial"/>
          <w:sz w:val="11"/>
          <w:szCs w:val="11"/>
          <w:b w:val="1"/>
          <w:bCs w:val="1"/>
          <w:color w:val="auto"/>
        </w:rPr>
        <w:t xml:space="preserve"> I</w:t>
      </w:r>
      <w:r>
        <w:rPr>
          <w:rFonts w:ascii="Arial" w:cs="Arial" w:eastAsia="Arial" w:hAnsi="Arial"/>
          <w:sz w:val="7"/>
          <w:szCs w:val="7"/>
          <w:b w:val="1"/>
          <w:bCs w:val="1"/>
          <w:color w:val="auto"/>
        </w:rPr>
        <w:t>NFORMATION</w:t>
      </w:r>
    </w:p>
    <w:p>
      <w:pPr>
        <w:sectPr>
          <w:pgSz w:w="11900" w:h="16838" w:orient="portrait"/>
          <w:cols w:equalWidth="0" w:num="1">
            <w:col w:w="11400"/>
          </w:cols>
          <w:pgMar w:left="220" w:top="131" w:right="2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480"/>
        <w:spacing w:after="0"/>
        <w:rPr>
          <w:sz w:val="20"/>
          <w:szCs w:val="20"/>
          <w:color w:val="auto"/>
        </w:rPr>
      </w:pPr>
      <w:r>
        <w:rPr>
          <w:rFonts w:ascii="Arial" w:cs="Arial" w:eastAsia="Arial" w:hAnsi="Arial"/>
          <w:sz w:val="11"/>
          <w:szCs w:val="11"/>
          <w:b w:val="1"/>
          <w:bCs w:val="1"/>
          <w:color w:val="auto"/>
        </w:rPr>
        <w:t>Plan category</w:t>
      </w:r>
    </w:p>
    <w:p>
      <w:pPr>
        <w:spacing w:after="0" w:line="292" w:lineRule="exact"/>
        <w:rPr>
          <w:sz w:val="20"/>
          <w:szCs w:val="20"/>
          <w:color w:val="auto"/>
        </w:rPr>
      </w:pPr>
    </w:p>
    <w:p>
      <w:pPr>
        <w:jc w:val="center"/>
        <w:ind w:left="3200"/>
        <w:spacing w:after="0"/>
        <w:rPr>
          <w:sz w:val="20"/>
          <w:szCs w:val="20"/>
          <w:color w:val="auto"/>
        </w:rPr>
      </w:pPr>
      <w:r>
        <w:rPr>
          <w:rFonts w:ascii="Arial" w:cs="Arial" w:eastAsia="Arial" w:hAnsi="Arial"/>
          <w:sz w:val="9"/>
          <w:szCs w:val="9"/>
          <w:color w:val="auto"/>
        </w:rPr>
        <w:t>Equity compensation plans</w:t>
      </w:r>
    </w:p>
    <w:p>
      <w:pPr>
        <w:spacing w:after="0" w:line="33" w:lineRule="exact"/>
        <w:rPr>
          <w:sz w:val="20"/>
          <w:szCs w:val="20"/>
          <w:color w:val="auto"/>
        </w:rPr>
      </w:pPr>
    </w:p>
    <w:p>
      <w:pPr>
        <w:jc w:val="center"/>
        <w:ind w:left="3200"/>
        <w:spacing w:after="0"/>
        <w:rPr>
          <w:sz w:val="20"/>
          <w:szCs w:val="20"/>
          <w:color w:val="auto"/>
        </w:rPr>
      </w:pPr>
      <w:r>
        <w:rPr>
          <w:rFonts w:ascii="Arial" w:cs="Arial" w:eastAsia="Arial" w:hAnsi="Arial"/>
          <w:sz w:val="11"/>
          <w:szCs w:val="11"/>
          <w:color w:val="auto"/>
        </w:rPr>
        <w:t>approved by security</w:t>
      </w:r>
    </w:p>
    <w:p>
      <w:pPr>
        <w:spacing w:after="0" w:line="9" w:lineRule="exact"/>
        <w:rPr>
          <w:sz w:val="20"/>
          <w:szCs w:val="20"/>
          <w:color w:val="auto"/>
        </w:rPr>
      </w:pPr>
    </w:p>
    <w:p>
      <w:pPr>
        <w:jc w:val="center"/>
        <w:ind w:left="3200"/>
        <w:spacing w:after="0"/>
        <w:rPr>
          <w:sz w:val="20"/>
          <w:szCs w:val="20"/>
          <w:color w:val="auto"/>
        </w:rPr>
      </w:pPr>
      <w:r>
        <w:rPr>
          <w:rFonts w:ascii="Arial" w:cs="Arial" w:eastAsia="Arial" w:hAnsi="Arial"/>
          <w:sz w:val="11"/>
          <w:szCs w:val="11"/>
          <w:color w:val="auto"/>
        </w:rPr>
        <w:t>holders</w:t>
      </w:r>
    </w:p>
    <w:p>
      <w:pPr>
        <w:spacing w:after="0" w:line="143" w:lineRule="exact"/>
        <w:rPr>
          <w:sz w:val="20"/>
          <w:szCs w:val="20"/>
          <w:color w:val="auto"/>
        </w:rPr>
      </w:pPr>
    </w:p>
    <w:p>
      <w:pPr>
        <w:jc w:val="center"/>
        <w:ind w:left="3200"/>
        <w:spacing w:after="0"/>
        <w:rPr>
          <w:sz w:val="20"/>
          <w:szCs w:val="20"/>
          <w:color w:val="auto"/>
        </w:rPr>
      </w:pPr>
      <w:r>
        <w:rPr>
          <w:rFonts w:ascii="Arial" w:cs="Arial" w:eastAsia="Arial" w:hAnsi="Arial"/>
          <w:sz w:val="9"/>
          <w:szCs w:val="9"/>
          <w:color w:val="auto"/>
        </w:rPr>
        <w:t>Equity compensation plans</w:t>
      </w:r>
    </w:p>
    <w:p>
      <w:pPr>
        <w:spacing w:after="0" w:line="33" w:lineRule="exact"/>
        <w:rPr>
          <w:sz w:val="20"/>
          <w:szCs w:val="20"/>
          <w:color w:val="auto"/>
        </w:rPr>
      </w:pPr>
    </w:p>
    <w:p>
      <w:pPr>
        <w:jc w:val="center"/>
        <w:ind w:left="3200"/>
        <w:spacing w:after="0"/>
        <w:rPr>
          <w:sz w:val="20"/>
          <w:szCs w:val="20"/>
          <w:color w:val="auto"/>
        </w:rPr>
      </w:pPr>
      <w:r>
        <w:rPr>
          <w:rFonts w:ascii="Arial" w:cs="Arial" w:eastAsia="Arial" w:hAnsi="Arial"/>
          <w:sz w:val="10"/>
          <w:szCs w:val="10"/>
          <w:color w:val="auto"/>
        </w:rPr>
        <w:t>not approved by security</w:t>
      </w:r>
    </w:p>
    <w:p>
      <w:pPr>
        <w:spacing w:after="0" w:line="20" w:lineRule="exact"/>
        <w:rPr>
          <w:sz w:val="20"/>
          <w:szCs w:val="20"/>
          <w:color w:val="auto"/>
        </w:rPr>
      </w:pPr>
    </w:p>
    <w:p>
      <w:pPr>
        <w:jc w:val="center"/>
        <w:ind w:left="3200"/>
        <w:spacing w:after="0"/>
        <w:rPr>
          <w:sz w:val="20"/>
          <w:szCs w:val="20"/>
          <w:color w:val="auto"/>
        </w:rPr>
      </w:pPr>
      <w:r>
        <w:rPr>
          <w:rFonts w:ascii="Arial" w:cs="Arial" w:eastAsia="Arial" w:hAnsi="Arial"/>
          <w:sz w:val="11"/>
          <w:szCs w:val="11"/>
          <w:color w:val="auto"/>
        </w:rPr>
        <w:t>holders</w:t>
      </w:r>
    </w:p>
    <w:p>
      <w:pPr>
        <w:spacing w:after="0" w:line="287" w:lineRule="exact"/>
        <w:rPr>
          <w:sz w:val="20"/>
          <w:szCs w:val="20"/>
          <w:color w:val="auto"/>
        </w:rPr>
      </w:pPr>
    </w:p>
    <w:p>
      <w:pPr>
        <w:ind w:left="3680"/>
        <w:spacing w:after="0"/>
        <w:rPr>
          <w:sz w:val="20"/>
          <w:szCs w:val="20"/>
          <w:color w:val="auto"/>
        </w:rPr>
      </w:pPr>
      <w:r>
        <w:rPr>
          <w:rFonts w:ascii="Arial" w:cs="Arial" w:eastAsia="Arial" w:hAnsi="Arial"/>
          <w:sz w:val="11"/>
          <w:szCs w:val="11"/>
          <w:color w:val="auto"/>
        </w:rPr>
        <w:t>Total</w:t>
      </w:r>
    </w:p>
    <w:p>
      <w:pPr>
        <w:spacing w:after="0" w:line="20" w:lineRule="exact"/>
        <w:rPr>
          <w:sz w:val="20"/>
          <w:szCs w:val="20"/>
          <w:color w:val="auto"/>
        </w:rPr>
      </w:pPr>
      <w:r>
        <w:rPr>
          <w:sz w:val="20"/>
          <w:szCs w:val="20"/>
          <w:color w:val="auto"/>
        </w:rPr>
        <w:br w:type="column"/>
      </w:r>
    </w:p>
    <w:p>
      <w:pPr>
        <w:spacing w:after="0" w:line="12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35"/>
        </w:trPr>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7"/>
              </w:rPr>
              <w:t>Number of securities</w:t>
            </w:r>
          </w:p>
        </w:tc>
        <w:tc>
          <w:tcPr>
            <w:tcW w:w="1200" w:type="dxa"/>
            <w:vAlign w:val="bottom"/>
          </w:tcPr>
          <w:p>
            <w:pPr>
              <w:spacing w:after="0"/>
              <w:rPr>
                <w:sz w:val="11"/>
                <w:szCs w:val="11"/>
                <w:color w:val="auto"/>
              </w:rPr>
            </w:pPr>
          </w:p>
        </w:tc>
        <w:tc>
          <w:tcPr>
            <w:tcW w:w="1500" w:type="dxa"/>
            <w:vAlign w:val="bottom"/>
          </w:tcPr>
          <w:p>
            <w:pPr>
              <w:jc w:val="center"/>
              <w:ind w:left="6"/>
              <w:spacing w:after="0"/>
              <w:rPr>
                <w:sz w:val="20"/>
                <w:szCs w:val="20"/>
                <w:color w:val="auto"/>
              </w:rPr>
            </w:pPr>
            <w:r>
              <w:rPr>
                <w:rFonts w:ascii="Arial" w:cs="Arial" w:eastAsia="Arial" w:hAnsi="Arial"/>
                <w:sz w:val="11"/>
                <w:szCs w:val="11"/>
                <w:b w:val="1"/>
                <w:bCs w:val="1"/>
                <w:color w:val="auto"/>
                <w:w w:val="87"/>
              </w:rPr>
              <w:t>Number of securities</w:t>
            </w:r>
          </w:p>
        </w:tc>
        <w:tc>
          <w:tcPr>
            <w:tcW w:w="0" w:type="dxa"/>
            <w:vAlign w:val="bottom"/>
          </w:tcPr>
          <w:p>
            <w:pPr>
              <w:spacing w:after="0"/>
              <w:rPr>
                <w:sz w:val="1"/>
                <w:szCs w:val="1"/>
                <w:color w:val="auto"/>
              </w:rPr>
            </w:pPr>
          </w:p>
        </w:tc>
      </w:tr>
      <w:tr>
        <w:trPr>
          <w:trHeight w:val="135"/>
        </w:trPr>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4"/>
              </w:rPr>
              <w:t>to be issued upon</w:t>
            </w:r>
          </w:p>
        </w:tc>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8"/>
              </w:rPr>
              <w:t>Weighted-average</w:t>
            </w:r>
          </w:p>
        </w:tc>
        <w:tc>
          <w:tcPr>
            <w:tcW w:w="1500" w:type="dxa"/>
            <w:vAlign w:val="bottom"/>
          </w:tcPr>
          <w:p>
            <w:pPr>
              <w:jc w:val="center"/>
              <w:spacing w:after="0"/>
              <w:rPr>
                <w:sz w:val="20"/>
                <w:szCs w:val="20"/>
                <w:color w:val="auto"/>
              </w:rPr>
            </w:pPr>
            <w:r>
              <w:rPr>
                <w:rFonts w:ascii="Arial" w:cs="Arial" w:eastAsia="Arial" w:hAnsi="Arial"/>
                <w:sz w:val="11"/>
                <w:szCs w:val="11"/>
                <w:b w:val="1"/>
                <w:bCs w:val="1"/>
                <w:color w:val="auto"/>
                <w:w w:val="87"/>
              </w:rPr>
              <w:t>available for future issuance</w:t>
            </w:r>
          </w:p>
        </w:tc>
        <w:tc>
          <w:tcPr>
            <w:tcW w:w="0" w:type="dxa"/>
            <w:vAlign w:val="bottom"/>
          </w:tcPr>
          <w:p>
            <w:pPr>
              <w:spacing w:after="0"/>
              <w:rPr>
                <w:sz w:val="1"/>
                <w:szCs w:val="1"/>
                <w:color w:val="auto"/>
              </w:rPr>
            </w:pPr>
          </w:p>
        </w:tc>
      </w:tr>
      <w:tr>
        <w:trPr>
          <w:trHeight w:val="135"/>
        </w:trPr>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3"/>
              </w:rPr>
              <w:t>exercise of</w:t>
            </w:r>
          </w:p>
        </w:tc>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5"/>
              </w:rPr>
              <w:t>exercise price of</w:t>
            </w:r>
          </w:p>
        </w:tc>
        <w:tc>
          <w:tcPr>
            <w:tcW w:w="1500" w:type="dxa"/>
            <w:vAlign w:val="bottom"/>
          </w:tcPr>
          <w:p>
            <w:pPr>
              <w:jc w:val="center"/>
              <w:spacing w:after="0"/>
              <w:rPr>
                <w:sz w:val="20"/>
                <w:szCs w:val="20"/>
                <w:color w:val="auto"/>
              </w:rPr>
            </w:pPr>
            <w:r>
              <w:rPr>
                <w:rFonts w:ascii="Arial" w:cs="Arial" w:eastAsia="Arial" w:hAnsi="Arial"/>
                <w:sz w:val="11"/>
                <w:szCs w:val="11"/>
                <w:b w:val="1"/>
                <w:bCs w:val="1"/>
                <w:color w:val="auto"/>
                <w:w w:val="87"/>
              </w:rPr>
              <w:t>under equity compensation</w:t>
            </w:r>
          </w:p>
        </w:tc>
        <w:tc>
          <w:tcPr>
            <w:tcW w:w="0" w:type="dxa"/>
            <w:vAlign w:val="bottom"/>
          </w:tcPr>
          <w:p>
            <w:pPr>
              <w:spacing w:after="0"/>
              <w:rPr>
                <w:sz w:val="1"/>
                <w:szCs w:val="1"/>
                <w:color w:val="auto"/>
              </w:rPr>
            </w:pPr>
          </w:p>
        </w:tc>
      </w:tr>
      <w:tr>
        <w:trPr>
          <w:trHeight w:val="135"/>
        </w:trPr>
        <w:tc>
          <w:tcPr>
            <w:tcW w:w="1200" w:type="dxa"/>
            <w:vAlign w:val="bottom"/>
          </w:tcPr>
          <w:p>
            <w:pPr>
              <w:jc w:val="center"/>
              <w:ind w:right="6"/>
              <w:spacing w:after="0"/>
              <w:rPr>
                <w:sz w:val="20"/>
                <w:szCs w:val="20"/>
                <w:color w:val="auto"/>
              </w:rPr>
            </w:pPr>
            <w:r>
              <w:rPr>
                <w:rFonts w:ascii="Arial" w:cs="Arial" w:eastAsia="Arial" w:hAnsi="Arial"/>
                <w:sz w:val="11"/>
                <w:szCs w:val="11"/>
                <w:b w:val="1"/>
                <w:bCs w:val="1"/>
                <w:color w:val="auto"/>
                <w:w w:val="86"/>
              </w:rPr>
              <w:t>outstanding options,</w:t>
            </w:r>
          </w:p>
        </w:tc>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6"/>
              </w:rPr>
              <w:t>outstanding options,</w:t>
            </w:r>
          </w:p>
        </w:tc>
        <w:tc>
          <w:tcPr>
            <w:tcW w:w="1500" w:type="dxa"/>
            <w:vAlign w:val="bottom"/>
          </w:tcPr>
          <w:p>
            <w:pPr>
              <w:jc w:val="center"/>
              <w:spacing w:after="0"/>
              <w:rPr>
                <w:sz w:val="20"/>
                <w:szCs w:val="20"/>
                <w:color w:val="auto"/>
              </w:rPr>
            </w:pPr>
            <w:r>
              <w:rPr>
                <w:rFonts w:ascii="Arial" w:cs="Arial" w:eastAsia="Arial" w:hAnsi="Arial"/>
                <w:sz w:val="11"/>
                <w:szCs w:val="11"/>
                <w:b w:val="1"/>
                <w:bCs w:val="1"/>
                <w:color w:val="auto"/>
                <w:w w:val="86"/>
              </w:rPr>
              <w:t>plans (excluding securities</w:t>
            </w:r>
          </w:p>
        </w:tc>
        <w:tc>
          <w:tcPr>
            <w:tcW w:w="0" w:type="dxa"/>
            <w:vAlign w:val="bottom"/>
          </w:tcPr>
          <w:p>
            <w:pPr>
              <w:spacing w:after="0"/>
              <w:rPr>
                <w:sz w:val="1"/>
                <w:szCs w:val="1"/>
                <w:color w:val="auto"/>
              </w:rPr>
            </w:pPr>
          </w:p>
        </w:tc>
      </w:tr>
      <w:tr>
        <w:trPr>
          <w:trHeight w:val="142"/>
        </w:trPr>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90"/>
              </w:rPr>
              <w:t>warrants and rights</w:t>
            </w: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90"/>
              </w:rPr>
              <w:t>warrants and rights</w:t>
            </w: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87"/>
              </w:rPr>
              <w:t>reflected in column (a))</w:t>
            </w:r>
          </w:p>
        </w:tc>
        <w:tc>
          <w:tcPr>
            <w:tcW w:w="0" w:type="dxa"/>
            <w:vAlign w:val="bottom"/>
          </w:tcPr>
          <w:p>
            <w:pPr>
              <w:spacing w:after="0"/>
              <w:rPr>
                <w:sz w:val="1"/>
                <w:szCs w:val="1"/>
                <w:color w:val="auto"/>
              </w:rPr>
            </w:pPr>
          </w:p>
        </w:tc>
      </w:tr>
      <w:tr>
        <w:trPr>
          <w:trHeight w:val="131"/>
        </w:trPr>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8"/>
              </w:rPr>
              <w:t>(a)</w:t>
            </w:r>
          </w:p>
        </w:tc>
        <w:tc>
          <w:tcPr>
            <w:tcW w:w="1200" w:type="dxa"/>
            <w:vAlign w:val="bottom"/>
          </w:tcPr>
          <w:p>
            <w:pPr>
              <w:jc w:val="center"/>
              <w:spacing w:after="0"/>
              <w:rPr>
                <w:sz w:val="20"/>
                <w:szCs w:val="20"/>
                <w:color w:val="auto"/>
              </w:rPr>
            </w:pPr>
            <w:r>
              <w:rPr>
                <w:rFonts w:ascii="Arial" w:cs="Arial" w:eastAsia="Arial" w:hAnsi="Arial"/>
                <w:sz w:val="11"/>
                <w:szCs w:val="11"/>
                <w:b w:val="1"/>
                <w:bCs w:val="1"/>
                <w:color w:val="auto"/>
                <w:w w:val="85"/>
              </w:rPr>
              <w:t>(b)</w:t>
            </w:r>
          </w:p>
        </w:tc>
        <w:tc>
          <w:tcPr>
            <w:tcW w:w="1500" w:type="dxa"/>
            <w:vAlign w:val="bottom"/>
          </w:tcPr>
          <w:p>
            <w:pPr>
              <w:jc w:val="center"/>
              <w:ind w:left="6"/>
              <w:spacing w:after="0"/>
              <w:rPr>
                <w:sz w:val="20"/>
                <w:szCs w:val="20"/>
                <w:color w:val="auto"/>
              </w:rPr>
            </w:pPr>
            <w:r>
              <w:rPr>
                <w:rFonts w:ascii="Arial" w:cs="Arial" w:eastAsia="Arial" w:hAnsi="Arial"/>
                <w:sz w:val="11"/>
                <w:szCs w:val="11"/>
                <w:b w:val="1"/>
                <w:bCs w:val="1"/>
                <w:color w:val="auto"/>
                <w:w w:val="88"/>
              </w:rPr>
              <w:t>(c)</w:t>
            </w:r>
          </w:p>
        </w:tc>
        <w:tc>
          <w:tcPr>
            <w:tcW w:w="0" w:type="dxa"/>
            <w:vAlign w:val="bottom"/>
          </w:tcPr>
          <w:p>
            <w:pPr>
              <w:spacing w:after="0"/>
              <w:rPr>
                <w:sz w:val="1"/>
                <w:szCs w:val="1"/>
                <w:color w:val="auto"/>
              </w:rPr>
            </w:pPr>
          </w:p>
        </w:tc>
      </w:tr>
      <w:tr>
        <w:trPr>
          <w:trHeight w:val="427"/>
        </w:trPr>
        <w:tc>
          <w:tcPr>
            <w:tcW w:w="1200" w:type="dxa"/>
            <w:vAlign w:val="bottom"/>
            <w:vMerge w:val="restart"/>
          </w:tcPr>
          <w:p>
            <w:pPr>
              <w:jc w:val="center"/>
              <w:ind w:right="6"/>
              <w:spacing w:after="0"/>
              <w:rPr>
                <w:sz w:val="20"/>
                <w:szCs w:val="20"/>
                <w:color w:val="auto"/>
              </w:rPr>
            </w:pPr>
            <w:r>
              <w:rPr>
                <w:rFonts w:ascii="Courier New" w:cs="Courier New" w:eastAsia="Courier New" w:hAnsi="Courier New"/>
                <w:sz w:val="11"/>
                <w:szCs w:val="11"/>
                <w:color w:val="auto"/>
                <w:w w:val="90"/>
              </w:rPr>
              <w:t>-</w:t>
            </w:r>
          </w:p>
        </w:tc>
        <w:tc>
          <w:tcPr>
            <w:tcW w:w="1200" w:type="dxa"/>
            <w:vAlign w:val="bottom"/>
            <w:vMerge w:val="restart"/>
          </w:tcPr>
          <w:p>
            <w:pPr>
              <w:jc w:val="center"/>
              <w:spacing w:after="0"/>
              <w:rPr>
                <w:sz w:val="20"/>
                <w:szCs w:val="20"/>
                <w:color w:val="auto"/>
              </w:rPr>
            </w:pPr>
            <w:r>
              <w:rPr>
                <w:rFonts w:ascii="Courier New" w:cs="Courier New" w:eastAsia="Courier New" w:hAnsi="Courier New"/>
                <w:sz w:val="11"/>
                <w:szCs w:val="11"/>
                <w:color w:val="auto"/>
                <w:w w:val="90"/>
              </w:rPr>
              <w:t>-</w:t>
            </w:r>
          </w:p>
        </w:tc>
        <w:tc>
          <w:tcPr>
            <w:tcW w:w="1500" w:type="dxa"/>
            <w:vAlign w:val="bottom"/>
          </w:tcPr>
          <w:p>
            <w:pPr>
              <w:jc w:val="center"/>
              <w:ind w:left="6"/>
              <w:spacing w:after="0"/>
              <w:rPr>
                <w:sz w:val="20"/>
                <w:szCs w:val="20"/>
                <w:color w:val="auto"/>
              </w:rPr>
            </w:pPr>
            <w:r>
              <w:rPr>
                <w:rFonts w:ascii="Arial" w:cs="Arial" w:eastAsia="Arial" w:hAnsi="Arial"/>
                <w:sz w:val="11"/>
                <w:szCs w:val="11"/>
                <w:color w:val="auto"/>
                <w:w w:val="86"/>
              </w:rPr>
              <w:t>6,724,876</w:t>
            </w:r>
            <w:r>
              <w:rPr>
                <w:rFonts w:ascii="Arial" w:cs="Arial" w:eastAsia="Arial" w:hAnsi="Arial"/>
                <w:sz w:val="18"/>
                <w:szCs w:val="18"/>
                <w:color w:val="auto"/>
                <w:w w:val="86"/>
                <w:vertAlign w:val="superscript"/>
              </w:rPr>
              <w:t>1</w:t>
            </w:r>
          </w:p>
        </w:tc>
        <w:tc>
          <w:tcPr>
            <w:tcW w:w="0" w:type="dxa"/>
            <w:vAlign w:val="bottom"/>
          </w:tcPr>
          <w:p>
            <w:pPr>
              <w:spacing w:after="0"/>
              <w:rPr>
                <w:sz w:val="1"/>
                <w:szCs w:val="1"/>
                <w:color w:val="auto"/>
              </w:rPr>
            </w:pPr>
          </w:p>
        </w:tc>
      </w:tr>
      <w:tr>
        <w:trPr>
          <w:trHeight w:val="32"/>
        </w:trPr>
        <w:tc>
          <w:tcPr>
            <w:tcW w:w="1200" w:type="dxa"/>
            <w:vAlign w:val="bottom"/>
            <w:vMerge w:val="continue"/>
          </w:tcPr>
          <w:p>
            <w:pPr>
              <w:spacing w:after="0"/>
              <w:rPr>
                <w:sz w:val="2"/>
                <w:szCs w:val="2"/>
                <w:color w:val="auto"/>
              </w:rPr>
            </w:pPr>
          </w:p>
        </w:tc>
        <w:tc>
          <w:tcPr>
            <w:tcW w:w="1200" w:type="dxa"/>
            <w:vAlign w:val="bottom"/>
            <w:vMerge w:val="continue"/>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68"/>
        </w:trPr>
        <w:tc>
          <w:tcPr>
            <w:tcW w:w="1200" w:type="dxa"/>
            <w:vAlign w:val="bottom"/>
          </w:tcPr>
          <w:p>
            <w:pPr>
              <w:jc w:val="center"/>
              <w:ind w:right="6"/>
              <w:spacing w:after="0"/>
              <w:rPr>
                <w:sz w:val="20"/>
                <w:szCs w:val="20"/>
                <w:color w:val="auto"/>
              </w:rPr>
            </w:pPr>
            <w:r>
              <w:rPr>
                <w:rFonts w:ascii="Courier New" w:cs="Courier New" w:eastAsia="Courier New" w:hAnsi="Courier New"/>
                <w:sz w:val="11"/>
                <w:szCs w:val="11"/>
                <w:color w:val="auto"/>
                <w:w w:val="90"/>
              </w:rPr>
              <w:t>-</w:t>
            </w:r>
          </w:p>
        </w:tc>
        <w:tc>
          <w:tcPr>
            <w:tcW w:w="1200" w:type="dxa"/>
            <w:vAlign w:val="bottom"/>
          </w:tcPr>
          <w:p>
            <w:pPr>
              <w:jc w:val="center"/>
              <w:spacing w:after="0"/>
              <w:rPr>
                <w:sz w:val="20"/>
                <w:szCs w:val="20"/>
                <w:color w:val="auto"/>
              </w:rPr>
            </w:pPr>
            <w:r>
              <w:rPr>
                <w:rFonts w:ascii="Courier New" w:cs="Courier New" w:eastAsia="Courier New" w:hAnsi="Courier New"/>
                <w:sz w:val="11"/>
                <w:szCs w:val="11"/>
                <w:color w:val="auto"/>
                <w:w w:val="90"/>
              </w:rPr>
              <w:t>-</w:t>
            </w:r>
          </w:p>
        </w:tc>
        <w:tc>
          <w:tcPr>
            <w:tcW w:w="1500" w:type="dxa"/>
            <w:vAlign w:val="bottom"/>
          </w:tcPr>
          <w:p>
            <w:pPr>
              <w:jc w:val="center"/>
              <w:spacing w:after="0"/>
              <w:rPr>
                <w:sz w:val="20"/>
                <w:szCs w:val="20"/>
                <w:color w:val="auto"/>
              </w:rPr>
            </w:pPr>
            <w:r>
              <w:rPr>
                <w:rFonts w:ascii="Courier New" w:cs="Courier New" w:eastAsia="Courier New" w:hAnsi="Courier New"/>
                <w:sz w:val="11"/>
                <w:szCs w:val="11"/>
                <w:color w:val="auto"/>
                <w:w w:val="90"/>
              </w:rPr>
              <w:t>-</w:t>
            </w:r>
          </w:p>
        </w:tc>
        <w:tc>
          <w:tcPr>
            <w:tcW w:w="0" w:type="dxa"/>
            <w:vAlign w:val="bottom"/>
          </w:tcPr>
          <w:p>
            <w:pPr>
              <w:spacing w:after="0"/>
              <w:rPr>
                <w:sz w:val="1"/>
                <w:szCs w:val="1"/>
                <w:color w:val="auto"/>
              </w:rPr>
            </w:pPr>
          </w:p>
        </w:tc>
      </w:tr>
      <w:tr>
        <w:trPr>
          <w:trHeight w:val="283"/>
        </w:trPr>
        <w:tc>
          <w:tcPr>
            <w:tcW w:w="12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1200" w:type="dxa"/>
            <w:vAlign w:val="bottom"/>
            <w:vMerge w:val="restart"/>
          </w:tcPr>
          <w:p>
            <w:pPr>
              <w:jc w:val="center"/>
              <w:ind w:right="6"/>
              <w:spacing w:after="0"/>
              <w:rPr>
                <w:sz w:val="20"/>
                <w:szCs w:val="20"/>
                <w:color w:val="auto"/>
              </w:rPr>
            </w:pPr>
            <w:r>
              <w:rPr>
                <w:rFonts w:ascii="Courier New" w:cs="Courier New" w:eastAsia="Courier New" w:hAnsi="Courier New"/>
                <w:sz w:val="11"/>
                <w:szCs w:val="11"/>
                <w:color w:val="auto"/>
                <w:w w:val="90"/>
              </w:rPr>
              <w:t>-</w:t>
            </w:r>
          </w:p>
        </w:tc>
        <w:tc>
          <w:tcPr>
            <w:tcW w:w="1200" w:type="dxa"/>
            <w:vAlign w:val="bottom"/>
            <w:vMerge w:val="restart"/>
          </w:tcPr>
          <w:p>
            <w:pPr>
              <w:jc w:val="center"/>
              <w:spacing w:after="0"/>
              <w:rPr>
                <w:sz w:val="20"/>
                <w:szCs w:val="20"/>
                <w:color w:val="auto"/>
              </w:rPr>
            </w:pPr>
            <w:r>
              <w:rPr>
                <w:rFonts w:ascii="Courier New" w:cs="Courier New" w:eastAsia="Courier New" w:hAnsi="Courier New"/>
                <w:sz w:val="11"/>
                <w:szCs w:val="11"/>
                <w:color w:val="auto"/>
                <w:w w:val="90"/>
              </w:rPr>
              <w:t>-</w:t>
            </w:r>
          </w:p>
        </w:tc>
        <w:tc>
          <w:tcPr>
            <w:tcW w:w="1500" w:type="dxa"/>
            <w:vAlign w:val="bottom"/>
          </w:tcPr>
          <w:p>
            <w:pPr>
              <w:jc w:val="center"/>
              <w:spacing w:after="0" w:line="125" w:lineRule="exact"/>
              <w:rPr>
                <w:sz w:val="20"/>
                <w:szCs w:val="20"/>
                <w:color w:val="auto"/>
              </w:rPr>
            </w:pPr>
            <w:r>
              <w:rPr>
                <w:rFonts w:ascii="Arial" w:cs="Arial" w:eastAsia="Arial" w:hAnsi="Arial"/>
                <w:sz w:val="11"/>
                <w:szCs w:val="11"/>
                <w:color w:val="auto"/>
                <w:w w:val="85"/>
              </w:rPr>
              <w:t>6,724,876</w:t>
            </w:r>
          </w:p>
        </w:tc>
        <w:tc>
          <w:tcPr>
            <w:tcW w:w="0" w:type="dxa"/>
            <w:vAlign w:val="bottom"/>
          </w:tcPr>
          <w:p>
            <w:pPr>
              <w:spacing w:after="0"/>
              <w:rPr>
                <w:sz w:val="1"/>
                <w:szCs w:val="1"/>
                <w:color w:val="auto"/>
              </w:rPr>
            </w:pPr>
          </w:p>
        </w:tc>
      </w:tr>
      <w:tr>
        <w:trPr>
          <w:trHeight w:val="58"/>
        </w:trPr>
        <w:tc>
          <w:tcPr>
            <w:tcW w:w="1200" w:type="dxa"/>
            <w:vAlign w:val="bottom"/>
            <w:vMerge w:val="continue"/>
          </w:tcPr>
          <w:p>
            <w:pPr>
              <w:spacing w:after="0"/>
              <w:rPr>
                <w:sz w:val="5"/>
                <w:szCs w:val="5"/>
                <w:color w:val="auto"/>
              </w:rPr>
            </w:pPr>
          </w:p>
        </w:tc>
        <w:tc>
          <w:tcPr>
            <w:tcW w:w="1200" w:type="dxa"/>
            <w:vAlign w:val="bottom"/>
            <w:vMerge w:val="continue"/>
          </w:tcPr>
          <w:p>
            <w:pPr>
              <w:spacing w:after="0"/>
              <w:rPr>
                <w:sz w:val="5"/>
                <w:szCs w:val="5"/>
                <w:color w:val="auto"/>
              </w:rPr>
            </w:pPr>
          </w:p>
        </w:tc>
        <w:tc>
          <w:tcPr>
            <w:tcW w:w="1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3"/>
        </w:trPr>
        <w:tc>
          <w:tcPr>
            <w:tcW w:w="1200" w:type="dxa"/>
            <w:vAlign w:val="bottom"/>
            <w:tcBorders>
              <w:bottom w:val="single" w:sz="8" w:color="auto"/>
            </w:tcBorders>
          </w:tcPr>
          <w:p>
            <w:pPr>
              <w:spacing w:after="0"/>
              <w:rPr>
                <w:sz w:val="7"/>
                <w:szCs w:val="7"/>
                <w:color w:val="auto"/>
              </w:rPr>
            </w:pPr>
          </w:p>
        </w:tc>
        <w:tc>
          <w:tcPr>
            <w:tcW w:w="1200" w:type="dxa"/>
            <w:vAlign w:val="bottom"/>
            <w:tcBorders>
              <w:bottom w:val="single" w:sz="8" w:color="auto"/>
            </w:tcBorders>
          </w:tcPr>
          <w:p>
            <w:pPr>
              <w:spacing w:after="0"/>
              <w:rPr>
                <w:sz w:val="7"/>
                <w:szCs w:val="7"/>
                <w:color w:val="auto"/>
              </w:rPr>
            </w:pPr>
          </w:p>
        </w:tc>
        <w:tc>
          <w:tcPr>
            <w:tcW w:w="15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-773430</wp:posOffset>
            </wp:positionH>
            <wp:positionV relativeFrom="paragraph">
              <wp:posOffset>85725</wp:posOffset>
            </wp:positionV>
            <wp:extent cx="3254375" cy="18288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3254375" cy="182880"/>
                    </a:xfrm>
                    <a:prstGeom prst="rect">
                      <a:avLst/>
                    </a:prstGeom>
                    <a:noFill/>
                  </pic:spPr>
                </pic:pic>
              </a:graphicData>
            </a:graphic>
          </wp:anchor>
        </w:drawing>
      </w:r>
    </w:p>
    <w:p>
      <w:pPr>
        <w:spacing w:after="0" w:line="139" w:lineRule="exact"/>
        <w:rPr>
          <w:sz w:val="20"/>
          <w:szCs w:val="20"/>
          <w:color w:val="auto"/>
        </w:rPr>
      </w:pPr>
    </w:p>
    <w:p>
      <w:pPr>
        <w:sectPr>
          <w:pgSz w:w="11900" w:h="16838" w:orient="portrait"/>
          <w:cols w:equalWidth="0" w:num="2">
            <w:col w:w="4380" w:space="20"/>
            <w:col w:w="7000"/>
          </w:cols>
          <w:pgMar w:left="220" w:top="131" w:right="279" w:bottom="1440" w:gutter="0" w:footer="0" w:header="0"/>
          <w:type w:val="continuous"/>
        </w:sectPr>
      </w:pPr>
    </w:p>
    <w:p>
      <w:pPr>
        <w:ind w:left="3480" w:right="3300" w:hanging="295"/>
        <w:spacing w:after="0" w:line="195" w:lineRule="auto"/>
        <w:tabs>
          <w:tab w:leader="none" w:pos="3480" w:val="left"/>
        </w:tabs>
        <w:numPr>
          <w:ilvl w:val="0"/>
          <w:numId w:val="18"/>
        </w:numPr>
        <w:rPr>
          <w:rFonts w:ascii="Arial" w:cs="Arial" w:eastAsia="Arial" w:hAnsi="Arial"/>
          <w:sz w:val="18"/>
          <w:szCs w:val="18"/>
          <w:color w:val="auto"/>
          <w:vertAlign w:val="superscript"/>
        </w:rPr>
      </w:pPr>
      <w:r>
        <w:rPr>
          <w:rFonts w:ascii="Arial" w:cs="Arial" w:eastAsia="Arial" w:hAnsi="Arial"/>
          <w:sz w:val="11"/>
          <w:szCs w:val="11"/>
          <w:color w:val="auto"/>
        </w:rPr>
        <w:t>Amount includes 4,724,876 shares available for issuance under the Uniti Group Inc. 2015 Equity Incentive Plan and 2,000,000 shares Uniti Group Inc. Employee Stock Purchase Plan.</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00"/>
          </w:cols>
          <w:pgMar w:left="220" w:top="131" w:right="279" w:bottom="1440" w:gutter="0" w:footer="0" w:header="0"/>
          <w:type w:val="continuous"/>
        </w:sectPr>
      </w:pPr>
    </w:p>
    <w:bookmarkStart w:id="108" w:name="page109"/>
    <w:bookmarkEnd w:id="10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0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13. Certain Relationships and Related Transactions, and Director Independence.</w:t>
      </w:r>
    </w:p>
    <w:p>
      <w:pPr>
        <w:spacing w:after="0" w:line="82"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The information required by this item is incorporated by reference from the definitive proxy statement to be filed within 120 days after December 31, 2018, pursuant to Regulation 14A under the Exchange Act in connection with our 2019 annual meeting of stockholders.</w:t>
      </w:r>
    </w:p>
    <w:p>
      <w:pPr>
        <w:spacing w:after="0" w:line="18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14. Principal Accounting Fees and Services.</w:t>
      </w:r>
    </w:p>
    <w:p>
      <w:pPr>
        <w:spacing w:after="0" w:line="82"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The information required by this item is incorporated by reference from the definitive proxy statement to be filed within 120 days after December 31, 2018, pursuant to Regulation 14A under the Exchange Act in connection with our 2019 annual meeting of stockholders.</w:t>
      </w:r>
    </w:p>
    <w:p>
      <w:pPr>
        <w:spacing w:after="0" w:line="115"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00"/>
          </w:cols>
          <w:pgMar w:left="220" w:top="131" w:right="279" w:bottom="1440" w:gutter="0" w:footer="0" w:header="0"/>
        </w:sectPr>
      </w:pPr>
    </w:p>
    <w:bookmarkStart w:id="109" w:name="page110"/>
    <w:bookmarkEnd w:id="10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PART IV</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Item 15. Exhibits, Financial Statement Schedules.</w:t>
      </w:r>
    </w:p>
    <w:p>
      <w:pPr>
        <w:spacing w:after="0" w:line="7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Financial Statements</w:t>
      </w:r>
    </w:p>
    <w:p>
      <w:pPr>
        <w:spacing w:after="0" w:line="82" w:lineRule="exact"/>
        <w:rPr>
          <w:sz w:val="20"/>
          <w:szCs w:val="20"/>
          <w:color w:val="auto"/>
        </w:rPr>
      </w:pPr>
    </w:p>
    <w:p>
      <w:pPr>
        <w:spacing w:after="0"/>
        <w:rPr>
          <w:sz w:val="20"/>
          <w:szCs w:val="20"/>
          <w:color w:val="auto"/>
        </w:rPr>
      </w:pPr>
      <w:r>
        <w:rPr>
          <w:rFonts w:ascii="Arial" w:cs="Arial" w:eastAsia="Arial" w:hAnsi="Arial"/>
          <w:sz w:val="12"/>
          <w:szCs w:val="12"/>
          <w:color w:val="auto"/>
        </w:rPr>
        <w:t>See Index to Consolidated Financial Statements in “Financial Statements and Supplementary Data.”</w:t>
      </w:r>
    </w:p>
    <w:p>
      <w:pPr>
        <w:spacing w:after="0" w:line="21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Financial Statement Schedules</w:t>
      </w:r>
    </w:p>
    <w:p>
      <w:pPr>
        <w:spacing w:after="0" w:line="82" w:lineRule="exact"/>
        <w:rPr>
          <w:sz w:val="20"/>
          <w:szCs w:val="20"/>
          <w:color w:val="auto"/>
        </w:rPr>
      </w:pPr>
    </w:p>
    <w:p>
      <w:pPr>
        <w:ind w:right="260"/>
        <w:spacing w:after="0" w:line="276" w:lineRule="auto"/>
        <w:rPr>
          <w:sz w:val="20"/>
          <w:szCs w:val="20"/>
          <w:color w:val="auto"/>
        </w:rPr>
      </w:pPr>
      <w:r>
        <w:rPr>
          <w:rFonts w:ascii="Arial" w:cs="Arial" w:eastAsia="Arial" w:hAnsi="Arial"/>
          <w:sz w:val="12"/>
          <w:szCs w:val="12"/>
          <w:color w:val="auto"/>
        </w:rPr>
        <w:t>Uniti Group Inc. Schedule I – Condensed Financial Information of the Registrant (Parent Company) Condensed Balance Sheets as of December 31, 2018 and 2017, and the related Condensed Statements of Comprehensive Income and Cash Flows for each of the three years in the period ended December 31, 2018, including the related notes, appearing on pages S-1, S-2, S-3, and S-4 of this report.</w:t>
      </w:r>
    </w:p>
    <w:p>
      <w:pPr>
        <w:spacing w:after="0" w:line="43" w:lineRule="exact"/>
        <w:rPr>
          <w:sz w:val="20"/>
          <w:szCs w:val="20"/>
          <w:color w:val="auto"/>
        </w:rPr>
      </w:pPr>
    </w:p>
    <w:p>
      <w:pPr>
        <w:spacing w:after="0"/>
        <w:rPr>
          <w:sz w:val="20"/>
          <w:szCs w:val="20"/>
          <w:color w:val="auto"/>
        </w:rPr>
      </w:pPr>
      <w:r>
        <w:rPr>
          <w:rFonts w:ascii="Arial" w:cs="Arial" w:eastAsia="Arial" w:hAnsi="Arial"/>
          <w:sz w:val="12"/>
          <w:szCs w:val="12"/>
          <w:color w:val="auto"/>
        </w:rPr>
        <w:t>Uniti Group Inc. Schedule II – Valuation and Qualifying Accounts for each of the three years in the period ended December 31, 2018 appearing on page S-5 of this report.</w:t>
      </w:r>
    </w:p>
    <w:p>
      <w:pPr>
        <w:spacing w:after="0" w:line="78" w:lineRule="exact"/>
        <w:rPr>
          <w:sz w:val="20"/>
          <w:szCs w:val="20"/>
          <w:color w:val="auto"/>
        </w:rPr>
      </w:pPr>
    </w:p>
    <w:p>
      <w:pPr>
        <w:spacing w:after="0"/>
        <w:rPr>
          <w:sz w:val="20"/>
          <w:szCs w:val="20"/>
          <w:color w:val="auto"/>
        </w:rPr>
      </w:pPr>
      <w:r>
        <w:rPr>
          <w:rFonts w:ascii="Arial" w:cs="Arial" w:eastAsia="Arial" w:hAnsi="Arial"/>
          <w:sz w:val="12"/>
          <w:szCs w:val="12"/>
          <w:color w:val="auto"/>
        </w:rPr>
        <w:t>Uniti Group Inc. Schedule III – Schedule of Real Estate Investments and Accumulated Depreciation as of December 31, 2018 appearing on page S-6 of this report.</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620" w:type="dxa"/>
            <w:vAlign w:val="bottom"/>
            <w:gridSpan w:val="2"/>
          </w:tcPr>
          <w:p>
            <w:pPr>
              <w:spacing w:after="0"/>
              <w:rPr>
                <w:sz w:val="20"/>
                <w:szCs w:val="20"/>
                <w:color w:val="auto"/>
              </w:rPr>
            </w:pPr>
            <w:r>
              <w:rPr>
                <w:rFonts w:ascii="Arial" w:cs="Arial" w:eastAsia="Arial" w:hAnsi="Arial"/>
                <w:sz w:val="12"/>
                <w:szCs w:val="12"/>
                <w:b w:val="1"/>
                <w:bCs w:val="1"/>
                <w:color w:val="auto"/>
              </w:rPr>
              <w:t>Index to Exhibits</w:t>
            </w:r>
          </w:p>
        </w:tc>
        <w:tc>
          <w:tcPr>
            <w:tcW w:w="21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2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r>
      <w:tr>
        <w:trPr>
          <w:trHeight w:val="302"/>
        </w:trPr>
        <w:tc>
          <w:tcPr>
            <w:tcW w:w="1620" w:type="dxa"/>
            <w:vAlign w:val="bottom"/>
            <w:gridSpan w:val="2"/>
          </w:tcPr>
          <w:p>
            <w:pPr>
              <w:ind w:left="320"/>
              <w:spacing w:after="0"/>
              <w:rPr>
                <w:sz w:val="20"/>
                <w:szCs w:val="20"/>
                <w:color w:val="auto"/>
              </w:rPr>
            </w:pPr>
            <w:r>
              <w:rPr>
                <w:rFonts w:ascii="Arial" w:cs="Arial" w:eastAsia="Arial" w:hAnsi="Arial"/>
                <w:sz w:val="12"/>
                <w:szCs w:val="12"/>
                <w:b w:val="1"/>
                <w:bCs w:val="1"/>
                <w:color w:val="auto"/>
              </w:rPr>
              <w:t>Exhibit No.</w:t>
            </w:r>
          </w:p>
        </w:tc>
        <w:tc>
          <w:tcPr>
            <w:tcW w:w="2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300" w:type="dxa"/>
            <w:vAlign w:val="bottom"/>
            <w:gridSpan w:val="13"/>
          </w:tcPr>
          <w:p>
            <w:pPr>
              <w:ind w:left="2060"/>
              <w:spacing w:after="0"/>
              <w:rPr>
                <w:sz w:val="20"/>
                <w:szCs w:val="20"/>
                <w:color w:val="auto"/>
              </w:rPr>
            </w:pPr>
            <w:r>
              <w:rPr>
                <w:rFonts w:ascii="Arial" w:cs="Arial" w:eastAsia="Arial" w:hAnsi="Arial"/>
                <w:sz w:val="12"/>
                <w:szCs w:val="12"/>
                <w:b w:val="1"/>
                <w:bCs w:val="1"/>
                <w:color w:val="auto"/>
              </w:rPr>
              <w:t>Description</w:t>
            </w:r>
          </w:p>
        </w:tc>
      </w:tr>
      <w:tr>
        <w:trPr>
          <w:trHeight w:val="120"/>
        </w:trPr>
        <w:tc>
          <w:tcPr>
            <w:tcW w:w="1260" w:type="dxa"/>
            <w:vAlign w:val="bottom"/>
            <w:tcBorders>
              <w:top w:val="single" w:sz="8" w:color="auto"/>
            </w:tcBorders>
          </w:tcPr>
          <w:p>
            <w:pPr>
              <w:spacing w:after="0" w:line="120" w:lineRule="exact"/>
              <w:rPr>
                <w:sz w:val="20"/>
                <w:szCs w:val="20"/>
                <w:color w:val="auto"/>
              </w:rPr>
            </w:pPr>
            <w:r>
              <w:rPr>
                <w:rFonts w:ascii="Arial" w:cs="Arial" w:eastAsia="Arial" w:hAnsi="Arial"/>
                <w:sz w:val="12"/>
                <w:szCs w:val="12"/>
                <w:color w:val="auto"/>
              </w:rPr>
              <w:t>2.1</w:t>
            </w:r>
          </w:p>
        </w:tc>
        <w:tc>
          <w:tcPr>
            <w:tcW w:w="360" w:type="dxa"/>
            <w:vAlign w:val="bottom"/>
          </w:tcPr>
          <w:p>
            <w:pPr>
              <w:spacing w:after="0"/>
              <w:rPr>
                <w:sz w:val="10"/>
                <w:szCs w:val="10"/>
                <w:color w:val="auto"/>
              </w:rPr>
            </w:pPr>
          </w:p>
        </w:tc>
        <w:tc>
          <w:tcPr>
            <w:tcW w:w="9640" w:type="dxa"/>
            <w:vAlign w:val="bottom"/>
            <w:tcBorders>
              <w:top w:val="single" w:sz="8" w:color="auto"/>
              <w:bottom w:val="single" w:sz="8" w:color="0000EE"/>
            </w:tcBorders>
            <w:gridSpan w:val="9"/>
          </w:tcPr>
          <w:p>
            <w:pPr>
              <w:spacing w:after="0" w:line="120" w:lineRule="exact"/>
              <w:rPr>
                <w:rFonts w:ascii="Arial" w:cs="Arial" w:eastAsia="Arial" w:hAnsi="Arial"/>
                <w:sz w:val="12"/>
                <w:szCs w:val="12"/>
                <w:color w:val="0000EE"/>
                <w:w w:val="91"/>
              </w:rPr>
            </w:pPr>
            <w:hyperlink r:id="rId143">
              <w:r>
                <w:rPr>
                  <w:rFonts w:ascii="Arial" w:cs="Arial" w:eastAsia="Arial" w:hAnsi="Arial"/>
                  <w:sz w:val="12"/>
                  <w:szCs w:val="12"/>
                  <w:color w:val="0000EE"/>
                  <w:w w:val="91"/>
                </w:rPr>
                <w:t>Separation and Distribution Agreement, dated as of March 26, 2015, by and among Windstream Holdings, Inc., Windstream Services, LLC and Communications Sales &amp; Leasing, Inc. (incorporated by</w:t>
              </w:r>
            </w:hyperlink>
          </w:p>
        </w:tc>
        <w:tc>
          <w:tcPr>
            <w:tcW w:w="240" w:type="dxa"/>
            <w:vAlign w:val="bottom"/>
            <w:tcBorders>
              <w:top w:val="single" w:sz="8" w:color="auto"/>
            </w:tcBorders>
            <w:gridSpan w:val="6"/>
          </w:tcPr>
          <w:p>
            <w:pPr>
              <w:spacing w:after="0"/>
              <w:rPr>
                <w:sz w:val="10"/>
                <w:szCs w:val="10"/>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5"/>
          </w:tcPr>
          <w:p>
            <w:pPr>
              <w:spacing w:after="0" w:line="124" w:lineRule="exact"/>
              <w:rPr>
                <w:rFonts w:ascii="Arial" w:cs="Arial" w:eastAsia="Arial" w:hAnsi="Arial"/>
                <w:sz w:val="12"/>
                <w:szCs w:val="12"/>
                <w:color w:val="0000EE"/>
              </w:rPr>
            </w:pPr>
            <w:hyperlink r:id="rId143">
              <w:r>
                <w:rPr>
                  <w:rFonts w:ascii="Arial" w:cs="Arial" w:eastAsia="Arial" w:hAnsi="Arial"/>
                  <w:sz w:val="12"/>
                  <w:szCs w:val="12"/>
                  <w:color w:val="0000EE"/>
                </w:rPr>
                <w:t>reference to Exhibit 2.1 to the Company’s Current Report on Form 8-K dated and filed with the SEC as of March 26, 2015 (File No. 001-36708))</w:t>
              </w:r>
            </w:hyperlink>
          </w:p>
        </w:tc>
      </w:tr>
      <w:tr>
        <w:trPr>
          <w:trHeight w:val="20"/>
        </w:trPr>
        <w:tc>
          <w:tcPr>
            <w:tcW w:w="1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42"/>
        </w:trPr>
        <w:tc>
          <w:tcPr>
            <w:tcW w:w="1260" w:type="dxa"/>
            <w:vAlign w:val="bottom"/>
          </w:tcPr>
          <w:p>
            <w:pPr>
              <w:spacing w:after="0"/>
              <w:rPr>
                <w:sz w:val="20"/>
                <w:szCs w:val="20"/>
                <w:color w:val="auto"/>
              </w:rPr>
            </w:pPr>
            <w:r>
              <w:rPr>
                <w:rFonts w:ascii="Arial" w:cs="Arial" w:eastAsia="Arial" w:hAnsi="Arial"/>
                <w:sz w:val="12"/>
                <w:szCs w:val="12"/>
                <w:color w:val="auto"/>
              </w:rPr>
              <w:t>2.2</w:t>
            </w:r>
          </w:p>
        </w:tc>
        <w:tc>
          <w:tcPr>
            <w:tcW w:w="360" w:type="dxa"/>
            <w:vAlign w:val="bottom"/>
          </w:tcPr>
          <w:p>
            <w:pPr>
              <w:spacing w:after="0"/>
              <w:rPr>
                <w:sz w:val="12"/>
                <w:szCs w:val="12"/>
                <w:color w:val="auto"/>
              </w:rPr>
            </w:pPr>
          </w:p>
        </w:tc>
        <w:tc>
          <w:tcPr>
            <w:tcW w:w="9740" w:type="dxa"/>
            <w:vAlign w:val="bottom"/>
            <w:tcBorders>
              <w:bottom w:val="single" w:sz="8" w:color="0000EE"/>
            </w:tcBorders>
            <w:gridSpan w:val="12"/>
          </w:tcPr>
          <w:p>
            <w:pPr>
              <w:spacing w:after="0"/>
              <w:rPr>
                <w:rFonts w:ascii="Arial" w:cs="Arial" w:eastAsia="Arial" w:hAnsi="Arial"/>
                <w:sz w:val="12"/>
                <w:szCs w:val="12"/>
                <w:color w:val="0000EE"/>
                <w:w w:val="91"/>
              </w:rPr>
            </w:pPr>
            <w:hyperlink r:id="rId144">
              <w:r>
                <w:rPr>
                  <w:rFonts w:ascii="Arial" w:cs="Arial" w:eastAsia="Arial" w:hAnsi="Arial"/>
                  <w:sz w:val="12"/>
                  <w:szCs w:val="12"/>
                  <w:color w:val="0000EE"/>
                  <w:w w:val="91"/>
                </w:rPr>
                <w:t>Agreement and Plan of Merger, dated as of January 7, 2016, by and among Communications Sales &amp; Leasing, Inc., CSL Bandwidth Inc., Penn Merger Sub, LLC, PEG Bandwidth, LLC, PEG Bandwidth</w:t>
              </w:r>
            </w:hyperlink>
          </w:p>
        </w:tc>
        <w:tc>
          <w:tcPr>
            <w:tcW w:w="140" w:type="dxa"/>
            <w:vAlign w:val="bottom"/>
            <w:gridSpan w:val="3"/>
          </w:tcPr>
          <w:p>
            <w:pPr>
              <w:spacing w:after="0"/>
              <w:rPr>
                <w:sz w:val="12"/>
                <w:szCs w:val="12"/>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5"/>
          </w:tcPr>
          <w:p>
            <w:pPr>
              <w:spacing w:after="0" w:line="124" w:lineRule="exact"/>
              <w:rPr>
                <w:rFonts w:ascii="Arial" w:cs="Arial" w:eastAsia="Arial" w:hAnsi="Arial"/>
                <w:sz w:val="12"/>
                <w:szCs w:val="12"/>
                <w:color w:val="0000EE"/>
                <w:w w:val="93"/>
              </w:rPr>
            </w:pPr>
            <w:hyperlink r:id="rId144">
              <w:r>
                <w:rPr>
                  <w:rFonts w:ascii="Arial" w:cs="Arial" w:eastAsia="Arial" w:hAnsi="Arial"/>
                  <w:sz w:val="12"/>
                  <w:szCs w:val="12"/>
                  <w:color w:val="0000EE"/>
                  <w:w w:val="93"/>
                </w:rPr>
                <w:t>Holdings, LLC, and PEG Bandwidth Holdings, LLC, as Unitholders’ Representative (incorporated by reference to Exhibit 2.1 to the Company’s Current Report on Form 8-K dated and filed with the SEC</w:t>
              </w:r>
            </w:hyperlink>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180" w:type="dxa"/>
            <w:vAlign w:val="bottom"/>
            <w:tcBorders>
              <w:top w:val="single" w:sz="8" w:color="0000EE"/>
              <w:bottom w:val="single" w:sz="8" w:color="0000EE"/>
            </w:tcBorders>
          </w:tcPr>
          <w:p>
            <w:pPr>
              <w:spacing w:after="0" w:line="124" w:lineRule="exact"/>
              <w:rPr>
                <w:rFonts w:ascii="Arial" w:cs="Arial" w:eastAsia="Arial" w:hAnsi="Arial"/>
                <w:sz w:val="12"/>
                <w:szCs w:val="12"/>
                <w:color w:val="0000EE"/>
                <w:w w:val="90"/>
              </w:rPr>
            </w:pPr>
            <w:hyperlink r:id="rId144">
              <w:r>
                <w:rPr>
                  <w:rFonts w:ascii="Arial" w:cs="Arial" w:eastAsia="Arial" w:hAnsi="Arial"/>
                  <w:sz w:val="12"/>
                  <w:szCs w:val="12"/>
                  <w:color w:val="0000EE"/>
                  <w:w w:val="90"/>
                </w:rPr>
                <w:t>as of January 12, 2016 (File No. 001-36708))</w:t>
              </w:r>
            </w:hyperlink>
          </w:p>
        </w:tc>
        <w:tc>
          <w:tcPr>
            <w:tcW w:w="7580" w:type="dxa"/>
            <w:vAlign w:val="bottom"/>
            <w:tcBorders>
              <w:top w:val="single" w:sz="8" w:color="0000EE"/>
            </w:tcBorders>
            <w:gridSpan w:val="12"/>
          </w:tcPr>
          <w:p>
            <w:pPr>
              <w:spacing w:after="0"/>
              <w:rPr>
                <w:sz w:val="10"/>
                <w:szCs w:val="10"/>
                <w:color w:val="auto"/>
              </w:rPr>
            </w:pPr>
          </w:p>
        </w:tc>
        <w:tc>
          <w:tcPr>
            <w:tcW w:w="120" w:type="dxa"/>
            <w:vAlign w:val="bottom"/>
            <w:gridSpan w:val="2"/>
          </w:tcPr>
          <w:p>
            <w:pPr>
              <w:spacing w:after="0"/>
              <w:rPr>
                <w:sz w:val="10"/>
                <w:szCs w:val="10"/>
                <w:color w:val="auto"/>
              </w:rPr>
            </w:pPr>
          </w:p>
        </w:tc>
      </w:tr>
      <w:tr>
        <w:trPr>
          <w:trHeight w:val="142"/>
        </w:trPr>
        <w:tc>
          <w:tcPr>
            <w:tcW w:w="1260" w:type="dxa"/>
            <w:vAlign w:val="bottom"/>
          </w:tcPr>
          <w:p>
            <w:pPr>
              <w:spacing w:after="0"/>
              <w:rPr>
                <w:sz w:val="20"/>
                <w:szCs w:val="20"/>
                <w:color w:val="auto"/>
              </w:rPr>
            </w:pPr>
            <w:r>
              <w:rPr>
                <w:rFonts w:ascii="Arial" w:cs="Arial" w:eastAsia="Arial" w:hAnsi="Arial"/>
                <w:sz w:val="12"/>
                <w:szCs w:val="12"/>
                <w:color w:val="auto"/>
              </w:rPr>
              <w:t>2.3**</w:t>
            </w:r>
          </w:p>
        </w:tc>
        <w:tc>
          <w:tcPr>
            <w:tcW w:w="360" w:type="dxa"/>
            <w:vAlign w:val="bottom"/>
          </w:tcPr>
          <w:p>
            <w:pPr>
              <w:spacing w:after="0"/>
              <w:rPr>
                <w:sz w:val="12"/>
                <w:szCs w:val="12"/>
                <w:color w:val="auto"/>
              </w:rPr>
            </w:pPr>
          </w:p>
        </w:tc>
        <w:tc>
          <w:tcPr>
            <w:tcW w:w="9880" w:type="dxa"/>
            <w:vAlign w:val="bottom"/>
            <w:gridSpan w:val="15"/>
          </w:tcPr>
          <w:p>
            <w:pPr>
              <w:spacing w:after="0"/>
              <w:rPr>
                <w:rFonts w:ascii="Arial" w:cs="Arial" w:eastAsia="Arial" w:hAnsi="Arial"/>
                <w:sz w:val="12"/>
                <w:szCs w:val="12"/>
                <w:color w:val="0000EE"/>
                <w:w w:val="93"/>
              </w:rPr>
            </w:pPr>
            <w:hyperlink r:id="rId145">
              <w:r>
                <w:rPr>
                  <w:rFonts w:ascii="Arial" w:cs="Arial" w:eastAsia="Arial" w:hAnsi="Arial"/>
                  <w:sz w:val="12"/>
                  <w:szCs w:val="12"/>
                  <w:color w:val="0000EE"/>
                  <w:w w:val="93"/>
                </w:rPr>
                <w:t>Agreement and Plan of Merger, dated as of June 20, 2016, by and among Communications Sales &amp; Leasing, Inc., CSL Fiber Holdings LLC, Thor Merger Sub, Inc., Tower Cloud, Inc. and Shareholder</w:t>
              </w:r>
            </w:hyperlink>
          </w:p>
        </w:tc>
      </w:tr>
      <w:tr>
        <w:trPr>
          <w:trHeight w:val="20"/>
        </w:trPr>
        <w:tc>
          <w:tcPr>
            <w:tcW w:w="1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580" w:type="dxa"/>
            <w:vAlign w:val="bottom"/>
            <w:gridSpan w:val="2"/>
            <w:shd w:val="clear" w:color="auto" w:fill="0000EE"/>
          </w:tcPr>
          <w:p>
            <w:pPr>
              <w:spacing w:after="0" w:line="20" w:lineRule="exact"/>
              <w:rPr>
                <w:sz w:val="1"/>
                <w:szCs w:val="1"/>
                <w:color w:val="auto"/>
              </w:rPr>
            </w:pPr>
          </w:p>
        </w:tc>
        <w:tc>
          <w:tcPr>
            <w:tcW w:w="22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12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20" w:type="dxa"/>
            <w:vAlign w:val="bottom"/>
            <w:tcBorders>
              <w:bottom w:val="single" w:sz="8" w:color="0000EE"/>
            </w:tcBorders>
            <w:gridSpan w:val="11"/>
          </w:tcPr>
          <w:p>
            <w:pPr>
              <w:spacing w:after="0" w:line="124" w:lineRule="exact"/>
              <w:rPr>
                <w:rFonts w:ascii="Arial" w:cs="Arial" w:eastAsia="Arial" w:hAnsi="Arial"/>
                <w:sz w:val="12"/>
                <w:szCs w:val="12"/>
                <w:color w:val="0000EE"/>
                <w:w w:val="91"/>
              </w:rPr>
            </w:pPr>
            <w:hyperlink r:id="rId145">
              <w:r>
                <w:rPr>
                  <w:rFonts w:ascii="Arial" w:cs="Arial" w:eastAsia="Arial" w:hAnsi="Arial"/>
                  <w:sz w:val="12"/>
                  <w:szCs w:val="12"/>
                  <w:color w:val="0000EE"/>
                  <w:w w:val="91"/>
                </w:rPr>
                <w:t>Representative Services LLC, as representative of the equityholders of Tower Cloud, Inc. (incorporated by reference to Exhibit 2.1 to the Company’s Quarterly Report on Form 10-Q dated and filed with</w:t>
              </w:r>
            </w:hyperlink>
          </w:p>
        </w:tc>
        <w:tc>
          <w:tcPr>
            <w:tcW w:w="160" w:type="dxa"/>
            <w:vAlign w:val="bottom"/>
            <w:gridSpan w:val="4"/>
          </w:tcPr>
          <w:p>
            <w:pPr>
              <w:spacing w:after="0"/>
              <w:rPr>
                <w:sz w:val="10"/>
                <w:szCs w:val="10"/>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580" w:type="dxa"/>
            <w:vAlign w:val="bottom"/>
            <w:tcBorders>
              <w:bottom w:val="single" w:sz="8" w:color="0000EE"/>
            </w:tcBorders>
            <w:gridSpan w:val="2"/>
          </w:tcPr>
          <w:p>
            <w:pPr>
              <w:spacing w:after="0" w:line="124" w:lineRule="exact"/>
              <w:rPr>
                <w:rFonts w:ascii="Arial" w:cs="Arial" w:eastAsia="Arial" w:hAnsi="Arial"/>
                <w:sz w:val="12"/>
                <w:szCs w:val="12"/>
                <w:color w:val="0000EE"/>
                <w:w w:val="90"/>
              </w:rPr>
            </w:pPr>
            <w:hyperlink r:id="rId145">
              <w:r>
                <w:rPr>
                  <w:rFonts w:ascii="Arial" w:cs="Arial" w:eastAsia="Arial" w:hAnsi="Arial"/>
                  <w:sz w:val="12"/>
                  <w:szCs w:val="12"/>
                  <w:color w:val="0000EE"/>
                  <w:w w:val="90"/>
                </w:rPr>
                <w:t>the SEC as of August 11, 2016 (File No. 001-36708))</w:t>
              </w:r>
            </w:hyperlink>
          </w:p>
        </w:tc>
        <w:tc>
          <w:tcPr>
            <w:tcW w:w="7300" w:type="dxa"/>
            <w:vAlign w:val="bottom"/>
            <w:gridSpan w:val="13"/>
          </w:tcPr>
          <w:p>
            <w:pPr>
              <w:spacing w:after="0"/>
              <w:rPr>
                <w:sz w:val="10"/>
                <w:szCs w:val="10"/>
                <w:color w:val="auto"/>
              </w:rPr>
            </w:pPr>
          </w:p>
        </w:tc>
      </w:tr>
      <w:tr>
        <w:trPr>
          <w:trHeight w:val="142"/>
        </w:trPr>
        <w:tc>
          <w:tcPr>
            <w:tcW w:w="1260" w:type="dxa"/>
            <w:vAlign w:val="bottom"/>
          </w:tcPr>
          <w:p>
            <w:pPr>
              <w:spacing w:after="0"/>
              <w:rPr>
                <w:sz w:val="20"/>
                <w:szCs w:val="20"/>
                <w:color w:val="auto"/>
              </w:rPr>
            </w:pPr>
            <w:r>
              <w:rPr>
                <w:rFonts w:ascii="Arial" w:cs="Arial" w:eastAsia="Arial" w:hAnsi="Arial"/>
                <w:sz w:val="12"/>
                <w:szCs w:val="12"/>
                <w:color w:val="auto"/>
              </w:rPr>
              <w:t>2.4</w:t>
            </w:r>
          </w:p>
        </w:tc>
        <w:tc>
          <w:tcPr>
            <w:tcW w:w="360" w:type="dxa"/>
            <w:vAlign w:val="bottom"/>
          </w:tcPr>
          <w:p>
            <w:pPr>
              <w:spacing w:after="0"/>
              <w:rPr>
                <w:sz w:val="12"/>
                <w:szCs w:val="12"/>
                <w:color w:val="auto"/>
              </w:rPr>
            </w:pPr>
          </w:p>
        </w:tc>
        <w:tc>
          <w:tcPr>
            <w:tcW w:w="9880" w:type="dxa"/>
            <w:vAlign w:val="bottom"/>
            <w:gridSpan w:val="15"/>
          </w:tcPr>
          <w:p>
            <w:pPr>
              <w:spacing w:after="0"/>
              <w:rPr>
                <w:rFonts w:ascii="Arial" w:cs="Arial" w:eastAsia="Arial" w:hAnsi="Arial"/>
                <w:sz w:val="12"/>
                <w:szCs w:val="12"/>
                <w:color w:val="0000EE"/>
                <w:w w:val="93"/>
              </w:rPr>
            </w:pPr>
            <w:hyperlink r:id="rId146">
              <w:r>
                <w:rPr>
                  <w:rFonts w:ascii="Arial" w:cs="Arial" w:eastAsia="Arial" w:hAnsi="Arial"/>
                  <w:sz w:val="12"/>
                  <w:szCs w:val="12"/>
                  <w:color w:val="0000EE"/>
                  <w:w w:val="93"/>
                </w:rPr>
                <w:t>First Amendment, dated as of August 11, 2016, to the Agreement and Plan of Merger, dated as of June 20, 2016, by and among Communications Sales &amp; Leasing, Inc., CSL Fiber Holdings LLC, Thor</w:t>
              </w:r>
            </w:hyperlink>
          </w:p>
        </w:tc>
      </w:tr>
      <w:tr>
        <w:trPr>
          <w:trHeight w:val="20"/>
        </w:trPr>
        <w:tc>
          <w:tcPr>
            <w:tcW w:w="1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780" w:type="dxa"/>
            <w:vAlign w:val="bottom"/>
            <w:gridSpan w:val="3"/>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140" w:type="dxa"/>
            <w:vAlign w:val="bottom"/>
            <w:gridSpan w:val="3"/>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5"/>
          </w:tcPr>
          <w:p>
            <w:pPr>
              <w:spacing w:after="0" w:line="124" w:lineRule="exact"/>
              <w:rPr>
                <w:rFonts w:ascii="Arial" w:cs="Arial" w:eastAsia="Arial" w:hAnsi="Arial"/>
                <w:sz w:val="12"/>
                <w:szCs w:val="12"/>
                <w:color w:val="0000EE"/>
                <w:w w:val="92"/>
              </w:rPr>
            </w:pPr>
            <w:hyperlink r:id="rId146">
              <w:r>
                <w:rPr>
                  <w:rFonts w:ascii="Arial" w:cs="Arial" w:eastAsia="Arial" w:hAnsi="Arial"/>
                  <w:sz w:val="12"/>
                  <w:szCs w:val="12"/>
                  <w:color w:val="0000EE"/>
                  <w:w w:val="92"/>
                </w:rPr>
                <w:t>Merger Sub, Inc., Tower Cloud, Inc. and Shareholder Representative Services LLC, as representative of the equityholders of Tower Cloud, Inc. (incorporated by reference to Exhibit 2.2 to the Company’s</w:t>
              </w:r>
            </w:hyperlink>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40" w:type="dxa"/>
            <w:vAlign w:val="bottom"/>
            <w:tcBorders>
              <w:top w:val="single" w:sz="8" w:color="0000EE"/>
            </w:tcBorders>
            <w:gridSpan w:val="12"/>
          </w:tcPr>
          <w:p>
            <w:pPr>
              <w:spacing w:after="0" w:line="124" w:lineRule="exact"/>
              <w:rPr>
                <w:rFonts w:ascii="Arial" w:cs="Arial" w:eastAsia="Arial" w:hAnsi="Arial"/>
                <w:sz w:val="12"/>
                <w:szCs w:val="12"/>
                <w:color w:val="0000EE"/>
              </w:rPr>
            </w:pPr>
            <w:hyperlink r:id="rId146">
              <w:r>
                <w:rPr>
                  <w:rFonts w:ascii="Arial" w:cs="Arial" w:eastAsia="Arial" w:hAnsi="Arial"/>
                  <w:sz w:val="12"/>
                  <w:szCs w:val="12"/>
                  <w:color w:val="0000EE"/>
                </w:rPr>
                <w:t>Quarterly Report on Form 10-Q dated and filed with the SEC as of August 11, 2016 (File No. 001-36708))</w:t>
              </w:r>
            </w:hyperlink>
          </w:p>
        </w:tc>
        <w:tc>
          <w:tcPr>
            <w:tcW w:w="140" w:type="dxa"/>
            <w:vAlign w:val="bottom"/>
            <w:gridSpan w:val="3"/>
          </w:tcPr>
          <w:p>
            <w:pPr>
              <w:spacing w:after="0"/>
              <w:rPr>
                <w:sz w:val="10"/>
                <w:szCs w:val="10"/>
                <w:color w:val="auto"/>
              </w:rPr>
            </w:pPr>
          </w:p>
        </w:tc>
      </w:tr>
      <w:tr>
        <w:trPr>
          <w:trHeight w:val="20"/>
        </w:trPr>
        <w:tc>
          <w:tcPr>
            <w:tcW w:w="1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780" w:type="dxa"/>
            <w:vAlign w:val="bottom"/>
            <w:gridSpan w:val="3"/>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0" w:type="dxa"/>
            <w:vAlign w:val="bottom"/>
            <w:gridSpan w:val="5"/>
          </w:tcPr>
          <w:p>
            <w:pPr>
              <w:spacing w:after="0" w:line="20" w:lineRule="exact"/>
              <w:rPr>
                <w:sz w:val="1"/>
                <w:szCs w:val="1"/>
                <w:color w:val="auto"/>
              </w:rPr>
            </w:pPr>
          </w:p>
        </w:tc>
        <w:tc>
          <w:tcPr>
            <w:tcW w:w="1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14"/>
        </w:trPr>
        <w:tc>
          <w:tcPr>
            <w:tcW w:w="1260" w:type="dxa"/>
            <w:vAlign w:val="bottom"/>
          </w:tcPr>
          <w:p>
            <w:pPr>
              <w:spacing w:after="0"/>
              <w:rPr>
                <w:sz w:val="20"/>
                <w:szCs w:val="20"/>
                <w:color w:val="auto"/>
              </w:rPr>
            </w:pPr>
            <w:r>
              <w:rPr>
                <w:rFonts w:ascii="Arial" w:cs="Arial" w:eastAsia="Arial" w:hAnsi="Arial"/>
                <w:sz w:val="12"/>
                <w:szCs w:val="12"/>
                <w:color w:val="auto"/>
              </w:rPr>
              <w:t>2.5</w:t>
            </w:r>
          </w:p>
        </w:tc>
        <w:tc>
          <w:tcPr>
            <w:tcW w:w="360" w:type="dxa"/>
            <w:vAlign w:val="bottom"/>
          </w:tcPr>
          <w:p>
            <w:pPr>
              <w:spacing w:after="0"/>
              <w:rPr>
                <w:sz w:val="18"/>
                <w:szCs w:val="18"/>
                <w:color w:val="auto"/>
              </w:rPr>
            </w:pPr>
          </w:p>
        </w:tc>
        <w:tc>
          <w:tcPr>
            <w:tcW w:w="9660" w:type="dxa"/>
            <w:vAlign w:val="bottom"/>
            <w:tcBorders>
              <w:bottom w:val="single" w:sz="8" w:color="0000EE"/>
            </w:tcBorders>
            <w:gridSpan w:val="10"/>
          </w:tcPr>
          <w:p>
            <w:pPr>
              <w:spacing w:after="0"/>
              <w:rPr>
                <w:rFonts w:ascii="Arial" w:cs="Arial" w:eastAsia="Arial" w:hAnsi="Arial"/>
                <w:sz w:val="12"/>
                <w:szCs w:val="12"/>
                <w:color w:val="0000EE"/>
                <w:w w:val="91"/>
              </w:rPr>
            </w:pPr>
            <w:hyperlink r:id="rId147">
              <w:r>
                <w:rPr>
                  <w:rFonts w:ascii="Arial" w:cs="Arial" w:eastAsia="Arial" w:hAnsi="Arial"/>
                  <w:sz w:val="12"/>
                  <w:szCs w:val="12"/>
                  <w:color w:val="0000EE"/>
                  <w:w w:val="91"/>
                </w:rPr>
                <w:t>Membership Interests Purchase Agreement, dated as of April 7, 2017, by and among Uniti Group Inc., Uniti Fiber Holdings Inc. and SLF Holdings, LLC (incorporated by reference to Exhibit 2.1 to the</w:t>
              </w:r>
            </w:hyperlink>
          </w:p>
        </w:tc>
        <w:tc>
          <w:tcPr>
            <w:tcW w:w="220" w:type="dxa"/>
            <w:vAlign w:val="bottom"/>
            <w:gridSpan w:val="5"/>
          </w:tcPr>
          <w:p>
            <w:pPr>
              <w:spacing w:after="0"/>
              <w:rPr>
                <w:sz w:val="18"/>
                <w:szCs w:val="18"/>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5460" w:type="dxa"/>
            <w:vAlign w:val="bottom"/>
            <w:tcBorders>
              <w:bottom w:val="single" w:sz="8" w:color="0000EE"/>
            </w:tcBorders>
            <w:gridSpan w:val="5"/>
          </w:tcPr>
          <w:p>
            <w:pPr>
              <w:spacing w:after="0" w:line="124" w:lineRule="exact"/>
              <w:rPr>
                <w:rFonts w:ascii="Arial" w:cs="Arial" w:eastAsia="Arial" w:hAnsi="Arial"/>
                <w:sz w:val="12"/>
                <w:szCs w:val="12"/>
                <w:color w:val="0000EE"/>
                <w:w w:val="91"/>
              </w:rPr>
            </w:pPr>
            <w:hyperlink r:id="rId147">
              <w:r>
                <w:rPr>
                  <w:rFonts w:ascii="Arial" w:cs="Arial" w:eastAsia="Arial" w:hAnsi="Arial"/>
                  <w:sz w:val="12"/>
                  <w:szCs w:val="12"/>
                  <w:color w:val="0000EE"/>
                  <w:w w:val="91"/>
                </w:rPr>
                <w:t>Company’s Current Report on Form 8-K dated and filed with the SEC as of April 11, 2017 (File No. 001-36708))</w:t>
              </w:r>
            </w:hyperlink>
          </w:p>
        </w:tc>
        <w:tc>
          <w:tcPr>
            <w:tcW w:w="4420" w:type="dxa"/>
            <w:vAlign w:val="bottom"/>
            <w:gridSpan w:val="10"/>
          </w:tcPr>
          <w:p>
            <w:pPr>
              <w:spacing w:after="0"/>
              <w:rPr>
                <w:sz w:val="10"/>
                <w:szCs w:val="10"/>
                <w:color w:val="auto"/>
              </w:rPr>
            </w:pPr>
          </w:p>
        </w:tc>
      </w:tr>
      <w:tr>
        <w:trPr>
          <w:trHeight w:val="142"/>
        </w:trPr>
        <w:tc>
          <w:tcPr>
            <w:tcW w:w="1260" w:type="dxa"/>
            <w:vAlign w:val="bottom"/>
          </w:tcPr>
          <w:p>
            <w:pPr>
              <w:spacing w:after="0"/>
              <w:rPr>
                <w:sz w:val="20"/>
                <w:szCs w:val="20"/>
                <w:color w:val="auto"/>
              </w:rPr>
            </w:pPr>
            <w:r>
              <w:rPr>
                <w:rFonts w:ascii="Arial" w:cs="Arial" w:eastAsia="Arial" w:hAnsi="Arial"/>
                <w:sz w:val="12"/>
                <w:szCs w:val="12"/>
                <w:color w:val="auto"/>
              </w:rPr>
              <w:t>2.6</w:t>
            </w:r>
          </w:p>
        </w:tc>
        <w:tc>
          <w:tcPr>
            <w:tcW w:w="360" w:type="dxa"/>
            <w:vAlign w:val="bottom"/>
          </w:tcPr>
          <w:p>
            <w:pPr>
              <w:spacing w:after="0"/>
              <w:rPr>
                <w:sz w:val="12"/>
                <w:szCs w:val="12"/>
                <w:color w:val="auto"/>
              </w:rPr>
            </w:pPr>
          </w:p>
        </w:tc>
        <w:tc>
          <w:tcPr>
            <w:tcW w:w="9840" w:type="dxa"/>
            <w:vAlign w:val="bottom"/>
            <w:tcBorders>
              <w:bottom w:val="single" w:sz="8" w:color="0000EE"/>
            </w:tcBorders>
            <w:gridSpan w:val="14"/>
          </w:tcPr>
          <w:p>
            <w:pPr>
              <w:spacing w:after="0"/>
              <w:rPr>
                <w:rFonts w:ascii="Arial" w:cs="Arial" w:eastAsia="Arial" w:hAnsi="Arial"/>
                <w:sz w:val="12"/>
                <w:szCs w:val="12"/>
                <w:color w:val="0000EE"/>
                <w:w w:val="91"/>
              </w:rPr>
            </w:pPr>
            <w:hyperlink r:id="rId148">
              <w:r>
                <w:rPr>
                  <w:rFonts w:ascii="Arial" w:cs="Arial" w:eastAsia="Arial" w:hAnsi="Arial"/>
                  <w:sz w:val="12"/>
                  <w:szCs w:val="12"/>
                  <w:color w:val="0000EE"/>
                  <w:w w:val="91"/>
                </w:rPr>
                <w:t>Amended and Restated Agreement of Limited Partnership of Uniti Group LP, dated July 3, 2017, by and between Uniti and Uniti Group LP LLC (incorporated by reference to Exhibit 2.1 to the Company’s</w:t>
              </w:r>
            </w:hyperlink>
          </w:p>
        </w:tc>
        <w:tc>
          <w:tcPr>
            <w:tcW w:w="40" w:type="dxa"/>
            <w:vAlign w:val="bottom"/>
          </w:tcPr>
          <w:p>
            <w:pPr>
              <w:spacing w:after="0"/>
              <w:rPr>
                <w:sz w:val="12"/>
                <w:szCs w:val="12"/>
                <w:color w:val="auto"/>
              </w:rPr>
            </w:pPr>
          </w:p>
        </w:tc>
      </w:tr>
      <w:tr>
        <w:trPr>
          <w:trHeight w:val="124"/>
        </w:trPr>
        <w:tc>
          <w:tcPr>
            <w:tcW w:w="12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5"/>
          </w:tcPr>
          <w:p>
            <w:pPr>
              <w:spacing w:after="0" w:line="124" w:lineRule="exact"/>
              <w:rPr>
                <w:rFonts w:ascii="Arial" w:cs="Arial" w:eastAsia="Arial" w:hAnsi="Arial"/>
                <w:sz w:val="12"/>
                <w:szCs w:val="12"/>
                <w:color w:val="0000EE"/>
              </w:rPr>
            </w:pPr>
            <w:hyperlink r:id="rId148">
              <w:r>
                <w:rPr>
                  <w:rFonts w:ascii="Arial" w:cs="Arial" w:eastAsia="Arial" w:hAnsi="Arial"/>
                  <w:sz w:val="12"/>
                  <w:szCs w:val="12"/>
                  <w:color w:val="0000EE"/>
                </w:rPr>
                <w:t>Current Report on Form 8-K dated and filed with the SEC as of July 3, 2017 (File No. 001-36708))</w:t>
              </w:r>
            </w:hyperlink>
          </w:p>
        </w:tc>
      </w:tr>
      <w:tr>
        <w:trPr>
          <w:trHeight w:val="304"/>
        </w:trPr>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780" w:type="dxa"/>
            <w:vAlign w:val="bottom"/>
            <w:tcBorders>
              <w:top w:val="single" w:sz="8" w:color="0000EE"/>
            </w:tcBorders>
            <w:gridSpan w:val="3"/>
          </w:tcPr>
          <w:p>
            <w:pPr>
              <w:ind w:left="4020"/>
              <w:spacing w:after="0"/>
              <w:rPr>
                <w:sz w:val="20"/>
                <w:szCs w:val="20"/>
                <w:color w:val="auto"/>
              </w:rPr>
            </w:pPr>
            <w:r>
              <w:rPr>
                <w:rFonts w:ascii="Arial" w:cs="Arial" w:eastAsia="Arial" w:hAnsi="Arial"/>
                <w:sz w:val="12"/>
                <w:szCs w:val="12"/>
                <w:color w:val="auto"/>
              </w:rPr>
              <w:t>110</w:t>
            </w:r>
          </w:p>
        </w:tc>
        <w:tc>
          <w:tcPr>
            <w:tcW w:w="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72"/>
        </w:trPr>
        <w:tc>
          <w:tcPr>
            <w:tcW w:w="126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2180" w:type="dxa"/>
            <w:vAlign w:val="bottom"/>
            <w:tcBorders>
              <w:bottom w:val="single" w:sz="8" w:color="9A9A9A"/>
            </w:tcBorders>
          </w:tcPr>
          <w:p>
            <w:pPr>
              <w:spacing w:after="0"/>
              <w:rPr>
                <w:sz w:val="6"/>
                <w:szCs w:val="6"/>
                <w:color w:val="auto"/>
              </w:rPr>
            </w:pPr>
          </w:p>
        </w:tc>
        <w:tc>
          <w:tcPr>
            <w:tcW w:w="400" w:type="dxa"/>
            <w:vAlign w:val="bottom"/>
            <w:tcBorders>
              <w:bottom w:val="single" w:sz="8" w:color="9A9A9A"/>
            </w:tcBorders>
          </w:tcPr>
          <w:p>
            <w:pPr>
              <w:spacing w:after="0"/>
              <w:rPr>
                <w:sz w:val="6"/>
                <w:szCs w:val="6"/>
                <w:color w:val="auto"/>
              </w:rPr>
            </w:pPr>
          </w:p>
        </w:tc>
        <w:tc>
          <w:tcPr>
            <w:tcW w:w="2200" w:type="dxa"/>
            <w:vAlign w:val="bottom"/>
            <w:tcBorders>
              <w:bottom w:val="single" w:sz="8" w:color="9A9A9A"/>
            </w:tcBorders>
          </w:tcPr>
          <w:p>
            <w:pPr>
              <w:spacing w:after="0"/>
              <w:rPr>
                <w:sz w:val="6"/>
                <w:szCs w:val="6"/>
                <w:color w:val="auto"/>
              </w:rPr>
            </w:pPr>
          </w:p>
        </w:tc>
        <w:tc>
          <w:tcPr>
            <w:tcW w:w="340" w:type="dxa"/>
            <w:vAlign w:val="bottom"/>
            <w:tcBorders>
              <w:bottom w:val="single" w:sz="8" w:color="9A9A9A"/>
            </w:tcBorders>
          </w:tcPr>
          <w:p>
            <w:pPr>
              <w:spacing w:after="0"/>
              <w:rPr>
                <w:sz w:val="6"/>
                <w:szCs w:val="6"/>
                <w:color w:val="auto"/>
              </w:rPr>
            </w:pPr>
          </w:p>
        </w:tc>
        <w:tc>
          <w:tcPr>
            <w:tcW w:w="340" w:type="dxa"/>
            <w:vAlign w:val="bottom"/>
            <w:tcBorders>
              <w:bottom w:val="single" w:sz="8" w:color="9A9A9A"/>
            </w:tcBorders>
          </w:tcPr>
          <w:p>
            <w:pPr>
              <w:spacing w:after="0"/>
              <w:rPr>
                <w:sz w:val="6"/>
                <w:szCs w:val="6"/>
                <w:color w:val="auto"/>
              </w:rPr>
            </w:pPr>
          </w:p>
        </w:tc>
        <w:tc>
          <w:tcPr>
            <w:tcW w:w="1520" w:type="dxa"/>
            <w:vAlign w:val="bottom"/>
            <w:tcBorders>
              <w:bottom w:val="single" w:sz="8" w:color="9A9A9A"/>
            </w:tcBorders>
          </w:tcPr>
          <w:p>
            <w:pPr>
              <w:spacing w:after="0"/>
              <w:rPr>
                <w:sz w:val="6"/>
                <w:szCs w:val="6"/>
                <w:color w:val="auto"/>
              </w:rPr>
            </w:pPr>
          </w:p>
        </w:tc>
        <w:tc>
          <w:tcPr>
            <w:tcW w:w="260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9">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0">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0" w:right="179" w:bottom="1440" w:gutter="0" w:footer="0" w:header="0"/>
        </w:sectPr>
      </w:pPr>
    </w:p>
    <w:bookmarkStart w:id="110" w:name="page111"/>
    <w:bookmarkEnd w:id="110"/>
    <w:tbl>
      <w:tblPr>
        <w:tblLayout w:type="fixed"/>
        <w:tblInd w:w="0" w:type="dxa"/>
        <w:tblCellMar>
          <w:top w:w="0" w:type="dxa"/>
          <w:left w:w="0" w:type="dxa"/>
          <w:bottom w:w="0" w:type="dxa"/>
          <w:right w:w="0" w:type="dxa"/>
        </w:tblCellMar>
      </w:tblPr>
      <w:tr>
        <w:trPr>
          <w:trHeight w:val="138"/>
        </w:trPr>
        <w:tc>
          <w:tcPr>
            <w:tcW w:w="1620" w:type="dxa"/>
            <w:vAlign w:val="bottom"/>
            <w:gridSpan w:val="3"/>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3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6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0"/>
        </w:trPr>
        <w:tc>
          <w:tcPr>
            <w:tcW w:w="840" w:type="dxa"/>
            <w:vAlign w:val="bottom"/>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37"/>
        </w:trPr>
        <w:tc>
          <w:tcPr>
            <w:tcW w:w="1620" w:type="dxa"/>
            <w:vAlign w:val="bottom"/>
            <w:gridSpan w:val="3"/>
          </w:tcPr>
          <w:p>
            <w:pPr>
              <w:ind w:left="320"/>
              <w:spacing w:after="0"/>
              <w:rPr>
                <w:sz w:val="20"/>
                <w:szCs w:val="20"/>
                <w:color w:val="auto"/>
              </w:rPr>
            </w:pPr>
            <w:r>
              <w:rPr>
                <w:rFonts w:ascii="Arial" w:cs="Arial" w:eastAsia="Arial" w:hAnsi="Arial"/>
                <w:sz w:val="12"/>
                <w:szCs w:val="12"/>
                <w:b w:val="1"/>
                <w:bCs w:val="1"/>
                <w:color w:val="auto"/>
              </w:rPr>
              <w:t>Exhibit No.</w:t>
            </w: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6500" w:type="dxa"/>
            <w:vAlign w:val="bottom"/>
            <w:gridSpan w:val="11"/>
          </w:tcPr>
          <w:p>
            <w:pPr>
              <w:ind w:left="1260"/>
              <w:spacing w:after="0"/>
              <w:rPr>
                <w:sz w:val="20"/>
                <w:szCs w:val="20"/>
                <w:color w:val="auto"/>
              </w:rPr>
            </w:pPr>
            <w:r>
              <w:rPr>
                <w:rFonts w:ascii="Arial" w:cs="Arial" w:eastAsia="Arial" w:hAnsi="Arial"/>
                <w:sz w:val="12"/>
                <w:szCs w:val="12"/>
                <w:b w:val="1"/>
                <w:bCs w:val="1"/>
                <w:color w:val="auto"/>
              </w:rPr>
              <w:t>Description</w:t>
            </w:r>
          </w:p>
        </w:tc>
      </w:tr>
      <w:tr>
        <w:trPr>
          <w:trHeight w:val="120"/>
        </w:trPr>
        <w:tc>
          <w:tcPr>
            <w:tcW w:w="840" w:type="dxa"/>
            <w:vAlign w:val="bottom"/>
            <w:tcBorders>
              <w:top w:val="single" w:sz="8" w:color="auto"/>
            </w:tcBorders>
          </w:tcPr>
          <w:p>
            <w:pPr>
              <w:spacing w:after="0" w:line="120" w:lineRule="exact"/>
              <w:rPr>
                <w:sz w:val="20"/>
                <w:szCs w:val="20"/>
                <w:color w:val="auto"/>
              </w:rPr>
            </w:pPr>
            <w:r>
              <w:rPr>
                <w:rFonts w:ascii="Arial" w:cs="Arial" w:eastAsia="Arial" w:hAnsi="Arial"/>
                <w:sz w:val="12"/>
                <w:szCs w:val="12"/>
                <w:color w:val="auto"/>
              </w:rPr>
              <w:t>3.1</w:t>
            </w:r>
          </w:p>
        </w:tc>
        <w:tc>
          <w:tcPr>
            <w:tcW w:w="420" w:type="dxa"/>
            <w:vAlign w:val="bottom"/>
            <w:tcBorders>
              <w:top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tcBorders>
              <w:top w:val="single" w:sz="8" w:color="auto"/>
            </w:tcBorders>
            <w:gridSpan w:val="19"/>
          </w:tcPr>
          <w:p>
            <w:pPr>
              <w:spacing w:after="0" w:line="120" w:lineRule="exact"/>
              <w:rPr>
                <w:rFonts w:ascii="Arial" w:cs="Arial" w:eastAsia="Arial" w:hAnsi="Arial"/>
                <w:sz w:val="12"/>
                <w:szCs w:val="12"/>
                <w:color w:val="0000EE"/>
                <w:w w:val="91"/>
              </w:rPr>
            </w:pPr>
            <w:hyperlink r:id="rId151">
              <w:r>
                <w:rPr>
                  <w:rFonts w:ascii="Arial" w:cs="Arial" w:eastAsia="Arial" w:hAnsi="Arial"/>
                  <w:sz w:val="12"/>
                  <w:szCs w:val="12"/>
                  <w:color w:val="0000EE"/>
                  <w:w w:val="91"/>
                </w:rPr>
                <w:t>Articles of Amendment and Restatement of Communications Sales &amp; Leasing, Inc. (incorporated by reference to Exhibit 3.1 to the Company’s Current Report on Form 8-K dated and filed with the SEC as</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20" w:type="dxa"/>
            <w:vAlign w:val="bottom"/>
            <w:tcBorders>
              <w:top w:val="single" w:sz="8" w:color="0000EE"/>
            </w:tcBorders>
            <w:gridSpan w:val="16"/>
          </w:tcPr>
          <w:p>
            <w:pPr>
              <w:spacing w:after="0" w:line="124" w:lineRule="exact"/>
              <w:rPr>
                <w:rFonts w:ascii="Arial" w:cs="Arial" w:eastAsia="Arial" w:hAnsi="Arial"/>
                <w:sz w:val="12"/>
                <w:szCs w:val="12"/>
                <w:color w:val="0000EE"/>
              </w:rPr>
            </w:pPr>
            <w:hyperlink r:id="rId151">
              <w:r>
                <w:rPr>
                  <w:rFonts w:ascii="Arial" w:cs="Arial" w:eastAsia="Arial" w:hAnsi="Arial"/>
                  <w:sz w:val="12"/>
                  <w:szCs w:val="12"/>
                  <w:color w:val="0000EE"/>
                </w:rPr>
                <w:t>of April 10, 2015 (File No. 001-36708))</w:t>
              </w:r>
            </w:hyperlink>
          </w:p>
        </w:tc>
        <w:tc>
          <w:tcPr>
            <w:tcW w:w="60" w:type="dxa"/>
            <w:vAlign w:val="bottom"/>
            <w:gridSpan w:val="3"/>
          </w:tcPr>
          <w:p>
            <w:pPr>
              <w:spacing w:after="0"/>
              <w:rPr>
                <w:sz w:val="10"/>
                <w:szCs w:val="10"/>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3.2</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780" w:type="dxa"/>
            <w:vAlign w:val="bottom"/>
            <w:tcBorders>
              <w:bottom w:val="single" w:sz="8" w:color="0000EE"/>
            </w:tcBorders>
            <w:gridSpan w:val="15"/>
          </w:tcPr>
          <w:p>
            <w:pPr>
              <w:spacing w:after="0"/>
              <w:rPr>
                <w:rFonts w:ascii="Arial" w:cs="Arial" w:eastAsia="Arial" w:hAnsi="Arial"/>
                <w:sz w:val="12"/>
                <w:szCs w:val="12"/>
                <w:color w:val="0000EE"/>
                <w:w w:val="91"/>
              </w:rPr>
            </w:pPr>
            <w:hyperlink r:id="rId152">
              <w:r>
                <w:rPr>
                  <w:rFonts w:ascii="Arial" w:cs="Arial" w:eastAsia="Arial" w:hAnsi="Arial"/>
                  <w:sz w:val="12"/>
                  <w:szCs w:val="12"/>
                  <w:color w:val="0000EE"/>
                  <w:w w:val="91"/>
                </w:rPr>
                <w:t>Articles of Amendment of Communications Sales &amp; Leasing, Inc. (incorporated by reference to Exhibit 3.1 to the Company’s Current Report on Form 8-K dated and filed with the SEC as of February 28,</w:t>
              </w:r>
            </w:hyperlink>
          </w:p>
        </w:tc>
        <w:tc>
          <w:tcPr>
            <w:tcW w:w="100" w:type="dxa"/>
            <w:vAlign w:val="bottom"/>
            <w:gridSpan w:val="4"/>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360" w:type="dxa"/>
            <w:vAlign w:val="bottom"/>
            <w:tcBorders>
              <w:bottom w:val="single" w:sz="8" w:color="0000EE"/>
            </w:tcBorders>
            <w:gridSpan w:val="5"/>
          </w:tcPr>
          <w:p>
            <w:pPr>
              <w:spacing w:after="0" w:line="124" w:lineRule="exact"/>
              <w:rPr>
                <w:rFonts w:ascii="Arial" w:cs="Arial" w:eastAsia="Arial" w:hAnsi="Arial"/>
                <w:sz w:val="12"/>
                <w:szCs w:val="12"/>
                <w:color w:val="0000EE"/>
                <w:w w:val="92"/>
              </w:rPr>
            </w:pPr>
            <w:hyperlink r:id="rId152">
              <w:r>
                <w:rPr>
                  <w:rFonts w:ascii="Arial" w:cs="Arial" w:eastAsia="Arial" w:hAnsi="Arial"/>
                  <w:sz w:val="12"/>
                  <w:szCs w:val="12"/>
                  <w:color w:val="0000EE"/>
                  <w:w w:val="92"/>
                </w:rPr>
                <w:t>2017 (File No. 001-36708))</w:t>
              </w:r>
            </w:hyperlink>
          </w:p>
        </w:tc>
        <w:tc>
          <w:tcPr>
            <w:tcW w:w="8520" w:type="dxa"/>
            <w:vAlign w:val="bottom"/>
            <w:gridSpan w:val="14"/>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3.3</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60" w:type="dxa"/>
            <w:vAlign w:val="bottom"/>
            <w:tcBorders>
              <w:bottom w:val="single" w:sz="8" w:color="0000EE"/>
            </w:tcBorders>
            <w:gridSpan w:val="18"/>
          </w:tcPr>
          <w:p>
            <w:pPr>
              <w:spacing w:after="0"/>
              <w:rPr>
                <w:rFonts w:ascii="Arial" w:cs="Arial" w:eastAsia="Arial" w:hAnsi="Arial"/>
                <w:sz w:val="12"/>
                <w:szCs w:val="12"/>
                <w:color w:val="0000EE"/>
                <w:w w:val="92"/>
              </w:rPr>
            </w:pPr>
            <w:hyperlink r:id="rId151">
              <w:r>
                <w:rPr>
                  <w:rFonts w:ascii="Arial" w:cs="Arial" w:eastAsia="Arial" w:hAnsi="Arial"/>
                  <w:sz w:val="12"/>
                  <w:szCs w:val="12"/>
                  <w:color w:val="0000EE"/>
                  <w:w w:val="92"/>
                </w:rPr>
                <w:t>Articles of Amendment of Uniti Group Inc. (incorporated by reference to Exhibit 3.1 to the Company’s Current Report on Form 8-K dated and filed with the SEC as of May 18, 2018 (File No. 001-36708))</w:t>
              </w:r>
            </w:hyperlink>
          </w:p>
        </w:tc>
        <w:tc>
          <w:tcPr>
            <w:tcW w:w="20" w:type="dxa"/>
            <w:vAlign w:val="bottom"/>
          </w:tcPr>
          <w:p>
            <w:pPr>
              <w:spacing w:after="0"/>
              <w:rPr>
                <w:sz w:val="12"/>
                <w:szCs w:val="12"/>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3.4</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3"/>
              </w:rPr>
            </w:pPr>
            <w:hyperlink r:id="rId153">
              <w:r>
                <w:rPr>
                  <w:rFonts w:ascii="Arial" w:cs="Arial" w:eastAsia="Arial" w:hAnsi="Arial"/>
                  <w:sz w:val="12"/>
                  <w:szCs w:val="12"/>
                  <w:color w:val="0000EE"/>
                  <w:w w:val="93"/>
                </w:rPr>
                <w:t>Amended and Restated Bylaws of Uniti Group Inc. (incorporated by reference to Exhibit 3.1 to the Company’s Current Report on Form 8-K dated as of May 1, 2017 and filed with the SEC as of May 2,</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340" w:type="dxa"/>
            <w:vAlign w:val="bottom"/>
            <w:tcBorders>
              <w:top w:val="single" w:sz="8" w:color="0000EE"/>
              <w:bottom w:val="single" w:sz="8" w:color="0000EE"/>
            </w:tcBorders>
            <w:gridSpan w:val="4"/>
          </w:tcPr>
          <w:p>
            <w:pPr>
              <w:spacing w:after="0" w:line="124" w:lineRule="exact"/>
              <w:rPr>
                <w:rFonts w:ascii="Arial" w:cs="Arial" w:eastAsia="Arial" w:hAnsi="Arial"/>
                <w:sz w:val="12"/>
                <w:szCs w:val="12"/>
                <w:color w:val="0000EE"/>
                <w:w w:val="91"/>
              </w:rPr>
            </w:pPr>
            <w:hyperlink r:id="rId153">
              <w:r>
                <w:rPr>
                  <w:rFonts w:ascii="Arial" w:cs="Arial" w:eastAsia="Arial" w:hAnsi="Arial"/>
                  <w:sz w:val="12"/>
                  <w:szCs w:val="12"/>
                  <w:color w:val="0000EE"/>
                  <w:w w:val="91"/>
                </w:rPr>
                <w:t>2017 (File No. 001-36708))</w:t>
              </w:r>
            </w:hyperlink>
          </w:p>
        </w:tc>
        <w:tc>
          <w:tcPr>
            <w:tcW w:w="8340" w:type="dxa"/>
            <w:vAlign w:val="bottom"/>
            <w:tcBorders>
              <w:top w:val="single" w:sz="8" w:color="0000EE"/>
            </w:tcBorders>
            <w:gridSpan w:val="8"/>
          </w:tcPr>
          <w:p>
            <w:pPr>
              <w:spacing w:after="0"/>
              <w:rPr>
                <w:sz w:val="10"/>
                <w:szCs w:val="10"/>
                <w:color w:val="auto"/>
              </w:rPr>
            </w:pPr>
          </w:p>
        </w:tc>
        <w:tc>
          <w:tcPr>
            <w:tcW w:w="200" w:type="dxa"/>
            <w:vAlign w:val="bottom"/>
            <w:gridSpan w:val="7"/>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3"/>
              </w:rPr>
            </w:pPr>
            <w:hyperlink r:id="rId154">
              <w:r>
                <w:rPr>
                  <w:rFonts w:ascii="Arial" w:cs="Arial" w:eastAsia="Arial" w:hAnsi="Arial"/>
                  <w:sz w:val="12"/>
                  <w:szCs w:val="12"/>
                  <w:color w:val="0000EE"/>
                  <w:w w:val="93"/>
                </w:rPr>
                <w:t>Indenture, dated as of April 24, 2015, among Communications Sales &amp; Leasing, Inc. and CSL Capital, LLC, as Issuers, the guarantors named therein, and Wells Fargo Bank, National Association, as</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200" w:type="dxa"/>
            <w:vAlign w:val="bottom"/>
            <w:gridSpan w:val="3"/>
            <w:shd w:val="clear" w:color="auto" w:fill="0000EE"/>
          </w:tcPr>
          <w:p>
            <w:pPr>
              <w:spacing w:after="0" w:line="20" w:lineRule="exact"/>
              <w:rPr>
                <w:sz w:val="1"/>
                <w:szCs w:val="1"/>
                <w:color w:val="auto"/>
              </w:rPr>
            </w:pPr>
          </w:p>
        </w:tc>
        <w:tc>
          <w:tcPr>
            <w:tcW w:w="1580" w:type="dxa"/>
            <w:vAlign w:val="bottom"/>
            <w:gridSpan w:val="2"/>
            <w:shd w:val="clear" w:color="auto" w:fill="0000EE"/>
          </w:tcPr>
          <w:p>
            <w:pPr>
              <w:spacing w:after="0" w:line="20" w:lineRule="exact"/>
              <w:rPr>
                <w:sz w:val="1"/>
                <w:szCs w:val="1"/>
                <w:color w:val="auto"/>
              </w:rPr>
            </w:pPr>
          </w:p>
        </w:tc>
        <w:tc>
          <w:tcPr>
            <w:tcW w:w="61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9"/>
          </w:tcPr>
          <w:p>
            <w:pPr>
              <w:spacing w:after="0" w:line="124" w:lineRule="exact"/>
              <w:rPr>
                <w:rFonts w:ascii="Arial" w:cs="Arial" w:eastAsia="Arial" w:hAnsi="Arial"/>
                <w:sz w:val="12"/>
                <w:szCs w:val="12"/>
                <w:color w:val="0000EE"/>
                <w:w w:val="93"/>
              </w:rPr>
            </w:pPr>
            <w:hyperlink r:id="rId154">
              <w:r>
                <w:rPr>
                  <w:rFonts w:ascii="Arial" w:cs="Arial" w:eastAsia="Arial" w:hAnsi="Arial"/>
                  <w:sz w:val="12"/>
                  <w:szCs w:val="12"/>
                  <w:color w:val="0000EE"/>
                  <w:w w:val="93"/>
                </w:rPr>
                <w:t>trustee, governing the 8.25% Senior Notes due 2023 (incorporated by reference to Exhibit 4.2 to the Company’s Current Report on Form 8-K dated and filed with the SEC as of April 27, 2015 (File No.</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0" w:type="dxa"/>
            <w:vAlign w:val="bottom"/>
            <w:tcBorders>
              <w:top w:val="single" w:sz="8" w:color="0000EE"/>
              <w:bottom w:val="single" w:sz="8" w:color="0000EE"/>
            </w:tcBorders>
            <w:gridSpan w:val="3"/>
          </w:tcPr>
          <w:p>
            <w:pPr>
              <w:spacing w:after="0" w:line="124" w:lineRule="exact"/>
              <w:rPr>
                <w:rFonts w:ascii="Arial" w:cs="Arial" w:eastAsia="Arial" w:hAnsi="Arial"/>
                <w:sz w:val="12"/>
                <w:szCs w:val="12"/>
                <w:color w:val="0000EE"/>
                <w:w w:val="88"/>
              </w:rPr>
            </w:pPr>
            <w:hyperlink r:id="rId154">
              <w:r>
                <w:rPr>
                  <w:rFonts w:ascii="Arial" w:cs="Arial" w:eastAsia="Arial" w:hAnsi="Arial"/>
                  <w:sz w:val="12"/>
                  <w:szCs w:val="12"/>
                  <w:color w:val="0000EE"/>
                  <w:w w:val="88"/>
                </w:rPr>
                <w:t>001-36708))</w:t>
              </w:r>
            </w:hyperlink>
          </w:p>
        </w:tc>
        <w:tc>
          <w:tcPr>
            <w:tcW w:w="74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440" w:type="dxa"/>
            <w:vAlign w:val="bottom"/>
            <w:tcBorders>
              <w:top w:val="single" w:sz="8" w:color="0000EE"/>
            </w:tcBorders>
          </w:tcPr>
          <w:p>
            <w:pPr>
              <w:spacing w:after="0"/>
              <w:rPr>
                <w:sz w:val="10"/>
                <w:szCs w:val="10"/>
                <w:color w:val="auto"/>
              </w:rPr>
            </w:pPr>
          </w:p>
        </w:tc>
        <w:tc>
          <w:tcPr>
            <w:tcW w:w="120" w:type="dxa"/>
            <w:vAlign w:val="bottom"/>
            <w:tcBorders>
              <w:top w:val="single" w:sz="8" w:color="0000EE"/>
            </w:tcBorders>
          </w:tcPr>
          <w:p>
            <w:pPr>
              <w:spacing w:after="0"/>
              <w:rPr>
                <w:sz w:val="10"/>
                <w:szCs w:val="10"/>
                <w:color w:val="auto"/>
              </w:rPr>
            </w:pPr>
          </w:p>
        </w:tc>
        <w:tc>
          <w:tcPr>
            <w:tcW w:w="1460" w:type="dxa"/>
            <w:vAlign w:val="bottom"/>
            <w:tcBorders>
              <w:top w:val="single" w:sz="8" w:color="0000EE"/>
            </w:tcBorders>
          </w:tcPr>
          <w:p>
            <w:pPr>
              <w:spacing w:after="0"/>
              <w:rPr>
                <w:sz w:val="10"/>
                <w:szCs w:val="10"/>
                <w:color w:val="auto"/>
              </w:rPr>
            </w:pPr>
          </w:p>
        </w:tc>
        <w:tc>
          <w:tcPr>
            <w:tcW w:w="6140" w:type="dxa"/>
            <w:vAlign w:val="bottom"/>
            <w:tcBorders>
              <w:top w:val="single" w:sz="8" w:color="0000EE"/>
            </w:tcBorders>
          </w:tcPr>
          <w:p>
            <w:pPr>
              <w:spacing w:after="0"/>
              <w:rPr>
                <w:sz w:val="10"/>
                <w:szCs w:val="10"/>
                <w:color w:val="auto"/>
              </w:rPr>
            </w:pPr>
          </w:p>
        </w:tc>
        <w:tc>
          <w:tcPr>
            <w:tcW w:w="40" w:type="dxa"/>
            <w:vAlign w:val="bottom"/>
            <w:tcBorders>
              <w:top w:val="single" w:sz="8" w:color="0000EE"/>
            </w:tcBorders>
          </w:tcPr>
          <w:p>
            <w:pPr>
              <w:spacing w:after="0"/>
              <w:rPr>
                <w:sz w:val="10"/>
                <w:szCs w:val="10"/>
                <w:color w:val="auto"/>
              </w:rPr>
            </w:pPr>
          </w:p>
        </w:tc>
        <w:tc>
          <w:tcPr>
            <w:tcW w:w="100" w:type="dxa"/>
            <w:vAlign w:val="bottom"/>
            <w:tcBorders>
              <w:top w:val="single" w:sz="8" w:color="0000EE"/>
            </w:tcBorders>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4.2</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760" w:type="dxa"/>
            <w:vAlign w:val="bottom"/>
            <w:tcBorders>
              <w:bottom w:val="single" w:sz="8" w:color="0000EE"/>
            </w:tcBorders>
            <w:gridSpan w:val="14"/>
          </w:tcPr>
          <w:p>
            <w:pPr>
              <w:spacing w:after="0"/>
              <w:rPr>
                <w:rFonts w:ascii="Arial" w:cs="Arial" w:eastAsia="Arial" w:hAnsi="Arial"/>
                <w:sz w:val="12"/>
                <w:szCs w:val="12"/>
                <w:color w:val="0000EE"/>
                <w:w w:val="91"/>
              </w:rPr>
            </w:pPr>
            <w:hyperlink r:id="rId154">
              <w:r>
                <w:rPr>
                  <w:rFonts w:ascii="Arial" w:cs="Arial" w:eastAsia="Arial" w:hAnsi="Arial"/>
                  <w:sz w:val="12"/>
                  <w:szCs w:val="12"/>
                  <w:color w:val="0000EE"/>
                  <w:w w:val="91"/>
                </w:rPr>
                <w:t>Form of 8.25% Senior Note due 2023 (included in Exhibit 4.1 above) (incorporated by reference to Exhibit 4.4 to the Company’s Current Report on Form 8-K dated and filed with the SEC as of April 27,</w:t>
              </w:r>
            </w:hyperlink>
          </w:p>
        </w:tc>
        <w:tc>
          <w:tcPr>
            <w:tcW w:w="120" w:type="dxa"/>
            <w:vAlign w:val="bottom"/>
            <w:gridSpan w:val="5"/>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360" w:type="dxa"/>
            <w:vAlign w:val="bottom"/>
            <w:tcBorders>
              <w:bottom w:val="single" w:sz="8" w:color="0000EE"/>
            </w:tcBorders>
            <w:gridSpan w:val="5"/>
          </w:tcPr>
          <w:p>
            <w:pPr>
              <w:spacing w:after="0" w:line="124" w:lineRule="exact"/>
              <w:rPr>
                <w:rFonts w:ascii="Arial" w:cs="Arial" w:eastAsia="Arial" w:hAnsi="Arial"/>
                <w:sz w:val="12"/>
                <w:szCs w:val="12"/>
                <w:color w:val="0000EE"/>
                <w:w w:val="92"/>
              </w:rPr>
            </w:pPr>
            <w:hyperlink r:id="rId154">
              <w:r>
                <w:rPr>
                  <w:rFonts w:ascii="Arial" w:cs="Arial" w:eastAsia="Arial" w:hAnsi="Arial"/>
                  <w:sz w:val="12"/>
                  <w:szCs w:val="12"/>
                  <w:color w:val="0000EE"/>
                  <w:w w:val="92"/>
                </w:rPr>
                <w:t>2015 (File No. 001-36708))</w:t>
              </w:r>
            </w:hyperlink>
          </w:p>
        </w:tc>
        <w:tc>
          <w:tcPr>
            <w:tcW w:w="8520" w:type="dxa"/>
            <w:vAlign w:val="bottom"/>
            <w:gridSpan w:val="14"/>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4.3</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780" w:type="dxa"/>
            <w:vAlign w:val="bottom"/>
            <w:tcBorders>
              <w:bottom w:val="single" w:sz="8" w:color="0000EE"/>
            </w:tcBorders>
            <w:gridSpan w:val="15"/>
          </w:tcPr>
          <w:p>
            <w:pPr>
              <w:spacing w:after="0"/>
              <w:rPr>
                <w:rFonts w:ascii="Arial" w:cs="Arial" w:eastAsia="Arial" w:hAnsi="Arial"/>
                <w:sz w:val="12"/>
                <w:szCs w:val="12"/>
                <w:color w:val="0000EE"/>
                <w:w w:val="89"/>
              </w:rPr>
            </w:pPr>
            <w:hyperlink r:id="rId155">
              <w:r>
                <w:rPr>
                  <w:rFonts w:ascii="Arial" w:cs="Arial" w:eastAsia="Arial" w:hAnsi="Arial"/>
                  <w:sz w:val="12"/>
                  <w:szCs w:val="12"/>
                  <w:color w:val="0000EE"/>
                  <w:w w:val="89"/>
                </w:rPr>
                <w:t>Second Supplemental Indenture (8.25% Senior Notes due 2023), dated as of October 19, 2016, among Communications Sales &amp; Leasing, Inc. and CSL Capital, LLC, as Issuers, the guarantors thereto and</w:t>
              </w:r>
            </w:hyperlink>
          </w:p>
        </w:tc>
        <w:tc>
          <w:tcPr>
            <w:tcW w:w="100" w:type="dxa"/>
            <w:vAlign w:val="bottom"/>
            <w:gridSpan w:val="4"/>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9"/>
          </w:tcPr>
          <w:p>
            <w:pPr>
              <w:spacing w:after="0" w:line="124" w:lineRule="exact"/>
              <w:rPr>
                <w:rFonts w:ascii="Arial" w:cs="Arial" w:eastAsia="Arial" w:hAnsi="Arial"/>
                <w:sz w:val="12"/>
                <w:szCs w:val="12"/>
                <w:color w:val="0000EE"/>
                <w:w w:val="94"/>
              </w:rPr>
            </w:pPr>
            <w:hyperlink r:id="rId155">
              <w:r>
                <w:rPr>
                  <w:rFonts w:ascii="Arial" w:cs="Arial" w:eastAsia="Arial" w:hAnsi="Arial"/>
                  <w:sz w:val="12"/>
                  <w:szCs w:val="12"/>
                  <w:color w:val="0000EE"/>
                  <w:w w:val="94"/>
                </w:rPr>
                <w:t>Wells Fargo Bank, National Association (incorporated by reference to Exhibit 4.3 to the Company’s Annual Report on Form 10-K dated and filed with the SEC as of February 23, 2017 (File No. 001-</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00" w:type="dxa"/>
            <w:vAlign w:val="bottom"/>
            <w:tcBorders>
              <w:top w:val="single" w:sz="8" w:color="0000EE"/>
              <w:bottom w:val="single" w:sz="8" w:color="0000EE"/>
            </w:tcBorders>
            <w:gridSpan w:val="2"/>
          </w:tcPr>
          <w:p>
            <w:pPr>
              <w:spacing w:after="0" w:line="124" w:lineRule="exact"/>
              <w:rPr>
                <w:rFonts w:ascii="Arial" w:cs="Arial" w:eastAsia="Arial" w:hAnsi="Arial"/>
                <w:sz w:val="12"/>
                <w:szCs w:val="12"/>
                <w:color w:val="0000EE"/>
                <w:w w:val="91"/>
              </w:rPr>
            </w:pPr>
            <w:hyperlink r:id="rId155">
              <w:r>
                <w:rPr>
                  <w:rFonts w:ascii="Arial" w:cs="Arial" w:eastAsia="Arial" w:hAnsi="Arial"/>
                  <w:sz w:val="12"/>
                  <w:szCs w:val="12"/>
                  <w:color w:val="0000EE"/>
                  <w:w w:val="91"/>
                </w:rPr>
                <w:t>36708)</w:t>
              </w:r>
              <w:r>
                <w:rPr>
                  <w:rFonts w:ascii="Arial" w:cs="Arial" w:eastAsia="Arial" w:hAnsi="Arial"/>
                  <w:sz w:val="12"/>
                  <w:szCs w:val="12"/>
                  <w:u w:val="single" w:color="auto"/>
                  <w:color w:val="0000EE"/>
                  <w:w w:val="91"/>
                </w:rPr>
                <w:t>)</w:t>
              </w:r>
            </w:hyperlink>
          </w:p>
        </w:tc>
        <w:tc>
          <w:tcPr>
            <w:tcW w:w="200" w:type="dxa"/>
            <w:vAlign w:val="bottom"/>
            <w:tcBorders>
              <w:top w:val="single" w:sz="8" w:color="0000EE"/>
            </w:tcBorders>
          </w:tcPr>
          <w:p>
            <w:pPr>
              <w:spacing w:after="0"/>
              <w:rPr>
                <w:sz w:val="10"/>
                <w:szCs w:val="10"/>
                <w:color w:val="auto"/>
              </w:rPr>
            </w:pPr>
          </w:p>
        </w:tc>
        <w:tc>
          <w:tcPr>
            <w:tcW w:w="74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440" w:type="dxa"/>
            <w:vAlign w:val="bottom"/>
            <w:tcBorders>
              <w:top w:val="single" w:sz="8" w:color="0000EE"/>
            </w:tcBorders>
          </w:tcPr>
          <w:p>
            <w:pPr>
              <w:spacing w:after="0"/>
              <w:rPr>
                <w:sz w:val="10"/>
                <w:szCs w:val="10"/>
                <w:color w:val="auto"/>
              </w:rPr>
            </w:pPr>
          </w:p>
        </w:tc>
        <w:tc>
          <w:tcPr>
            <w:tcW w:w="120" w:type="dxa"/>
            <w:vAlign w:val="bottom"/>
            <w:tcBorders>
              <w:top w:val="single" w:sz="8" w:color="0000EE"/>
            </w:tcBorders>
          </w:tcPr>
          <w:p>
            <w:pPr>
              <w:spacing w:after="0"/>
              <w:rPr>
                <w:sz w:val="10"/>
                <w:szCs w:val="10"/>
                <w:color w:val="auto"/>
              </w:rPr>
            </w:pPr>
          </w:p>
        </w:tc>
        <w:tc>
          <w:tcPr>
            <w:tcW w:w="1460" w:type="dxa"/>
            <w:vAlign w:val="bottom"/>
            <w:tcBorders>
              <w:top w:val="single" w:sz="8" w:color="0000EE"/>
            </w:tcBorders>
          </w:tcPr>
          <w:p>
            <w:pPr>
              <w:spacing w:after="0"/>
              <w:rPr>
                <w:sz w:val="10"/>
                <w:szCs w:val="10"/>
                <w:color w:val="auto"/>
              </w:rPr>
            </w:pPr>
          </w:p>
        </w:tc>
        <w:tc>
          <w:tcPr>
            <w:tcW w:w="6140" w:type="dxa"/>
            <w:vAlign w:val="bottom"/>
            <w:tcBorders>
              <w:top w:val="single" w:sz="8" w:color="0000EE"/>
            </w:tcBorders>
          </w:tcPr>
          <w:p>
            <w:pPr>
              <w:spacing w:after="0"/>
              <w:rPr>
                <w:sz w:val="10"/>
                <w:szCs w:val="10"/>
                <w:color w:val="auto"/>
              </w:rPr>
            </w:pPr>
          </w:p>
        </w:tc>
        <w:tc>
          <w:tcPr>
            <w:tcW w:w="40" w:type="dxa"/>
            <w:vAlign w:val="bottom"/>
            <w:tcBorders>
              <w:top w:val="single" w:sz="8" w:color="0000EE"/>
            </w:tcBorders>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4.4</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3"/>
              </w:rPr>
            </w:pPr>
            <w:hyperlink r:id="rId156">
              <w:r>
                <w:rPr>
                  <w:rFonts w:ascii="Arial" w:cs="Arial" w:eastAsia="Arial" w:hAnsi="Arial"/>
                  <w:sz w:val="12"/>
                  <w:szCs w:val="12"/>
                  <w:color w:val="0000EE"/>
                  <w:w w:val="93"/>
                </w:rPr>
                <w:t>Fifth Supplemental Indenture, dated as of May 9, 2017, to the indenture dated as of April 24, 2015, among Uniti Group LP, Uniti Group Finance Inc., CSL Capital, LLC, Uniti Group Inc., the guarantors</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20" w:type="dxa"/>
            <w:vAlign w:val="bottom"/>
            <w:gridSpan w:val="5"/>
            <w:shd w:val="clear" w:color="auto" w:fill="0000EE"/>
          </w:tcPr>
          <w:p>
            <w:pPr>
              <w:spacing w:after="0" w:line="20" w:lineRule="exact"/>
              <w:rPr>
                <w:sz w:val="1"/>
                <w:szCs w:val="1"/>
                <w:color w:val="auto"/>
              </w:rPr>
            </w:pPr>
          </w:p>
        </w:tc>
        <w:tc>
          <w:tcPr>
            <w:tcW w:w="1580" w:type="dxa"/>
            <w:vAlign w:val="bottom"/>
            <w:gridSpan w:val="2"/>
            <w:shd w:val="clear" w:color="auto" w:fill="0000EE"/>
          </w:tcPr>
          <w:p>
            <w:pPr>
              <w:spacing w:after="0" w:line="20" w:lineRule="exact"/>
              <w:rPr>
                <w:sz w:val="1"/>
                <w:szCs w:val="1"/>
                <w:color w:val="auto"/>
              </w:rPr>
            </w:pPr>
          </w:p>
        </w:tc>
        <w:tc>
          <w:tcPr>
            <w:tcW w:w="6320" w:type="dxa"/>
            <w:vAlign w:val="bottom"/>
            <w:gridSpan w:val="5"/>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40" w:type="dxa"/>
            <w:vAlign w:val="bottom"/>
            <w:tcBorders>
              <w:bottom w:val="single" w:sz="8" w:color="0000EE"/>
            </w:tcBorders>
            <w:gridSpan w:val="17"/>
          </w:tcPr>
          <w:p>
            <w:pPr>
              <w:spacing w:after="0" w:line="124" w:lineRule="exact"/>
              <w:rPr>
                <w:rFonts w:ascii="Arial" w:cs="Arial" w:eastAsia="Arial" w:hAnsi="Arial"/>
                <w:sz w:val="12"/>
                <w:szCs w:val="12"/>
                <w:color w:val="0000EE"/>
                <w:w w:val="90"/>
              </w:rPr>
            </w:pPr>
            <w:hyperlink r:id="rId156">
              <w:r>
                <w:rPr>
                  <w:rFonts w:ascii="Arial" w:cs="Arial" w:eastAsia="Arial" w:hAnsi="Arial"/>
                  <w:sz w:val="12"/>
                  <w:szCs w:val="12"/>
                  <w:color w:val="0000EE"/>
                  <w:w w:val="90"/>
                </w:rPr>
                <w:t>named therein and Wells Fargo Bank, National Association, as trustee, governing the 8.25% Senior Notes due 2023 (incorporated by reference to Exhibit 4.1 to the Company’s Current Report on Form 8-K</w:t>
              </w:r>
            </w:hyperlink>
          </w:p>
        </w:tc>
        <w:tc>
          <w:tcPr>
            <w:tcW w:w="40" w:type="dxa"/>
            <w:vAlign w:val="bottom"/>
            <w:gridSpan w:val="2"/>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380" w:type="dxa"/>
            <w:vAlign w:val="bottom"/>
            <w:tcBorders>
              <w:bottom w:val="single" w:sz="8" w:color="0000EE"/>
            </w:tcBorders>
            <w:gridSpan w:val="8"/>
          </w:tcPr>
          <w:p>
            <w:pPr>
              <w:spacing w:after="0" w:line="124" w:lineRule="exact"/>
              <w:rPr>
                <w:rFonts w:ascii="Arial" w:cs="Arial" w:eastAsia="Arial" w:hAnsi="Arial"/>
                <w:sz w:val="12"/>
                <w:szCs w:val="12"/>
                <w:color w:val="0000EE"/>
                <w:w w:val="91"/>
              </w:rPr>
            </w:pPr>
            <w:hyperlink r:id="rId156">
              <w:r>
                <w:rPr>
                  <w:rFonts w:ascii="Arial" w:cs="Arial" w:eastAsia="Arial" w:hAnsi="Arial"/>
                  <w:sz w:val="12"/>
                  <w:szCs w:val="12"/>
                  <w:color w:val="0000EE"/>
                  <w:w w:val="91"/>
                </w:rPr>
                <w:t>dated and filed with the SEC as of May 9, 2017 (File No. 001-36708))</w:t>
              </w:r>
            </w:hyperlink>
          </w:p>
        </w:tc>
        <w:tc>
          <w:tcPr>
            <w:tcW w:w="6500" w:type="dxa"/>
            <w:vAlign w:val="bottom"/>
            <w:gridSpan w:val="11"/>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4.5</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3"/>
              </w:rPr>
            </w:pPr>
            <w:hyperlink r:id="rId157">
              <w:r>
                <w:rPr>
                  <w:rFonts w:ascii="Arial" w:cs="Arial" w:eastAsia="Arial" w:hAnsi="Arial"/>
                  <w:sz w:val="12"/>
                  <w:szCs w:val="12"/>
                  <w:color w:val="0000EE"/>
                  <w:w w:val="93"/>
                </w:rPr>
                <w:t>Sixth Supplemental Indenture, dated as of May 9, 2017, to the indenture dated as of April 24, 2015, among Uniti Group LP, Uniti Group Finance Inc., CSL Capital, LLC, Uniti Group Inc., the guarantors</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20" w:type="dxa"/>
            <w:vAlign w:val="bottom"/>
            <w:gridSpan w:val="5"/>
            <w:shd w:val="clear" w:color="auto" w:fill="0000EE"/>
          </w:tcPr>
          <w:p>
            <w:pPr>
              <w:spacing w:after="0" w:line="20" w:lineRule="exact"/>
              <w:rPr>
                <w:sz w:val="1"/>
                <w:szCs w:val="1"/>
                <w:color w:val="auto"/>
              </w:rPr>
            </w:pPr>
          </w:p>
        </w:tc>
        <w:tc>
          <w:tcPr>
            <w:tcW w:w="7900" w:type="dxa"/>
            <w:vAlign w:val="bottom"/>
            <w:gridSpan w:val="7"/>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40" w:type="dxa"/>
            <w:vAlign w:val="bottom"/>
            <w:tcBorders>
              <w:bottom w:val="single" w:sz="8" w:color="0000EE"/>
            </w:tcBorders>
            <w:gridSpan w:val="17"/>
          </w:tcPr>
          <w:p>
            <w:pPr>
              <w:spacing w:after="0" w:line="124" w:lineRule="exact"/>
              <w:rPr>
                <w:rFonts w:ascii="Arial" w:cs="Arial" w:eastAsia="Arial" w:hAnsi="Arial"/>
                <w:sz w:val="12"/>
                <w:szCs w:val="12"/>
                <w:color w:val="0000EE"/>
                <w:w w:val="90"/>
              </w:rPr>
            </w:pPr>
            <w:hyperlink r:id="rId157">
              <w:r>
                <w:rPr>
                  <w:rFonts w:ascii="Arial" w:cs="Arial" w:eastAsia="Arial" w:hAnsi="Arial"/>
                  <w:sz w:val="12"/>
                  <w:szCs w:val="12"/>
                  <w:color w:val="0000EE"/>
                  <w:w w:val="90"/>
                </w:rPr>
                <w:t>named therein and Wells Fargo Bank, National Association, as trustee, governing the 8.25% Senior Notes due 2023 (incorporated by reference to Exhibit 4.2 to the Company’s Current Report on Form 8-K</w:t>
              </w:r>
            </w:hyperlink>
          </w:p>
        </w:tc>
        <w:tc>
          <w:tcPr>
            <w:tcW w:w="40" w:type="dxa"/>
            <w:vAlign w:val="bottom"/>
            <w:gridSpan w:val="2"/>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380" w:type="dxa"/>
            <w:vAlign w:val="bottom"/>
            <w:tcBorders>
              <w:bottom w:val="single" w:sz="8" w:color="0000EE"/>
            </w:tcBorders>
            <w:gridSpan w:val="8"/>
          </w:tcPr>
          <w:p>
            <w:pPr>
              <w:spacing w:after="0" w:line="124" w:lineRule="exact"/>
              <w:rPr>
                <w:rFonts w:ascii="Arial" w:cs="Arial" w:eastAsia="Arial" w:hAnsi="Arial"/>
                <w:sz w:val="12"/>
                <w:szCs w:val="12"/>
                <w:color w:val="0000EE"/>
                <w:w w:val="91"/>
              </w:rPr>
            </w:pPr>
            <w:hyperlink r:id="rId157">
              <w:r>
                <w:rPr>
                  <w:rFonts w:ascii="Arial" w:cs="Arial" w:eastAsia="Arial" w:hAnsi="Arial"/>
                  <w:sz w:val="12"/>
                  <w:szCs w:val="12"/>
                  <w:color w:val="0000EE"/>
                  <w:w w:val="91"/>
                </w:rPr>
                <w:t>dated and filed with the SEC as of May 9, 2017 (File No. 001-36708))</w:t>
              </w:r>
            </w:hyperlink>
          </w:p>
        </w:tc>
        <w:tc>
          <w:tcPr>
            <w:tcW w:w="6500" w:type="dxa"/>
            <w:vAlign w:val="bottom"/>
            <w:gridSpan w:val="11"/>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4.6</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3"/>
              </w:rPr>
            </w:pPr>
            <w:hyperlink r:id="rId158">
              <w:r>
                <w:rPr>
                  <w:rFonts w:ascii="Arial" w:cs="Arial" w:eastAsia="Arial" w:hAnsi="Arial"/>
                  <w:sz w:val="12"/>
                  <w:szCs w:val="12"/>
                  <w:color w:val="0000EE"/>
                  <w:w w:val="93"/>
                </w:rPr>
                <w:t>Indenture, dated as of April 24, 2015, among Communications Sales &amp; Leasing, Inc. and CSL Capital, LLC, as Issuers, the guarantors named therein, and Wells Fargo Bank, National Association, as</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20" w:type="dxa"/>
            <w:vAlign w:val="bottom"/>
            <w:gridSpan w:val="5"/>
            <w:shd w:val="clear" w:color="auto" w:fill="0000EE"/>
          </w:tcPr>
          <w:p>
            <w:pPr>
              <w:spacing w:after="0" w:line="20" w:lineRule="exact"/>
              <w:rPr>
                <w:sz w:val="1"/>
                <w:szCs w:val="1"/>
                <w:color w:val="auto"/>
              </w:rPr>
            </w:pPr>
          </w:p>
        </w:tc>
        <w:tc>
          <w:tcPr>
            <w:tcW w:w="7720" w:type="dxa"/>
            <w:vAlign w:val="bottom"/>
            <w:gridSpan w:val="3"/>
            <w:shd w:val="clear" w:color="auto" w:fill="0000EE"/>
          </w:tcPr>
          <w:p>
            <w:pPr>
              <w:spacing w:after="0" w:line="20" w:lineRule="exact"/>
              <w:rPr>
                <w:sz w:val="1"/>
                <w:szCs w:val="1"/>
                <w:color w:val="auto"/>
              </w:rPr>
            </w:pPr>
          </w:p>
        </w:tc>
        <w:tc>
          <w:tcPr>
            <w:tcW w:w="18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60" w:type="dxa"/>
            <w:vAlign w:val="bottom"/>
            <w:tcBorders>
              <w:bottom w:val="single" w:sz="8" w:color="0000EE"/>
            </w:tcBorders>
            <w:gridSpan w:val="18"/>
          </w:tcPr>
          <w:p>
            <w:pPr>
              <w:spacing w:after="0" w:line="124" w:lineRule="exact"/>
              <w:rPr>
                <w:rFonts w:ascii="Arial" w:cs="Arial" w:eastAsia="Arial" w:hAnsi="Arial"/>
                <w:sz w:val="12"/>
                <w:szCs w:val="12"/>
                <w:color w:val="0000EE"/>
                <w:w w:val="90"/>
              </w:rPr>
            </w:pPr>
            <w:hyperlink r:id="rId158">
              <w:r>
                <w:rPr>
                  <w:rFonts w:ascii="Arial" w:cs="Arial" w:eastAsia="Arial" w:hAnsi="Arial"/>
                  <w:sz w:val="12"/>
                  <w:szCs w:val="12"/>
                  <w:color w:val="0000EE"/>
                  <w:w w:val="90"/>
                </w:rPr>
                <w:t>trustee and as collateral agent, governing the 6.00% Senior Secured Notes due 2023 (incorporated by reference to Exhibit 4.1 to the Company’s Current Report on Form 8-K dated and filed with the SEC as</w:t>
              </w:r>
            </w:hyperlink>
          </w:p>
        </w:tc>
        <w:tc>
          <w:tcPr>
            <w:tcW w:w="20" w:type="dxa"/>
            <w:vAlign w:val="bottom"/>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9"/>
          </w:tcPr>
          <w:p>
            <w:pPr>
              <w:spacing w:after="0" w:line="124" w:lineRule="exact"/>
              <w:rPr>
                <w:rFonts w:ascii="Arial" w:cs="Arial" w:eastAsia="Arial" w:hAnsi="Arial"/>
                <w:sz w:val="12"/>
                <w:szCs w:val="12"/>
                <w:color w:val="0000EE"/>
              </w:rPr>
            </w:pPr>
            <w:hyperlink r:id="rId158">
              <w:r>
                <w:rPr>
                  <w:rFonts w:ascii="Arial" w:cs="Arial" w:eastAsia="Arial" w:hAnsi="Arial"/>
                  <w:sz w:val="12"/>
                  <w:szCs w:val="12"/>
                  <w:color w:val="0000EE"/>
                </w:rPr>
                <w:t>of April 27, 2015 (File 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20" w:type="dxa"/>
            <w:vAlign w:val="bottom"/>
            <w:gridSpan w:val="5"/>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7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4.7</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2"/>
              </w:rPr>
            </w:pPr>
            <w:hyperlink r:id="rId158">
              <w:r>
                <w:rPr>
                  <w:rFonts w:ascii="Arial" w:cs="Arial" w:eastAsia="Arial" w:hAnsi="Arial"/>
                  <w:sz w:val="12"/>
                  <w:szCs w:val="12"/>
                  <w:color w:val="0000EE"/>
                  <w:w w:val="92"/>
                </w:rPr>
                <w:t>Form of 6.00% Senior Secured Note due 2023 (included in Exhibit 4.6 above) (incorporated by reference to Exhibit 4.3 to the Company’s Current Report on Form 8-K dated and filed with the SEC as of</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00" w:type="dxa"/>
            <w:vAlign w:val="bottom"/>
            <w:tcBorders>
              <w:top w:val="single" w:sz="8" w:color="0000EE"/>
              <w:bottom w:val="single" w:sz="8" w:color="0000EE"/>
            </w:tcBorders>
            <w:gridSpan w:val="6"/>
          </w:tcPr>
          <w:p>
            <w:pPr>
              <w:spacing w:after="0" w:line="124" w:lineRule="exact"/>
              <w:rPr>
                <w:rFonts w:ascii="Arial" w:cs="Arial" w:eastAsia="Arial" w:hAnsi="Arial"/>
                <w:sz w:val="12"/>
                <w:szCs w:val="12"/>
                <w:color w:val="0000EE"/>
                <w:w w:val="92"/>
              </w:rPr>
            </w:pPr>
            <w:hyperlink r:id="rId158">
              <w:r>
                <w:rPr>
                  <w:rFonts w:ascii="Arial" w:cs="Arial" w:eastAsia="Arial" w:hAnsi="Arial"/>
                  <w:sz w:val="12"/>
                  <w:szCs w:val="12"/>
                  <w:color w:val="0000EE"/>
                  <w:w w:val="92"/>
                </w:rPr>
                <w:t>April 27, 2015 (File No. 001-36708))</w:t>
              </w:r>
            </w:hyperlink>
          </w:p>
        </w:tc>
        <w:tc>
          <w:tcPr>
            <w:tcW w:w="7900" w:type="dxa"/>
            <w:vAlign w:val="bottom"/>
            <w:tcBorders>
              <w:top w:val="single" w:sz="8" w:color="0000EE"/>
            </w:tcBorders>
            <w:gridSpan w:val="7"/>
          </w:tcPr>
          <w:p>
            <w:pPr>
              <w:spacing w:after="0"/>
              <w:rPr>
                <w:sz w:val="10"/>
                <w:szCs w:val="10"/>
                <w:color w:val="auto"/>
              </w:rPr>
            </w:pPr>
          </w:p>
        </w:tc>
        <w:tc>
          <w:tcPr>
            <w:tcW w:w="180" w:type="dxa"/>
            <w:vAlign w:val="bottom"/>
            <w:gridSpan w:val="6"/>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4.8</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19"/>
          </w:tcPr>
          <w:p>
            <w:pPr>
              <w:spacing w:after="0"/>
              <w:rPr>
                <w:rFonts w:ascii="Arial" w:cs="Arial" w:eastAsia="Arial" w:hAnsi="Arial"/>
                <w:sz w:val="12"/>
                <w:szCs w:val="12"/>
                <w:color w:val="0000EE"/>
                <w:w w:val="90"/>
              </w:rPr>
            </w:pPr>
            <w:hyperlink r:id="rId159">
              <w:r>
                <w:rPr>
                  <w:rFonts w:ascii="Arial" w:cs="Arial" w:eastAsia="Arial" w:hAnsi="Arial"/>
                  <w:sz w:val="12"/>
                  <w:szCs w:val="12"/>
                  <w:color w:val="0000EE"/>
                  <w:w w:val="90"/>
                </w:rPr>
                <w:t>Second Supplemental Indenture (6.00% Senior Secured Notes due 2023), dated as of June 14, 2016, among Communications Sales &amp; Leasing, Inc. and CSL Capital, LLC, as Issuers, the guarantors thereto</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20" w:type="dxa"/>
            <w:vAlign w:val="bottom"/>
            <w:tcBorders>
              <w:top w:val="single" w:sz="8" w:color="0000EE"/>
            </w:tcBorders>
            <w:gridSpan w:val="16"/>
          </w:tcPr>
          <w:p>
            <w:pPr>
              <w:spacing w:after="0" w:line="124" w:lineRule="exact"/>
              <w:rPr>
                <w:rFonts w:ascii="Arial" w:cs="Arial" w:eastAsia="Arial" w:hAnsi="Arial"/>
                <w:sz w:val="12"/>
                <w:szCs w:val="12"/>
                <w:color w:val="0000EE"/>
                <w:w w:val="92"/>
              </w:rPr>
            </w:pPr>
            <w:hyperlink r:id="rId159">
              <w:r>
                <w:rPr>
                  <w:rFonts w:ascii="Arial" w:cs="Arial" w:eastAsia="Arial" w:hAnsi="Arial"/>
                  <w:sz w:val="12"/>
                  <w:szCs w:val="12"/>
                  <w:color w:val="0000EE"/>
                  <w:w w:val="92"/>
                </w:rPr>
                <w:t>and Wells Fargo Bank, National Association (incorporated by reference to Exhibit 4.6 to the Company’s Annual Report on Form 10-K dated and filed with the SEC as of February 23, 2017 (File No. 001-</w:t>
              </w:r>
            </w:hyperlink>
          </w:p>
        </w:tc>
        <w:tc>
          <w:tcPr>
            <w:tcW w:w="60" w:type="dxa"/>
            <w:vAlign w:val="bottom"/>
            <w:gridSpan w:val="3"/>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80" w:type="dxa"/>
            <w:vAlign w:val="bottom"/>
            <w:tcBorders>
              <w:top w:val="single" w:sz="8" w:color="0000EE"/>
              <w:bottom w:val="single" w:sz="8" w:color="0000EE"/>
            </w:tcBorders>
          </w:tcPr>
          <w:p>
            <w:pPr>
              <w:spacing w:after="0" w:line="124" w:lineRule="exact"/>
              <w:rPr>
                <w:rFonts w:ascii="Arial" w:cs="Arial" w:eastAsia="Arial" w:hAnsi="Arial"/>
                <w:sz w:val="12"/>
                <w:szCs w:val="12"/>
                <w:color w:val="0000EE"/>
                <w:w w:val="86"/>
              </w:rPr>
            </w:pPr>
            <w:hyperlink r:id="rId159">
              <w:r>
                <w:rPr>
                  <w:rFonts w:ascii="Arial" w:cs="Arial" w:eastAsia="Arial" w:hAnsi="Arial"/>
                  <w:sz w:val="12"/>
                  <w:szCs w:val="12"/>
                  <w:color w:val="0000EE"/>
                  <w:w w:val="86"/>
                </w:rPr>
                <w:t>36708)</w:t>
              </w:r>
              <w:r>
                <w:rPr>
                  <w:rFonts w:ascii="Arial" w:cs="Arial" w:eastAsia="Arial" w:hAnsi="Arial"/>
                  <w:sz w:val="12"/>
                  <w:szCs w:val="12"/>
                  <w:u w:val="single" w:color="auto"/>
                  <w:color w:val="0000EE"/>
                  <w:w w:val="86"/>
                </w:rPr>
                <w:t>)</w:t>
              </w:r>
            </w:hyperlink>
          </w:p>
        </w:tc>
        <w:tc>
          <w:tcPr>
            <w:tcW w:w="20" w:type="dxa"/>
            <w:vAlign w:val="bottom"/>
            <w:tcBorders>
              <w:top w:val="single" w:sz="8" w:color="0000EE"/>
            </w:tcBorders>
          </w:tcPr>
          <w:p>
            <w:pPr>
              <w:spacing w:after="0"/>
              <w:rPr>
                <w:sz w:val="10"/>
                <w:szCs w:val="10"/>
                <w:color w:val="auto"/>
              </w:rPr>
            </w:pPr>
          </w:p>
        </w:tc>
        <w:tc>
          <w:tcPr>
            <w:tcW w:w="200" w:type="dxa"/>
            <w:vAlign w:val="bottom"/>
            <w:tcBorders>
              <w:top w:val="single" w:sz="8" w:color="0000EE"/>
            </w:tcBorders>
          </w:tcPr>
          <w:p>
            <w:pPr>
              <w:spacing w:after="0"/>
              <w:rPr>
                <w:sz w:val="10"/>
                <w:szCs w:val="10"/>
                <w:color w:val="auto"/>
              </w:rPr>
            </w:pPr>
          </w:p>
        </w:tc>
        <w:tc>
          <w:tcPr>
            <w:tcW w:w="74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440" w:type="dxa"/>
            <w:vAlign w:val="bottom"/>
            <w:tcBorders>
              <w:top w:val="single" w:sz="8" w:color="0000EE"/>
            </w:tcBorders>
          </w:tcPr>
          <w:p>
            <w:pPr>
              <w:spacing w:after="0"/>
              <w:rPr>
                <w:sz w:val="10"/>
                <w:szCs w:val="10"/>
                <w:color w:val="auto"/>
              </w:rPr>
            </w:pPr>
          </w:p>
        </w:tc>
        <w:tc>
          <w:tcPr>
            <w:tcW w:w="120" w:type="dxa"/>
            <w:vAlign w:val="bottom"/>
            <w:tcBorders>
              <w:top w:val="single" w:sz="8" w:color="0000EE"/>
            </w:tcBorders>
          </w:tcPr>
          <w:p>
            <w:pPr>
              <w:spacing w:after="0"/>
              <w:rPr>
                <w:sz w:val="10"/>
                <w:szCs w:val="10"/>
                <w:color w:val="auto"/>
              </w:rPr>
            </w:pPr>
          </w:p>
        </w:tc>
        <w:tc>
          <w:tcPr>
            <w:tcW w:w="1460" w:type="dxa"/>
            <w:vAlign w:val="bottom"/>
            <w:tcBorders>
              <w:top w:val="single" w:sz="8" w:color="0000EE"/>
            </w:tcBorders>
          </w:tcPr>
          <w:p>
            <w:pPr>
              <w:spacing w:after="0"/>
              <w:rPr>
                <w:sz w:val="10"/>
                <w:szCs w:val="10"/>
                <w:color w:val="auto"/>
              </w:rPr>
            </w:pPr>
          </w:p>
        </w:tc>
        <w:tc>
          <w:tcPr>
            <w:tcW w:w="6140" w:type="dxa"/>
            <w:vAlign w:val="bottom"/>
            <w:tcBorders>
              <w:top w:val="single" w:sz="8" w:color="0000EE"/>
            </w:tcBorders>
          </w:tcPr>
          <w:p>
            <w:pPr>
              <w:spacing w:after="0"/>
              <w:rPr>
                <w:sz w:val="10"/>
                <w:szCs w:val="10"/>
                <w:color w:val="auto"/>
              </w:rPr>
            </w:pPr>
          </w:p>
        </w:tc>
        <w:tc>
          <w:tcPr>
            <w:tcW w:w="40" w:type="dxa"/>
            <w:vAlign w:val="bottom"/>
            <w:tcBorders>
              <w:top w:val="single" w:sz="8" w:color="0000EE"/>
            </w:tcBorders>
          </w:tcPr>
          <w:p>
            <w:pPr>
              <w:spacing w:after="0"/>
              <w:rPr>
                <w:sz w:val="10"/>
                <w:szCs w:val="10"/>
                <w:color w:val="auto"/>
              </w:rPr>
            </w:pPr>
          </w:p>
        </w:tc>
        <w:tc>
          <w:tcPr>
            <w:tcW w:w="10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60" w:type="dxa"/>
            <w:vAlign w:val="bottom"/>
            <w:tcBorders>
              <w:top w:val="single" w:sz="8" w:color="0000EE"/>
            </w:tcBorders>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304"/>
        </w:trPr>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520" w:type="dxa"/>
            <w:vAlign w:val="bottom"/>
            <w:gridSpan w:val="9"/>
          </w:tcPr>
          <w:p>
            <w:pPr>
              <w:ind w:left="4020"/>
              <w:spacing w:after="0"/>
              <w:rPr>
                <w:sz w:val="20"/>
                <w:szCs w:val="20"/>
                <w:color w:val="auto"/>
              </w:rPr>
            </w:pPr>
            <w:r>
              <w:rPr>
                <w:rFonts w:ascii="Arial" w:cs="Arial" w:eastAsia="Arial" w:hAnsi="Arial"/>
                <w:sz w:val="12"/>
                <w:szCs w:val="12"/>
                <w:color w:val="auto"/>
              </w:rPr>
              <w:t>111</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84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3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7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4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460" w:type="dxa"/>
            <w:vAlign w:val="bottom"/>
            <w:tcBorders>
              <w:bottom w:val="single" w:sz="8" w:color="9A9A9A"/>
            </w:tcBorders>
          </w:tcPr>
          <w:p>
            <w:pPr>
              <w:spacing w:after="0"/>
              <w:rPr>
                <w:sz w:val="6"/>
                <w:szCs w:val="6"/>
                <w:color w:val="auto"/>
              </w:rPr>
            </w:pPr>
          </w:p>
        </w:tc>
        <w:tc>
          <w:tcPr>
            <w:tcW w:w="614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0">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1">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19" w:right="179" w:bottom="1440" w:gutter="0" w:footer="0" w:header="0"/>
        </w:sectPr>
      </w:pPr>
    </w:p>
    <w:bookmarkStart w:id="111" w:name="page112"/>
    <w:bookmarkEnd w:id="111"/>
    <w:tbl>
      <w:tblPr>
        <w:tblLayout w:type="fixed"/>
        <w:tblInd w:w="0" w:type="dxa"/>
        <w:tblCellMar>
          <w:top w:w="0" w:type="dxa"/>
          <w:left w:w="0" w:type="dxa"/>
          <w:bottom w:w="0" w:type="dxa"/>
          <w:right w:w="0" w:type="dxa"/>
        </w:tblCellMar>
      </w:tblPr>
      <w:tr>
        <w:trPr>
          <w:trHeight w:val="138"/>
        </w:trPr>
        <w:tc>
          <w:tcPr>
            <w:tcW w:w="1620" w:type="dxa"/>
            <w:vAlign w:val="bottom"/>
            <w:gridSpan w:val="3"/>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8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0"/>
        </w:trPr>
        <w:tc>
          <w:tcPr>
            <w:tcW w:w="840" w:type="dxa"/>
            <w:vAlign w:val="bottom"/>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37"/>
        </w:trPr>
        <w:tc>
          <w:tcPr>
            <w:tcW w:w="1620" w:type="dxa"/>
            <w:vAlign w:val="bottom"/>
            <w:gridSpan w:val="3"/>
          </w:tcPr>
          <w:p>
            <w:pPr>
              <w:ind w:left="320"/>
              <w:spacing w:after="0"/>
              <w:rPr>
                <w:sz w:val="20"/>
                <w:szCs w:val="20"/>
                <w:color w:val="auto"/>
              </w:rPr>
            </w:pPr>
            <w:r>
              <w:rPr>
                <w:rFonts w:ascii="Arial" w:cs="Arial" w:eastAsia="Arial" w:hAnsi="Arial"/>
                <w:sz w:val="12"/>
                <w:szCs w:val="12"/>
                <w:b w:val="1"/>
                <w:bCs w:val="1"/>
                <w:color w:val="auto"/>
              </w:rPr>
              <w:t>Exhibit No.</w:t>
            </w: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00" w:type="dxa"/>
            <w:vAlign w:val="bottom"/>
            <w:gridSpan w:val="15"/>
          </w:tcPr>
          <w:p>
            <w:pPr>
              <w:ind w:left="260"/>
              <w:spacing w:after="0"/>
              <w:rPr>
                <w:sz w:val="20"/>
                <w:szCs w:val="20"/>
                <w:color w:val="auto"/>
              </w:rPr>
            </w:pPr>
            <w:r>
              <w:rPr>
                <w:rFonts w:ascii="Arial" w:cs="Arial" w:eastAsia="Arial" w:hAnsi="Arial"/>
                <w:sz w:val="12"/>
                <w:szCs w:val="12"/>
                <w:b w:val="1"/>
                <w:bCs w:val="1"/>
                <w:color w:val="auto"/>
              </w:rPr>
              <w:t>Description</w:t>
            </w:r>
          </w:p>
        </w:tc>
      </w:tr>
      <w:tr>
        <w:trPr>
          <w:trHeight w:val="120"/>
        </w:trPr>
        <w:tc>
          <w:tcPr>
            <w:tcW w:w="840" w:type="dxa"/>
            <w:vAlign w:val="bottom"/>
            <w:tcBorders>
              <w:top w:val="single" w:sz="8" w:color="auto"/>
            </w:tcBorders>
          </w:tcPr>
          <w:p>
            <w:pPr>
              <w:spacing w:after="0" w:line="120" w:lineRule="exact"/>
              <w:rPr>
                <w:sz w:val="20"/>
                <w:szCs w:val="20"/>
                <w:color w:val="auto"/>
              </w:rPr>
            </w:pPr>
            <w:r>
              <w:rPr>
                <w:rFonts w:ascii="Arial" w:cs="Arial" w:eastAsia="Arial" w:hAnsi="Arial"/>
                <w:sz w:val="12"/>
                <w:szCs w:val="12"/>
                <w:color w:val="auto"/>
              </w:rPr>
              <w:t>4.9</w:t>
            </w:r>
          </w:p>
        </w:tc>
        <w:tc>
          <w:tcPr>
            <w:tcW w:w="420" w:type="dxa"/>
            <w:vAlign w:val="bottom"/>
            <w:tcBorders>
              <w:top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9560" w:type="dxa"/>
            <w:vAlign w:val="bottom"/>
            <w:tcBorders>
              <w:top w:val="single" w:sz="8" w:color="auto"/>
              <w:bottom w:val="single" w:sz="8" w:color="0000EE"/>
            </w:tcBorders>
            <w:gridSpan w:val="14"/>
          </w:tcPr>
          <w:p>
            <w:pPr>
              <w:spacing w:after="0" w:line="120" w:lineRule="exact"/>
              <w:rPr>
                <w:rFonts w:ascii="Arial" w:cs="Arial" w:eastAsia="Arial" w:hAnsi="Arial"/>
                <w:sz w:val="12"/>
                <w:szCs w:val="12"/>
                <w:color w:val="0000EE"/>
                <w:w w:val="90"/>
              </w:rPr>
            </w:pPr>
            <w:hyperlink r:id="rId162">
              <w:r>
                <w:rPr>
                  <w:rFonts w:ascii="Arial" w:cs="Arial" w:eastAsia="Arial" w:hAnsi="Arial"/>
                  <w:sz w:val="12"/>
                  <w:szCs w:val="12"/>
                  <w:color w:val="0000EE"/>
                  <w:w w:val="90"/>
                </w:rPr>
                <w:t>Third Supplemental Indenture (6.00% Senior Secured Notes due 2023), dated as of October 19, 2016, among Communications Sales &amp; Leasing, Inc. and CSL Capital, LLC, as Issuers, the guarantors</w:t>
              </w:r>
            </w:hyperlink>
          </w:p>
        </w:tc>
        <w:tc>
          <w:tcPr>
            <w:tcW w:w="320" w:type="dxa"/>
            <w:vAlign w:val="bottom"/>
            <w:tcBorders>
              <w:top w:val="single" w:sz="8" w:color="auto"/>
            </w:tcBorders>
            <w:gridSpan w:val="9"/>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3"/>
          </w:tcPr>
          <w:p>
            <w:pPr>
              <w:spacing w:after="0" w:line="124" w:lineRule="exact"/>
              <w:rPr>
                <w:rFonts w:ascii="Arial" w:cs="Arial" w:eastAsia="Arial" w:hAnsi="Arial"/>
                <w:sz w:val="12"/>
                <w:szCs w:val="12"/>
                <w:color w:val="0000EE"/>
                <w:w w:val="93"/>
              </w:rPr>
            </w:pPr>
            <w:hyperlink r:id="rId162">
              <w:r>
                <w:rPr>
                  <w:rFonts w:ascii="Arial" w:cs="Arial" w:eastAsia="Arial" w:hAnsi="Arial"/>
                  <w:sz w:val="12"/>
                  <w:szCs w:val="12"/>
                  <w:color w:val="0000EE"/>
                  <w:w w:val="93"/>
                </w:rPr>
                <w:t>thereto and Wells Fargo Bank, National Association (incorporated by reference to Exhibit 4.7 to the Company’s Annual Report on Form 10-K dated and filed with the SEC as of February 23, 2017 (File</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20" w:type="dxa"/>
            <w:vAlign w:val="bottom"/>
            <w:tcBorders>
              <w:top w:val="single" w:sz="8" w:color="0000EE"/>
              <w:bottom w:val="single" w:sz="8" w:color="0000EE"/>
            </w:tcBorders>
            <w:gridSpan w:val="2"/>
          </w:tcPr>
          <w:p>
            <w:pPr>
              <w:spacing w:after="0" w:line="124" w:lineRule="exact"/>
              <w:rPr>
                <w:rFonts w:ascii="Arial" w:cs="Arial" w:eastAsia="Arial" w:hAnsi="Arial"/>
                <w:sz w:val="12"/>
                <w:szCs w:val="12"/>
                <w:color w:val="0000EE"/>
                <w:w w:val="91"/>
              </w:rPr>
            </w:pPr>
            <w:hyperlink r:id="rId162">
              <w:r>
                <w:rPr>
                  <w:rFonts w:ascii="Arial" w:cs="Arial" w:eastAsia="Arial" w:hAnsi="Arial"/>
                  <w:sz w:val="12"/>
                  <w:szCs w:val="12"/>
                  <w:color w:val="0000EE"/>
                  <w:w w:val="91"/>
                </w:rPr>
                <w:t>No. 001-36708))</w:t>
              </w:r>
            </w:hyperlink>
          </w:p>
        </w:tc>
        <w:tc>
          <w:tcPr>
            <w:tcW w:w="8840" w:type="dxa"/>
            <w:vAlign w:val="bottom"/>
            <w:tcBorders>
              <w:top w:val="single" w:sz="8" w:color="0000EE"/>
            </w:tcBorders>
            <w:gridSpan w:val="13"/>
          </w:tcPr>
          <w:p>
            <w:pPr>
              <w:spacing w:after="0"/>
              <w:rPr>
                <w:sz w:val="10"/>
                <w:szCs w:val="10"/>
                <w:color w:val="auto"/>
              </w:rPr>
            </w:pPr>
          </w:p>
        </w:tc>
        <w:tc>
          <w:tcPr>
            <w:tcW w:w="220" w:type="dxa"/>
            <w:vAlign w:val="bottom"/>
            <w:gridSpan w:val="8"/>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4.10</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23"/>
          </w:tcPr>
          <w:p>
            <w:pPr>
              <w:spacing w:after="0"/>
              <w:rPr>
                <w:rFonts w:ascii="Arial" w:cs="Arial" w:eastAsia="Arial" w:hAnsi="Arial"/>
                <w:sz w:val="12"/>
                <w:szCs w:val="12"/>
                <w:color w:val="0000EE"/>
                <w:w w:val="93"/>
              </w:rPr>
            </w:pPr>
            <w:hyperlink r:id="rId163">
              <w:r>
                <w:rPr>
                  <w:rFonts w:ascii="Arial" w:cs="Arial" w:eastAsia="Arial" w:hAnsi="Arial"/>
                  <w:sz w:val="12"/>
                  <w:szCs w:val="12"/>
                  <w:color w:val="0000EE"/>
                  <w:w w:val="93"/>
                </w:rPr>
                <w:t>Sixth Supplemental Indenture, dated as of May 9, 2017, to the indenture dated as of April 24, 2015, among Uniti Group LP, Uniti Group Finance Inc., CSL Capital, LLC, Uniti Group Inc., the guarantors</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3"/>
          </w:tcPr>
          <w:p>
            <w:pPr>
              <w:spacing w:after="0" w:line="124" w:lineRule="exact"/>
              <w:rPr>
                <w:rFonts w:ascii="Arial" w:cs="Arial" w:eastAsia="Arial" w:hAnsi="Arial"/>
                <w:sz w:val="12"/>
                <w:szCs w:val="12"/>
                <w:color w:val="0000EE"/>
                <w:w w:val="90"/>
              </w:rPr>
            </w:pPr>
            <w:hyperlink r:id="rId163">
              <w:r>
                <w:rPr>
                  <w:rFonts w:ascii="Arial" w:cs="Arial" w:eastAsia="Arial" w:hAnsi="Arial"/>
                  <w:sz w:val="12"/>
                  <w:szCs w:val="12"/>
                  <w:color w:val="0000EE"/>
                  <w:w w:val="90"/>
                </w:rPr>
                <w:t>named therein and Wells Fargo Bank, National Association, as trustee and collateral agent, governing the 6.00% Senior Secured Notes due 2023 (incorporated by reference to Exhibit 4.3 to the Company’s</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800" w:type="dxa"/>
            <w:vAlign w:val="bottom"/>
            <w:tcBorders>
              <w:top w:val="single" w:sz="8" w:color="0000EE"/>
              <w:bottom w:val="single" w:sz="8" w:color="0000EE"/>
            </w:tcBorders>
            <w:gridSpan w:val="9"/>
          </w:tcPr>
          <w:p>
            <w:pPr>
              <w:spacing w:after="0" w:line="124" w:lineRule="exact"/>
              <w:rPr>
                <w:rFonts w:ascii="Arial" w:cs="Arial" w:eastAsia="Arial" w:hAnsi="Arial"/>
                <w:sz w:val="12"/>
                <w:szCs w:val="12"/>
                <w:color w:val="0000EE"/>
                <w:w w:val="91"/>
              </w:rPr>
            </w:pPr>
            <w:hyperlink r:id="rId163">
              <w:r>
                <w:rPr>
                  <w:rFonts w:ascii="Arial" w:cs="Arial" w:eastAsia="Arial" w:hAnsi="Arial"/>
                  <w:sz w:val="12"/>
                  <w:szCs w:val="12"/>
                  <w:color w:val="0000EE"/>
                  <w:w w:val="91"/>
                </w:rPr>
                <w:t>Current Report on Form 8-K dated and filed with the SEC as of May 9, 2017 (File No. 001-36708))</w:t>
              </w:r>
            </w:hyperlink>
          </w:p>
        </w:tc>
        <w:tc>
          <w:tcPr>
            <w:tcW w:w="5000" w:type="dxa"/>
            <w:vAlign w:val="bottom"/>
            <w:tcBorders>
              <w:top w:val="single" w:sz="8" w:color="0000EE"/>
            </w:tcBorders>
            <w:gridSpan w:val="11"/>
          </w:tcPr>
          <w:p>
            <w:pPr>
              <w:spacing w:after="0"/>
              <w:rPr>
                <w:sz w:val="10"/>
                <w:szCs w:val="10"/>
                <w:color w:val="auto"/>
              </w:rPr>
            </w:pPr>
          </w:p>
        </w:tc>
        <w:tc>
          <w:tcPr>
            <w:tcW w:w="80" w:type="dxa"/>
            <w:vAlign w:val="bottom"/>
            <w:gridSpan w:val="3"/>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4.11</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60" w:type="dxa"/>
            <w:vAlign w:val="bottom"/>
            <w:tcBorders>
              <w:bottom w:val="single" w:sz="8" w:color="0000EE"/>
            </w:tcBorders>
            <w:gridSpan w:val="22"/>
          </w:tcPr>
          <w:p>
            <w:pPr>
              <w:spacing w:after="0"/>
              <w:rPr>
                <w:rFonts w:ascii="Arial" w:cs="Arial" w:eastAsia="Arial" w:hAnsi="Arial"/>
                <w:sz w:val="12"/>
                <w:szCs w:val="12"/>
                <w:color w:val="0000EE"/>
                <w:w w:val="91"/>
              </w:rPr>
            </w:pPr>
            <w:hyperlink r:id="rId164">
              <w:r>
                <w:rPr>
                  <w:rFonts w:ascii="Arial" w:cs="Arial" w:eastAsia="Arial" w:hAnsi="Arial"/>
                  <w:sz w:val="12"/>
                  <w:szCs w:val="12"/>
                  <w:color w:val="0000EE"/>
                  <w:w w:val="91"/>
                </w:rPr>
                <w:t>Seventh Supplemental Indenture, dated as of May 9, 2017, to the indenture dated as of April 24, 2015, among Uniti Group LP, Uniti Group Finance Inc., CSL Capital, LLC, Uniti Group Inc., the guarantors</w:t>
              </w:r>
            </w:hyperlink>
          </w:p>
        </w:tc>
        <w:tc>
          <w:tcPr>
            <w:tcW w:w="20" w:type="dxa"/>
            <w:vAlign w:val="bottom"/>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3"/>
          </w:tcPr>
          <w:p>
            <w:pPr>
              <w:spacing w:after="0" w:line="124" w:lineRule="exact"/>
              <w:rPr>
                <w:rFonts w:ascii="Arial" w:cs="Arial" w:eastAsia="Arial" w:hAnsi="Arial"/>
                <w:sz w:val="12"/>
                <w:szCs w:val="12"/>
                <w:color w:val="0000EE"/>
                <w:w w:val="90"/>
              </w:rPr>
            </w:pPr>
            <w:hyperlink r:id="rId164">
              <w:r>
                <w:rPr>
                  <w:rFonts w:ascii="Arial" w:cs="Arial" w:eastAsia="Arial" w:hAnsi="Arial"/>
                  <w:sz w:val="12"/>
                  <w:szCs w:val="12"/>
                  <w:color w:val="0000EE"/>
                  <w:w w:val="90"/>
                </w:rPr>
                <w:t>named therein and Wells Fargo Bank, National Association, as trustee and collateral agent, governing the 6.00% Senior Secured Notes due 2023 (incorporated by reference to Exhibit 4.4 to the Company’s</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800" w:type="dxa"/>
            <w:vAlign w:val="bottom"/>
            <w:tcBorders>
              <w:top w:val="single" w:sz="8" w:color="0000EE"/>
              <w:bottom w:val="single" w:sz="8" w:color="0000EE"/>
            </w:tcBorders>
            <w:gridSpan w:val="9"/>
          </w:tcPr>
          <w:p>
            <w:pPr>
              <w:spacing w:after="0" w:line="124" w:lineRule="exact"/>
              <w:rPr>
                <w:rFonts w:ascii="Arial" w:cs="Arial" w:eastAsia="Arial" w:hAnsi="Arial"/>
                <w:sz w:val="12"/>
                <w:szCs w:val="12"/>
                <w:color w:val="0000EE"/>
                <w:w w:val="91"/>
              </w:rPr>
            </w:pPr>
            <w:hyperlink r:id="rId164">
              <w:r>
                <w:rPr>
                  <w:rFonts w:ascii="Arial" w:cs="Arial" w:eastAsia="Arial" w:hAnsi="Arial"/>
                  <w:sz w:val="12"/>
                  <w:szCs w:val="12"/>
                  <w:color w:val="0000EE"/>
                  <w:w w:val="91"/>
                </w:rPr>
                <w:t>Current Report on Form 8-K dated and filed with the SEC as of May 9, 2017 (File No. 001-36708))</w:t>
              </w:r>
            </w:hyperlink>
          </w:p>
        </w:tc>
        <w:tc>
          <w:tcPr>
            <w:tcW w:w="5000" w:type="dxa"/>
            <w:vAlign w:val="bottom"/>
            <w:tcBorders>
              <w:top w:val="single" w:sz="8" w:color="0000EE"/>
            </w:tcBorders>
            <w:gridSpan w:val="11"/>
          </w:tcPr>
          <w:p>
            <w:pPr>
              <w:spacing w:after="0"/>
              <w:rPr>
                <w:sz w:val="10"/>
                <w:szCs w:val="10"/>
                <w:color w:val="auto"/>
              </w:rPr>
            </w:pPr>
          </w:p>
        </w:tc>
        <w:tc>
          <w:tcPr>
            <w:tcW w:w="80" w:type="dxa"/>
            <w:vAlign w:val="bottom"/>
            <w:gridSpan w:val="3"/>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4.12</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00" w:type="dxa"/>
            <w:vAlign w:val="bottom"/>
            <w:tcBorders>
              <w:bottom w:val="single" w:sz="8" w:color="0000EE"/>
            </w:tcBorders>
            <w:gridSpan w:val="20"/>
          </w:tcPr>
          <w:p>
            <w:pPr>
              <w:spacing w:after="0"/>
              <w:rPr>
                <w:rFonts w:ascii="Arial" w:cs="Arial" w:eastAsia="Arial" w:hAnsi="Arial"/>
                <w:sz w:val="12"/>
                <w:szCs w:val="12"/>
                <w:color w:val="0000EE"/>
                <w:w w:val="91"/>
              </w:rPr>
            </w:pPr>
            <w:hyperlink r:id="rId165">
              <w:r>
                <w:rPr>
                  <w:rFonts w:ascii="Arial" w:cs="Arial" w:eastAsia="Arial" w:hAnsi="Arial"/>
                  <w:sz w:val="12"/>
                  <w:szCs w:val="12"/>
                  <w:color w:val="0000EE"/>
                  <w:w w:val="91"/>
                </w:rPr>
                <w:t>Articles Supplementary for 3.00% Series A Convertible Preferred Stock (incorporated by reference to Exhibit 4.1 to the Company’s Current Report on Form 8-K dated and filed with the SEC as of May 4,</w:t>
              </w:r>
            </w:hyperlink>
          </w:p>
        </w:tc>
        <w:tc>
          <w:tcPr>
            <w:tcW w:w="80" w:type="dxa"/>
            <w:vAlign w:val="bottom"/>
            <w:gridSpan w:val="3"/>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340" w:type="dxa"/>
            <w:vAlign w:val="bottom"/>
            <w:tcBorders>
              <w:bottom w:val="single" w:sz="8" w:color="0000EE"/>
            </w:tcBorders>
            <w:gridSpan w:val="3"/>
          </w:tcPr>
          <w:p>
            <w:pPr>
              <w:spacing w:after="0" w:line="124" w:lineRule="exact"/>
              <w:rPr>
                <w:rFonts w:ascii="Arial" w:cs="Arial" w:eastAsia="Arial" w:hAnsi="Arial"/>
                <w:sz w:val="12"/>
                <w:szCs w:val="12"/>
                <w:color w:val="0000EE"/>
                <w:w w:val="91"/>
              </w:rPr>
            </w:pPr>
            <w:hyperlink r:id="rId165">
              <w:r>
                <w:rPr>
                  <w:rFonts w:ascii="Arial" w:cs="Arial" w:eastAsia="Arial" w:hAnsi="Arial"/>
                  <w:sz w:val="12"/>
                  <w:szCs w:val="12"/>
                  <w:color w:val="0000EE"/>
                  <w:w w:val="91"/>
                </w:rPr>
                <w:t>2016 (File No. 001-36708))</w:t>
              </w:r>
            </w:hyperlink>
          </w:p>
        </w:tc>
        <w:tc>
          <w:tcPr>
            <w:tcW w:w="8540" w:type="dxa"/>
            <w:vAlign w:val="bottom"/>
            <w:gridSpan w:val="20"/>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4.13</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00" w:type="dxa"/>
            <w:vAlign w:val="bottom"/>
            <w:tcBorders>
              <w:bottom w:val="single" w:sz="8" w:color="0000EE"/>
            </w:tcBorders>
            <w:gridSpan w:val="19"/>
          </w:tcPr>
          <w:p>
            <w:pPr>
              <w:spacing w:after="0"/>
              <w:rPr>
                <w:rFonts w:ascii="Arial" w:cs="Arial" w:eastAsia="Arial" w:hAnsi="Arial"/>
                <w:sz w:val="12"/>
                <w:szCs w:val="12"/>
                <w:color w:val="0000EE"/>
                <w:w w:val="91"/>
              </w:rPr>
            </w:pPr>
            <w:hyperlink r:id="rId166">
              <w:r>
                <w:rPr>
                  <w:rFonts w:ascii="Arial" w:cs="Arial" w:eastAsia="Arial" w:hAnsi="Arial"/>
                  <w:sz w:val="12"/>
                  <w:szCs w:val="12"/>
                  <w:color w:val="0000EE"/>
                  <w:w w:val="91"/>
                </w:rPr>
                <w:t>Articles of Amendment to Articles Supplementary for 3.00% Series A Convertible Preferred Stock (incorporated by reference to Exhibit 3.1 to the Company’s Current Report on Form 8-K dated and filed</w:t>
              </w:r>
            </w:hyperlink>
          </w:p>
        </w:tc>
        <w:tc>
          <w:tcPr>
            <w:tcW w:w="80" w:type="dxa"/>
            <w:vAlign w:val="bottom"/>
            <w:gridSpan w:val="4"/>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40" w:type="dxa"/>
            <w:vAlign w:val="bottom"/>
            <w:tcBorders>
              <w:bottom w:val="single" w:sz="8" w:color="0000EE"/>
            </w:tcBorders>
            <w:gridSpan w:val="6"/>
          </w:tcPr>
          <w:p>
            <w:pPr>
              <w:spacing w:after="0" w:line="124" w:lineRule="exact"/>
              <w:rPr>
                <w:rFonts w:ascii="Arial" w:cs="Arial" w:eastAsia="Arial" w:hAnsi="Arial"/>
                <w:sz w:val="12"/>
                <w:szCs w:val="12"/>
                <w:color w:val="0000EE"/>
                <w:w w:val="91"/>
              </w:rPr>
            </w:pPr>
            <w:hyperlink r:id="rId166">
              <w:r>
                <w:rPr>
                  <w:rFonts w:ascii="Arial" w:cs="Arial" w:eastAsia="Arial" w:hAnsi="Arial"/>
                  <w:sz w:val="12"/>
                  <w:szCs w:val="12"/>
                  <w:color w:val="0000EE"/>
                  <w:w w:val="91"/>
                </w:rPr>
                <w:t>with the SEC as of May 9, 2017 (File No. 001-36708))</w:t>
              </w:r>
            </w:hyperlink>
          </w:p>
        </w:tc>
        <w:tc>
          <w:tcPr>
            <w:tcW w:w="7240" w:type="dxa"/>
            <w:vAlign w:val="bottom"/>
            <w:gridSpan w:val="17"/>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4.14</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780" w:type="dxa"/>
            <w:vAlign w:val="bottom"/>
            <w:tcBorders>
              <w:bottom w:val="single" w:sz="8" w:color="0000EE"/>
            </w:tcBorders>
            <w:gridSpan w:val="18"/>
          </w:tcPr>
          <w:p>
            <w:pPr>
              <w:spacing w:after="0"/>
              <w:rPr>
                <w:rFonts w:ascii="Arial" w:cs="Arial" w:eastAsia="Arial" w:hAnsi="Arial"/>
                <w:sz w:val="12"/>
                <w:szCs w:val="12"/>
                <w:color w:val="0000EE"/>
                <w:w w:val="90"/>
              </w:rPr>
            </w:pPr>
            <w:hyperlink r:id="rId167">
              <w:r>
                <w:rPr>
                  <w:rFonts w:ascii="Arial" w:cs="Arial" w:eastAsia="Arial" w:hAnsi="Arial"/>
                  <w:sz w:val="12"/>
                  <w:szCs w:val="12"/>
                  <w:color w:val="0000EE"/>
                  <w:w w:val="90"/>
                </w:rPr>
                <w:t>Indenture, dated as of December 15, 2016, among Communications Sales &amp; Leasing, Inc. and CSL Capital, LLC, as Issuers, the guarantors named therein, and Wells Fargo Bank, National Association, as</w:t>
              </w:r>
            </w:hyperlink>
          </w:p>
        </w:tc>
        <w:tc>
          <w:tcPr>
            <w:tcW w:w="100" w:type="dxa"/>
            <w:vAlign w:val="bottom"/>
            <w:gridSpan w:val="5"/>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80" w:type="dxa"/>
            <w:vAlign w:val="bottom"/>
            <w:tcBorders>
              <w:bottom w:val="single" w:sz="8" w:color="0000EE"/>
            </w:tcBorders>
            <w:gridSpan w:val="18"/>
          </w:tcPr>
          <w:p>
            <w:pPr>
              <w:spacing w:after="0" w:line="124" w:lineRule="exact"/>
              <w:rPr>
                <w:rFonts w:ascii="Arial" w:cs="Arial" w:eastAsia="Arial" w:hAnsi="Arial"/>
                <w:sz w:val="12"/>
                <w:szCs w:val="12"/>
                <w:color w:val="0000EE"/>
                <w:w w:val="91"/>
              </w:rPr>
            </w:pPr>
            <w:hyperlink r:id="rId167">
              <w:r>
                <w:rPr>
                  <w:rFonts w:ascii="Arial" w:cs="Arial" w:eastAsia="Arial" w:hAnsi="Arial"/>
                  <w:sz w:val="12"/>
                  <w:szCs w:val="12"/>
                  <w:color w:val="0000EE"/>
                  <w:w w:val="91"/>
                </w:rPr>
                <w:t>trustee, governing the 7.125% Senior Notes due 2024 (incorporated by reference to Exhibit 4.1 of the Company’s Current Report on Form 8-K dated and filed with the SEC as of December 15, 2016 (File</w:t>
              </w:r>
            </w:hyperlink>
          </w:p>
        </w:tc>
        <w:tc>
          <w:tcPr>
            <w:tcW w:w="100" w:type="dxa"/>
            <w:vAlign w:val="bottom"/>
            <w:gridSpan w:val="5"/>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3"/>
          </w:tcPr>
          <w:p>
            <w:pPr>
              <w:spacing w:after="0" w:line="124" w:lineRule="exact"/>
              <w:rPr>
                <w:rFonts w:ascii="Arial" w:cs="Arial" w:eastAsia="Arial" w:hAnsi="Arial"/>
                <w:sz w:val="12"/>
                <w:szCs w:val="12"/>
                <w:color w:val="0000EE"/>
              </w:rPr>
            </w:pPr>
            <w:hyperlink r:id="rId167">
              <w:r>
                <w:rPr>
                  <w:rFonts w:ascii="Arial" w:cs="Arial" w:eastAsia="Arial" w:hAnsi="Arial"/>
                  <w:sz w:val="12"/>
                  <w:szCs w:val="12"/>
                  <w:color w:val="0000EE"/>
                </w:rPr>
                <w:t>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4.15</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440" w:type="dxa"/>
            <w:vAlign w:val="bottom"/>
            <w:tcBorders>
              <w:bottom w:val="single" w:sz="8" w:color="0000EE"/>
            </w:tcBorders>
            <w:gridSpan w:val="11"/>
          </w:tcPr>
          <w:p>
            <w:pPr>
              <w:spacing w:after="0"/>
              <w:rPr>
                <w:rFonts w:ascii="Arial" w:cs="Arial" w:eastAsia="Arial" w:hAnsi="Arial"/>
                <w:sz w:val="12"/>
                <w:szCs w:val="12"/>
                <w:color w:val="0000EE"/>
                <w:w w:val="91"/>
              </w:rPr>
            </w:pPr>
            <w:hyperlink r:id="rId167">
              <w:r>
                <w:rPr>
                  <w:rFonts w:ascii="Arial" w:cs="Arial" w:eastAsia="Arial" w:hAnsi="Arial"/>
                  <w:sz w:val="12"/>
                  <w:szCs w:val="12"/>
                  <w:color w:val="0000EE"/>
                  <w:w w:val="91"/>
                </w:rPr>
                <w:t>Form of 7.125% Senior Note due 2024 (included in Exhibit 4.14 above) (incorporated by reference to Exhibit 4.2 of the Company’s Current Report on Form 8-K dated and filed with the SEC as of</w:t>
              </w:r>
            </w:hyperlink>
          </w:p>
        </w:tc>
        <w:tc>
          <w:tcPr>
            <w:tcW w:w="440" w:type="dxa"/>
            <w:vAlign w:val="bottom"/>
            <w:gridSpan w:val="12"/>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40" w:type="dxa"/>
            <w:vAlign w:val="bottom"/>
            <w:tcBorders>
              <w:bottom w:val="single" w:sz="8" w:color="0000EE"/>
            </w:tcBorders>
            <w:gridSpan w:val="4"/>
          </w:tcPr>
          <w:p>
            <w:pPr>
              <w:spacing w:after="0" w:line="124" w:lineRule="exact"/>
              <w:rPr>
                <w:rFonts w:ascii="Arial" w:cs="Arial" w:eastAsia="Arial" w:hAnsi="Arial"/>
                <w:sz w:val="12"/>
                <w:szCs w:val="12"/>
                <w:color w:val="0000EE"/>
                <w:w w:val="90"/>
              </w:rPr>
            </w:pPr>
            <w:hyperlink r:id="rId167">
              <w:r>
                <w:rPr>
                  <w:rFonts w:ascii="Arial" w:cs="Arial" w:eastAsia="Arial" w:hAnsi="Arial"/>
                  <w:sz w:val="12"/>
                  <w:szCs w:val="12"/>
                  <w:color w:val="0000EE"/>
                  <w:w w:val="90"/>
                </w:rPr>
                <w:t>December 15, 2016 (File No. 001-36708))</w:t>
              </w:r>
            </w:hyperlink>
          </w:p>
        </w:tc>
        <w:tc>
          <w:tcPr>
            <w:tcW w:w="7840" w:type="dxa"/>
            <w:vAlign w:val="bottom"/>
            <w:gridSpan w:val="19"/>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4.16</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420" w:type="dxa"/>
            <w:vAlign w:val="bottom"/>
            <w:tcBorders>
              <w:bottom w:val="single" w:sz="8" w:color="0000EE"/>
            </w:tcBorders>
            <w:gridSpan w:val="10"/>
          </w:tcPr>
          <w:p>
            <w:pPr>
              <w:spacing w:after="0"/>
              <w:rPr>
                <w:rFonts w:ascii="Arial" w:cs="Arial" w:eastAsia="Arial" w:hAnsi="Arial"/>
                <w:sz w:val="12"/>
                <w:szCs w:val="12"/>
                <w:color w:val="0000EE"/>
                <w:w w:val="90"/>
              </w:rPr>
            </w:pPr>
            <w:hyperlink r:id="rId168">
              <w:r>
                <w:rPr>
                  <w:rFonts w:ascii="Arial" w:cs="Arial" w:eastAsia="Arial" w:hAnsi="Arial"/>
                  <w:sz w:val="12"/>
                  <w:szCs w:val="12"/>
                  <w:color w:val="0000EE"/>
                  <w:w w:val="90"/>
                </w:rPr>
                <w:t>First Supplemental Indenture, dated as of February 22, 2017, to the Indenture, dated as of December 15, 2016, among Communications Sales &amp; Leasing, Inc. and CSL Capital, LLC, as Issuers, the</w:t>
              </w:r>
            </w:hyperlink>
          </w:p>
        </w:tc>
        <w:tc>
          <w:tcPr>
            <w:tcW w:w="460" w:type="dxa"/>
            <w:vAlign w:val="bottom"/>
            <w:gridSpan w:val="13"/>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3"/>
          </w:tcPr>
          <w:p>
            <w:pPr>
              <w:spacing w:after="0" w:line="124" w:lineRule="exact"/>
              <w:rPr>
                <w:rFonts w:ascii="Arial" w:cs="Arial" w:eastAsia="Arial" w:hAnsi="Arial"/>
                <w:sz w:val="12"/>
                <w:szCs w:val="12"/>
                <w:color w:val="0000EE"/>
                <w:w w:val="90"/>
              </w:rPr>
            </w:pPr>
            <w:hyperlink r:id="rId168">
              <w:r>
                <w:rPr>
                  <w:rFonts w:ascii="Arial" w:cs="Arial" w:eastAsia="Arial" w:hAnsi="Arial"/>
                  <w:sz w:val="12"/>
                  <w:szCs w:val="12"/>
                  <w:color w:val="0000EE"/>
                  <w:w w:val="90"/>
                </w:rPr>
                <w:t>guarantors named therein, and Wells Fargo Bank, National Association, as trustee, governing the 7.125% Senior Notes due 2024 (incorporated by reference to Exhibit 4.11 to the Company’s Annual Report</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380" w:type="dxa"/>
            <w:vAlign w:val="bottom"/>
            <w:tcBorders>
              <w:top w:val="single" w:sz="8" w:color="0000EE"/>
              <w:bottom w:val="single" w:sz="8" w:color="0000EE"/>
            </w:tcBorders>
            <w:gridSpan w:val="8"/>
          </w:tcPr>
          <w:p>
            <w:pPr>
              <w:spacing w:after="0" w:line="124" w:lineRule="exact"/>
              <w:rPr>
                <w:rFonts w:ascii="Arial" w:cs="Arial" w:eastAsia="Arial" w:hAnsi="Arial"/>
                <w:sz w:val="12"/>
                <w:szCs w:val="12"/>
                <w:color w:val="0000EE"/>
                <w:w w:val="91"/>
              </w:rPr>
            </w:pPr>
            <w:hyperlink r:id="rId168">
              <w:r>
                <w:rPr>
                  <w:rFonts w:ascii="Arial" w:cs="Arial" w:eastAsia="Arial" w:hAnsi="Arial"/>
                  <w:sz w:val="12"/>
                  <w:szCs w:val="12"/>
                  <w:color w:val="0000EE"/>
                  <w:w w:val="91"/>
                </w:rPr>
                <w:t>on Form 10-K dated and filed with the SEC as of February 23, 2017 (File No. 001-36708))</w:t>
              </w:r>
            </w:hyperlink>
          </w:p>
        </w:tc>
        <w:tc>
          <w:tcPr>
            <w:tcW w:w="5460" w:type="dxa"/>
            <w:vAlign w:val="bottom"/>
            <w:tcBorders>
              <w:top w:val="single" w:sz="8" w:color="0000EE"/>
            </w:tcBorders>
            <w:gridSpan w:val="13"/>
          </w:tcPr>
          <w:p>
            <w:pPr>
              <w:spacing w:after="0"/>
              <w:rPr>
                <w:sz w:val="10"/>
                <w:szCs w:val="10"/>
                <w:color w:val="auto"/>
              </w:rPr>
            </w:pPr>
          </w:p>
        </w:tc>
        <w:tc>
          <w:tcPr>
            <w:tcW w:w="40" w:type="dxa"/>
            <w:vAlign w:val="bottom"/>
            <w:gridSpan w:val="2"/>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4.17</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23"/>
          </w:tcPr>
          <w:p>
            <w:pPr>
              <w:spacing w:after="0"/>
              <w:rPr>
                <w:rFonts w:ascii="Arial" w:cs="Arial" w:eastAsia="Arial" w:hAnsi="Arial"/>
                <w:sz w:val="12"/>
                <w:szCs w:val="12"/>
                <w:color w:val="0000EE"/>
                <w:w w:val="95"/>
              </w:rPr>
            </w:pPr>
            <w:hyperlink r:id="rId169">
              <w:r>
                <w:rPr>
                  <w:rFonts w:ascii="Arial" w:cs="Arial" w:eastAsia="Arial" w:hAnsi="Arial"/>
                  <w:sz w:val="12"/>
                  <w:szCs w:val="12"/>
                  <w:color w:val="0000EE"/>
                  <w:w w:val="95"/>
                </w:rPr>
                <w:t>Third Supplemental Indenture, dated as of May 9, 2017, to the indenture dated as of December 15, 2016, among Uniti Group LP, Uniti Fiber Holdings Inc., CSL Capital, LLC, Uniti Group Inc., the</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20" w:type="dxa"/>
            <w:vAlign w:val="bottom"/>
            <w:gridSpan w:val="5"/>
            <w:shd w:val="clear" w:color="auto" w:fill="0000EE"/>
          </w:tcPr>
          <w:p>
            <w:pPr>
              <w:spacing w:after="0" w:line="20" w:lineRule="exact"/>
              <w:rPr>
                <w:sz w:val="1"/>
                <w:szCs w:val="1"/>
                <w:color w:val="auto"/>
              </w:rPr>
            </w:pPr>
          </w:p>
        </w:tc>
        <w:tc>
          <w:tcPr>
            <w:tcW w:w="1920" w:type="dxa"/>
            <w:vAlign w:val="bottom"/>
            <w:gridSpan w:val="2"/>
            <w:shd w:val="clear" w:color="auto" w:fill="0000EE"/>
          </w:tcPr>
          <w:p>
            <w:pPr>
              <w:spacing w:after="0" w:line="20" w:lineRule="exact"/>
              <w:rPr>
                <w:sz w:val="1"/>
                <w:szCs w:val="1"/>
                <w:color w:val="auto"/>
              </w:rPr>
            </w:pPr>
          </w:p>
        </w:tc>
        <w:tc>
          <w:tcPr>
            <w:tcW w:w="5400" w:type="dxa"/>
            <w:vAlign w:val="bottom"/>
            <w:gridSpan w:val="4"/>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5"/>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80" w:type="dxa"/>
            <w:vAlign w:val="bottom"/>
            <w:tcBorders>
              <w:bottom w:val="single" w:sz="8" w:color="0000EE"/>
            </w:tcBorders>
            <w:gridSpan w:val="18"/>
          </w:tcPr>
          <w:p>
            <w:pPr>
              <w:spacing w:after="0" w:line="124" w:lineRule="exact"/>
              <w:rPr>
                <w:rFonts w:ascii="Arial" w:cs="Arial" w:eastAsia="Arial" w:hAnsi="Arial"/>
                <w:sz w:val="12"/>
                <w:szCs w:val="12"/>
                <w:color w:val="0000EE"/>
                <w:w w:val="90"/>
              </w:rPr>
            </w:pPr>
            <w:hyperlink r:id="rId169">
              <w:r>
                <w:rPr>
                  <w:rFonts w:ascii="Arial" w:cs="Arial" w:eastAsia="Arial" w:hAnsi="Arial"/>
                  <w:sz w:val="12"/>
                  <w:szCs w:val="12"/>
                  <w:color w:val="0000EE"/>
                  <w:w w:val="90"/>
                </w:rPr>
                <w:t>guarantors named therein and Wells Fargo Bank, National Association, as trustee, governing the 7.125% Senior Notes due 2024 (incorporated by reference to Exhibit 4.5 to the Company’s Current Report</w:t>
              </w:r>
            </w:hyperlink>
          </w:p>
        </w:tc>
        <w:tc>
          <w:tcPr>
            <w:tcW w:w="100" w:type="dxa"/>
            <w:vAlign w:val="bottom"/>
            <w:gridSpan w:val="5"/>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040" w:type="dxa"/>
            <w:vAlign w:val="bottom"/>
            <w:tcBorders>
              <w:bottom w:val="single" w:sz="8" w:color="0000EE"/>
            </w:tcBorders>
            <w:gridSpan w:val="7"/>
          </w:tcPr>
          <w:p>
            <w:pPr>
              <w:spacing w:after="0" w:line="124" w:lineRule="exact"/>
              <w:rPr>
                <w:rFonts w:ascii="Arial" w:cs="Arial" w:eastAsia="Arial" w:hAnsi="Arial"/>
                <w:sz w:val="12"/>
                <w:szCs w:val="12"/>
                <w:color w:val="0000EE"/>
                <w:w w:val="91"/>
              </w:rPr>
            </w:pPr>
            <w:hyperlink r:id="rId169">
              <w:r>
                <w:rPr>
                  <w:rFonts w:ascii="Arial" w:cs="Arial" w:eastAsia="Arial" w:hAnsi="Arial"/>
                  <w:sz w:val="12"/>
                  <w:szCs w:val="12"/>
                  <w:color w:val="0000EE"/>
                  <w:w w:val="91"/>
                </w:rPr>
                <w:t>on Form 8-K dated and filed with the SEC as of May 9, 2017 (File No. 001-36708))</w:t>
              </w:r>
            </w:hyperlink>
          </w:p>
        </w:tc>
        <w:tc>
          <w:tcPr>
            <w:tcW w:w="5840" w:type="dxa"/>
            <w:vAlign w:val="bottom"/>
            <w:gridSpan w:val="16"/>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4.18</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500" w:type="dxa"/>
            <w:vAlign w:val="bottom"/>
            <w:tcBorders>
              <w:bottom w:val="single" w:sz="8" w:color="0000EE"/>
            </w:tcBorders>
            <w:gridSpan w:val="12"/>
          </w:tcPr>
          <w:p>
            <w:pPr>
              <w:spacing w:after="0"/>
              <w:rPr>
                <w:rFonts w:ascii="Arial" w:cs="Arial" w:eastAsia="Arial" w:hAnsi="Arial"/>
                <w:sz w:val="12"/>
                <w:szCs w:val="12"/>
                <w:color w:val="0000EE"/>
                <w:w w:val="91"/>
              </w:rPr>
            </w:pPr>
            <w:hyperlink r:id="rId170">
              <w:r>
                <w:rPr>
                  <w:rFonts w:ascii="Arial" w:cs="Arial" w:eastAsia="Arial" w:hAnsi="Arial"/>
                  <w:sz w:val="12"/>
                  <w:szCs w:val="12"/>
                  <w:color w:val="0000EE"/>
                  <w:w w:val="91"/>
                </w:rPr>
                <w:t>Fourth Supplemental Indenture, dated as of May 9, 2017, to the indenture dated as of December 15, 2016, among Uniti Group LP, Uniti Fiber Holdings Inc., CSL Capital, LLC, Uniti Group Inc., the</w:t>
              </w:r>
            </w:hyperlink>
          </w:p>
        </w:tc>
        <w:tc>
          <w:tcPr>
            <w:tcW w:w="380" w:type="dxa"/>
            <w:vAlign w:val="bottom"/>
            <w:gridSpan w:val="11"/>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80" w:type="dxa"/>
            <w:vAlign w:val="bottom"/>
            <w:tcBorders>
              <w:bottom w:val="single" w:sz="8" w:color="0000EE"/>
            </w:tcBorders>
            <w:gridSpan w:val="18"/>
          </w:tcPr>
          <w:p>
            <w:pPr>
              <w:spacing w:after="0" w:line="124" w:lineRule="exact"/>
              <w:rPr>
                <w:rFonts w:ascii="Arial" w:cs="Arial" w:eastAsia="Arial" w:hAnsi="Arial"/>
                <w:sz w:val="12"/>
                <w:szCs w:val="12"/>
                <w:color w:val="0000EE"/>
                <w:w w:val="90"/>
              </w:rPr>
            </w:pPr>
            <w:hyperlink r:id="rId170">
              <w:r>
                <w:rPr>
                  <w:rFonts w:ascii="Arial" w:cs="Arial" w:eastAsia="Arial" w:hAnsi="Arial"/>
                  <w:sz w:val="12"/>
                  <w:szCs w:val="12"/>
                  <w:color w:val="0000EE"/>
                  <w:w w:val="90"/>
                </w:rPr>
                <w:t>guarantors named therein and Wells Fargo Bank, National Association, as trustee, governing the 7.125% Senior Notes due 2024 (incorporated by reference to Exhibit 4.6 to the Company’s Current Report</w:t>
              </w:r>
            </w:hyperlink>
          </w:p>
        </w:tc>
        <w:tc>
          <w:tcPr>
            <w:tcW w:w="100" w:type="dxa"/>
            <w:vAlign w:val="bottom"/>
            <w:gridSpan w:val="5"/>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040" w:type="dxa"/>
            <w:vAlign w:val="bottom"/>
            <w:tcBorders>
              <w:bottom w:val="single" w:sz="8" w:color="0000EE"/>
            </w:tcBorders>
            <w:gridSpan w:val="7"/>
          </w:tcPr>
          <w:p>
            <w:pPr>
              <w:spacing w:after="0" w:line="124" w:lineRule="exact"/>
              <w:rPr>
                <w:rFonts w:ascii="Arial" w:cs="Arial" w:eastAsia="Arial" w:hAnsi="Arial"/>
                <w:sz w:val="12"/>
                <w:szCs w:val="12"/>
                <w:color w:val="0000EE"/>
                <w:w w:val="91"/>
              </w:rPr>
            </w:pPr>
            <w:hyperlink r:id="rId170">
              <w:r>
                <w:rPr>
                  <w:rFonts w:ascii="Arial" w:cs="Arial" w:eastAsia="Arial" w:hAnsi="Arial"/>
                  <w:sz w:val="12"/>
                  <w:szCs w:val="12"/>
                  <w:color w:val="0000EE"/>
                  <w:w w:val="91"/>
                </w:rPr>
                <w:t>on Form 8-K dated and filed with the SEC as of May 9, 2017 (File No. 001-36708))</w:t>
              </w:r>
            </w:hyperlink>
          </w:p>
        </w:tc>
        <w:tc>
          <w:tcPr>
            <w:tcW w:w="5840" w:type="dxa"/>
            <w:vAlign w:val="bottom"/>
            <w:gridSpan w:val="16"/>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4.19</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540" w:type="dxa"/>
            <w:vAlign w:val="bottom"/>
            <w:tcBorders>
              <w:bottom w:val="single" w:sz="8" w:color="0000EE"/>
            </w:tcBorders>
            <w:gridSpan w:val="13"/>
          </w:tcPr>
          <w:p>
            <w:pPr>
              <w:spacing w:after="0"/>
              <w:rPr>
                <w:rFonts w:ascii="Arial" w:cs="Arial" w:eastAsia="Arial" w:hAnsi="Arial"/>
                <w:sz w:val="12"/>
                <w:szCs w:val="12"/>
                <w:color w:val="0000EE"/>
                <w:w w:val="90"/>
              </w:rPr>
            </w:pPr>
            <w:hyperlink r:id="rId171">
              <w:r>
                <w:rPr>
                  <w:rFonts w:ascii="Arial" w:cs="Arial" w:eastAsia="Arial" w:hAnsi="Arial"/>
                  <w:sz w:val="12"/>
                  <w:szCs w:val="12"/>
                  <w:color w:val="0000EE"/>
                  <w:w w:val="90"/>
                </w:rPr>
                <w:t>Fifth Supplemental Indenture, dated as of August 11, 2017, among Uniti Group LP, Uniti Fiber Holdings Inc., and CSL Capital, LLC, as Issuers, the guarantors named therein, and Wells Fargo Bank,</w:t>
              </w:r>
            </w:hyperlink>
          </w:p>
        </w:tc>
        <w:tc>
          <w:tcPr>
            <w:tcW w:w="340" w:type="dxa"/>
            <w:vAlign w:val="bottom"/>
            <w:gridSpan w:val="10"/>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60" w:type="dxa"/>
            <w:vAlign w:val="bottom"/>
            <w:tcBorders>
              <w:bottom w:val="single" w:sz="8" w:color="0000EE"/>
            </w:tcBorders>
            <w:gridSpan w:val="17"/>
          </w:tcPr>
          <w:p>
            <w:pPr>
              <w:spacing w:after="0" w:line="124" w:lineRule="exact"/>
              <w:rPr>
                <w:rFonts w:ascii="Arial" w:cs="Arial" w:eastAsia="Arial" w:hAnsi="Arial"/>
                <w:sz w:val="12"/>
                <w:szCs w:val="12"/>
                <w:color w:val="0000EE"/>
                <w:w w:val="90"/>
              </w:rPr>
            </w:pPr>
            <w:hyperlink r:id="rId171">
              <w:r>
                <w:rPr>
                  <w:rFonts w:ascii="Arial" w:cs="Arial" w:eastAsia="Arial" w:hAnsi="Arial"/>
                  <w:sz w:val="12"/>
                  <w:szCs w:val="12"/>
                  <w:color w:val="0000EE"/>
                  <w:w w:val="90"/>
                </w:rPr>
                <w:t>National Association, as trustee, relating to the 7.125% Senior Notes due 2024 (incorporated by reference to Exhibit 4.1 to the Company’s Quarterly Report on Form 10-Q dated and filed with the SEC as</w:t>
              </w:r>
            </w:hyperlink>
          </w:p>
        </w:tc>
        <w:tc>
          <w:tcPr>
            <w:tcW w:w="120" w:type="dxa"/>
            <w:vAlign w:val="bottom"/>
            <w:gridSpan w:val="6"/>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3"/>
          </w:tcPr>
          <w:p>
            <w:pPr>
              <w:spacing w:after="0" w:line="124" w:lineRule="exact"/>
              <w:rPr>
                <w:rFonts w:ascii="Arial" w:cs="Arial" w:eastAsia="Arial" w:hAnsi="Arial"/>
                <w:sz w:val="12"/>
                <w:szCs w:val="12"/>
                <w:color w:val="0000EE"/>
              </w:rPr>
            </w:pPr>
            <w:hyperlink r:id="rId171">
              <w:r>
                <w:rPr>
                  <w:rFonts w:ascii="Arial" w:cs="Arial" w:eastAsia="Arial" w:hAnsi="Arial"/>
                  <w:sz w:val="12"/>
                  <w:szCs w:val="12"/>
                  <w:color w:val="0000EE"/>
                </w:rPr>
                <w:t>of November 2, 2017 (File No. 001-36708))</w:t>
              </w:r>
            </w:hyperlink>
          </w:p>
        </w:tc>
      </w:tr>
      <w:tr>
        <w:trPr>
          <w:trHeight w:val="304"/>
        </w:trPr>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top w:val="single" w:sz="8" w:color="0000EE"/>
            </w:tcBorders>
            <w:gridSpan w:val="5"/>
          </w:tcPr>
          <w:p>
            <w:pPr>
              <w:spacing w:after="0"/>
              <w:rPr>
                <w:sz w:val="24"/>
                <w:szCs w:val="24"/>
                <w:color w:val="auto"/>
              </w:rPr>
            </w:pPr>
          </w:p>
        </w:tc>
        <w:tc>
          <w:tcPr>
            <w:tcW w:w="2260" w:type="dxa"/>
            <w:vAlign w:val="bottom"/>
            <w:gridSpan w:val="3"/>
          </w:tcPr>
          <w:p>
            <w:pPr>
              <w:jc w:val="right"/>
              <w:ind w:right="180"/>
              <w:spacing w:after="0"/>
              <w:rPr>
                <w:sz w:val="20"/>
                <w:szCs w:val="20"/>
                <w:color w:val="auto"/>
              </w:rPr>
            </w:pPr>
            <w:r>
              <w:rPr>
                <w:rFonts w:ascii="Arial" w:cs="Arial" w:eastAsia="Arial" w:hAnsi="Arial"/>
                <w:sz w:val="12"/>
                <w:szCs w:val="12"/>
                <w:color w:val="auto"/>
              </w:rPr>
              <w:t>112</w:t>
            </w:r>
          </w:p>
        </w:tc>
        <w:tc>
          <w:tcPr>
            <w:tcW w:w="420" w:type="dxa"/>
            <w:vAlign w:val="bottom"/>
          </w:tcPr>
          <w:p>
            <w:pPr>
              <w:spacing w:after="0"/>
              <w:rPr>
                <w:sz w:val="24"/>
                <w:szCs w:val="24"/>
                <w:color w:val="auto"/>
              </w:rPr>
            </w:pPr>
          </w:p>
        </w:tc>
        <w:tc>
          <w:tcPr>
            <w:tcW w:w="4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84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20" w:type="dxa"/>
            <w:vAlign w:val="bottom"/>
            <w:tcBorders>
              <w:bottom w:val="single" w:sz="8" w:color="9A9A9A"/>
            </w:tcBorders>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520" w:type="dxa"/>
            <w:vAlign w:val="bottom"/>
            <w:tcBorders>
              <w:bottom w:val="single" w:sz="8" w:color="9A9A9A"/>
            </w:tcBorders>
          </w:tcPr>
          <w:p>
            <w:pPr>
              <w:spacing w:after="0"/>
              <w:rPr>
                <w:sz w:val="6"/>
                <w:szCs w:val="6"/>
                <w:color w:val="auto"/>
              </w:rPr>
            </w:pPr>
          </w:p>
        </w:tc>
        <w:tc>
          <w:tcPr>
            <w:tcW w:w="1400" w:type="dxa"/>
            <w:vAlign w:val="bottom"/>
            <w:tcBorders>
              <w:bottom w:val="single" w:sz="8" w:color="9A9A9A"/>
            </w:tcBorders>
          </w:tcPr>
          <w:p>
            <w:pPr>
              <w:spacing w:after="0"/>
              <w:rPr>
                <w:sz w:val="6"/>
                <w:szCs w:val="6"/>
                <w:color w:val="auto"/>
              </w:rPr>
            </w:pPr>
          </w:p>
        </w:tc>
        <w:tc>
          <w:tcPr>
            <w:tcW w:w="34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46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2">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3">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19" w:right="179" w:bottom="1440" w:gutter="0" w:footer="0" w:header="0"/>
        </w:sectPr>
      </w:pPr>
    </w:p>
    <w:bookmarkStart w:id="112" w:name="page113"/>
    <w:bookmarkEnd w:id="112"/>
    <w:tbl>
      <w:tblPr>
        <w:tblLayout w:type="fixed"/>
        <w:tblInd w:w="0" w:type="dxa"/>
        <w:tblCellMar>
          <w:top w:w="0" w:type="dxa"/>
          <w:left w:w="0" w:type="dxa"/>
          <w:bottom w:w="0" w:type="dxa"/>
          <w:right w:w="0" w:type="dxa"/>
        </w:tblCellMar>
      </w:tblPr>
      <w:tr>
        <w:trPr>
          <w:trHeight w:val="138"/>
        </w:trPr>
        <w:tc>
          <w:tcPr>
            <w:tcW w:w="1620" w:type="dxa"/>
            <w:vAlign w:val="bottom"/>
            <w:gridSpan w:val="3"/>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1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0"/>
        </w:trPr>
        <w:tc>
          <w:tcPr>
            <w:tcW w:w="840" w:type="dxa"/>
            <w:vAlign w:val="bottom"/>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37"/>
        </w:trPr>
        <w:tc>
          <w:tcPr>
            <w:tcW w:w="1620" w:type="dxa"/>
            <w:vAlign w:val="bottom"/>
            <w:gridSpan w:val="3"/>
          </w:tcPr>
          <w:p>
            <w:pPr>
              <w:ind w:left="320"/>
              <w:spacing w:after="0"/>
              <w:rPr>
                <w:sz w:val="20"/>
                <w:szCs w:val="20"/>
                <w:color w:val="auto"/>
              </w:rPr>
            </w:pPr>
            <w:r>
              <w:rPr>
                <w:rFonts w:ascii="Arial" w:cs="Arial" w:eastAsia="Arial" w:hAnsi="Arial"/>
                <w:sz w:val="12"/>
                <w:szCs w:val="12"/>
                <w:b w:val="1"/>
                <w:bCs w:val="1"/>
                <w:color w:val="auto"/>
              </w:rPr>
              <w:t>Exhibit No.</w:t>
            </w:r>
          </w:p>
        </w:tc>
        <w:tc>
          <w:tcPr>
            <w:tcW w:w="1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720" w:type="dxa"/>
            <w:vAlign w:val="bottom"/>
            <w:gridSpan w:val="18"/>
          </w:tcPr>
          <w:p>
            <w:pPr>
              <w:ind w:left="480"/>
              <w:spacing w:after="0"/>
              <w:rPr>
                <w:sz w:val="20"/>
                <w:szCs w:val="20"/>
                <w:color w:val="auto"/>
              </w:rPr>
            </w:pPr>
            <w:r>
              <w:rPr>
                <w:rFonts w:ascii="Arial" w:cs="Arial" w:eastAsia="Arial" w:hAnsi="Arial"/>
                <w:sz w:val="12"/>
                <w:szCs w:val="12"/>
                <w:b w:val="1"/>
                <w:bCs w:val="1"/>
                <w:color w:val="auto"/>
              </w:rPr>
              <w:t>Description</w:t>
            </w:r>
          </w:p>
        </w:tc>
      </w:tr>
      <w:tr>
        <w:trPr>
          <w:trHeight w:val="120"/>
        </w:trPr>
        <w:tc>
          <w:tcPr>
            <w:tcW w:w="840" w:type="dxa"/>
            <w:vAlign w:val="bottom"/>
            <w:tcBorders>
              <w:top w:val="single" w:sz="8" w:color="auto"/>
            </w:tcBorders>
          </w:tcPr>
          <w:p>
            <w:pPr>
              <w:spacing w:after="0" w:line="120" w:lineRule="exact"/>
              <w:rPr>
                <w:sz w:val="20"/>
                <w:szCs w:val="20"/>
                <w:color w:val="auto"/>
              </w:rPr>
            </w:pPr>
            <w:r>
              <w:rPr>
                <w:rFonts w:ascii="Arial" w:cs="Arial" w:eastAsia="Arial" w:hAnsi="Arial"/>
                <w:sz w:val="12"/>
                <w:szCs w:val="12"/>
                <w:color w:val="auto"/>
              </w:rPr>
              <w:t>10.1</w:t>
            </w:r>
          </w:p>
        </w:tc>
        <w:tc>
          <w:tcPr>
            <w:tcW w:w="420" w:type="dxa"/>
            <w:vAlign w:val="bottom"/>
            <w:tcBorders>
              <w:top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9800" w:type="dxa"/>
            <w:vAlign w:val="bottom"/>
            <w:tcBorders>
              <w:top w:val="single" w:sz="8" w:color="auto"/>
              <w:bottom w:val="single" w:sz="8" w:color="0000EE"/>
            </w:tcBorders>
            <w:gridSpan w:val="21"/>
          </w:tcPr>
          <w:p>
            <w:pPr>
              <w:spacing w:after="0" w:line="120" w:lineRule="exact"/>
              <w:rPr>
                <w:rFonts w:ascii="Arial" w:cs="Arial" w:eastAsia="Arial" w:hAnsi="Arial"/>
                <w:sz w:val="12"/>
                <w:szCs w:val="12"/>
                <w:color w:val="0000EE"/>
                <w:w w:val="90"/>
              </w:rPr>
            </w:pPr>
            <w:hyperlink r:id="rId174">
              <w:r>
                <w:rPr>
                  <w:rFonts w:ascii="Arial" w:cs="Arial" w:eastAsia="Arial" w:hAnsi="Arial"/>
                  <w:sz w:val="12"/>
                  <w:szCs w:val="12"/>
                  <w:color w:val="0000EE"/>
                  <w:w w:val="90"/>
                </w:rPr>
                <w:t>Master Lease, entered into as of April 24, 2015, by and among CSL National, L.P. and the other entities listed therein, as Landlord, and Windstream Holdings, Inc., as Tenant (incorporated by reference to</w:t>
              </w:r>
            </w:hyperlink>
          </w:p>
        </w:tc>
        <w:tc>
          <w:tcPr>
            <w:tcW w:w="80" w:type="dxa"/>
            <w:vAlign w:val="bottom"/>
            <w:tcBorders>
              <w:top w:val="single" w:sz="8" w:color="auto"/>
            </w:tcBorders>
            <w:gridSpan w:val="3"/>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4"/>
          </w:tcPr>
          <w:p>
            <w:pPr>
              <w:spacing w:after="0" w:line="124" w:lineRule="exact"/>
              <w:rPr>
                <w:rFonts w:ascii="Arial" w:cs="Arial" w:eastAsia="Arial" w:hAnsi="Arial"/>
                <w:sz w:val="12"/>
                <w:szCs w:val="12"/>
                <w:color w:val="0000EE"/>
              </w:rPr>
            </w:pPr>
            <w:hyperlink r:id="rId174">
              <w:r>
                <w:rPr>
                  <w:rFonts w:ascii="Arial" w:cs="Arial" w:eastAsia="Arial" w:hAnsi="Arial"/>
                  <w:sz w:val="12"/>
                  <w:szCs w:val="12"/>
                  <w:color w:val="0000EE"/>
                </w:rPr>
                <w:t>Exhibit 10.1 to the Company’s Current Report on Form 8-K dated and filed with the SEC as of April 27, 2015 (File 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10.2</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740" w:type="dxa"/>
            <w:vAlign w:val="bottom"/>
            <w:tcBorders>
              <w:bottom w:val="single" w:sz="8" w:color="0000EE"/>
            </w:tcBorders>
            <w:gridSpan w:val="18"/>
          </w:tcPr>
          <w:p>
            <w:pPr>
              <w:spacing w:after="0"/>
              <w:rPr>
                <w:rFonts w:ascii="Arial" w:cs="Arial" w:eastAsia="Arial" w:hAnsi="Arial"/>
                <w:sz w:val="12"/>
                <w:szCs w:val="12"/>
                <w:color w:val="0000EE"/>
                <w:w w:val="91"/>
              </w:rPr>
            </w:pPr>
            <w:hyperlink r:id="rId175">
              <w:r>
                <w:rPr>
                  <w:rFonts w:ascii="Arial" w:cs="Arial" w:eastAsia="Arial" w:hAnsi="Arial"/>
                  <w:sz w:val="12"/>
                  <w:szCs w:val="12"/>
                  <w:color w:val="0000EE"/>
                  <w:w w:val="91"/>
                </w:rPr>
                <w:t>Tax Matters Agreement, entered into as of April 24, 2015, by and among Windstream Holdings, Inc., Windstream Services, LLC and Communications Sales &amp; Leasing, Inc. (incorporated by reference to</w:t>
              </w:r>
            </w:hyperlink>
          </w:p>
        </w:tc>
        <w:tc>
          <w:tcPr>
            <w:tcW w:w="140" w:type="dxa"/>
            <w:vAlign w:val="bottom"/>
            <w:gridSpan w:val="6"/>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4"/>
          </w:tcPr>
          <w:p>
            <w:pPr>
              <w:spacing w:after="0" w:line="124" w:lineRule="exact"/>
              <w:rPr>
                <w:rFonts w:ascii="Arial" w:cs="Arial" w:eastAsia="Arial" w:hAnsi="Arial"/>
                <w:sz w:val="12"/>
                <w:szCs w:val="12"/>
                <w:color w:val="0000EE"/>
              </w:rPr>
            </w:pPr>
            <w:hyperlink r:id="rId175">
              <w:r>
                <w:rPr>
                  <w:rFonts w:ascii="Arial" w:cs="Arial" w:eastAsia="Arial" w:hAnsi="Arial"/>
                  <w:sz w:val="12"/>
                  <w:szCs w:val="12"/>
                  <w:color w:val="0000EE"/>
                </w:rPr>
                <w:t>Exhibit 10.2 to the Company’s Current Report on Form 8-K dated and filed with the SEC as of April 27, 2015 (File 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10.3</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500" w:type="dxa"/>
            <w:vAlign w:val="bottom"/>
            <w:tcBorders>
              <w:bottom w:val="single" w:sz="8" w:color="0000EE"/>
            </w:tcBorders>
            <w:gridSpan w:val="11"/>
          </w:tcPr>
          <w:p>
            <w:pPr>
              <w:spacing w:after="0"/>
              <w:rPr>
                <w:rFonts w:ascii="Arial" w:cs="Arial" w:eastAsia="Arial" w:hAnsi="Arial"/>
                <w:sz w:val="12"/>
                <w:szCs w:val="12"/>
                <w:color w:val="0000EE"/>
                <w:w w:val="91"/>
              </w:rPr>
            </w:pPr>
            <w:hyperlink r:id="rId176">
              <w:r>
                <w:rPr>
                  <w:rFonts w:ascii="Arial" w:cs="Arial" w:eastAsia="Arial" w:hAnsi="Arial"/>
                  <w:sz w:val="12"/>
                  <w:szCs w:val="12"/>
                  <w:color w:val="0000EE"/>
                  <w:w w:val="91"/>
                </w:rPr>
                <w:t>Transition Services Agreement, dated April 24, 2015, by and between Windstream Services, LLC and CSL National, L.P., on behalf of itself and its Affiliates, including Talk America Services, LLC</w:t>
              </w:r>
            </w:hyperlink>
          </w:p>
        </w:tc>
        <w:tc>
          <w:tcPr>
            <w:tcW w:w="380" w:type="dxa"/>
            <w:vAlign w:val="bottom"/>
            <w:gridSpan w:val="13"/>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820" w:type="dxa"/>
            <w:vAlign w:val="bottom"/>
            <w:tcBorders>
              <w:bottom w:val="single" w:sz="8" w:color="0000EE"/>
            </w:tcBorders>
            <w:gridSpan w:val="9"/>
          </w:tcPr>
          <w:p>
            <w:pPr>
              <w:spacing w:after="0" w:line="124" w:lineRule="exact"/>
              <w:rPr>
                <w:rFonts w:ascii="Arial" w:cs="Arial" w:eastAsia="Arial" w:hAnsi="Arial"/>
                <w:sz w:val="12"/>
                <w:szCs w:val="12"/>
                <w:color w:val="0000EE"/>
                <w:w w:val="91"/>
              </w:rPr>
            </w:pPr>
            <w:hyperlink r:id="rId176">
              <w:r>
                <w:rPr>
                  <w:rFonts w:ascii="Arial" w:cs="Arial" w:eastAsia="Arial" w:hAnsi="Arial"/>
                  <w:sz w:val="12"/>
                  <w:szCs w:val="12"/>
                  <w:color w:val="0000EE"/>
                  <w:w w:val="91"/>
                </w:rPr>
                <w:t>(incorporated by reference to Exhibit 10.3 to the Company’s Current Report on Form 8-K dated and filed with the SEC as of April 27, 2015 (File No. 001-36708))</w:t>
              </w:r>
            </w:hyperlink>
          </w:p>
        </w:tc>
        <w:tc>
          <w:tcPr>
            <w:tcW w:w="2060" w:type="dxa"/>
            <w:vAlign w:val="bottom"/>
            <w:gridSpan w:val="15"/>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10.4</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24"/>
          </w:tcPr>
          <w:p>
            <w:pPr>
              <w:spacing w:after="0"/>
              <w:rPr>
                <w:rFonts w:ascii="Arial" w:cs="Arial" w:eastAsia="Arial" w:hAnsi="Arial"/>
                <w:sz w:val="12"/>
                <w:szCs w:val="12"/>
                <w:color w:val="0000EE"/>
                <w:w w:val="93"/>
              </w:rPr>
            </w:pPr>
            <w:hyperlink r:id="rId177">
              <w:r>
                <w:rPr>
                  <w:rFonts w:ascii="Arial" w:cs="Arial" w:eastAsia="Arial" w:hAnsi="Arial"/>
                  <w:sz w:val="12"/>
                  <w:szCs w:val="12"/>
                  <w:color w:val="0000EE"/>
                  <w:w w:val="93"/>
                </w:rPr>
                <w:t>Intellectual Property Matters Agreement, dated as of April 24, 2015, by and among Windstream Services, LLC, individually and on behalf of its subsidiaries that may hold certain intellectual property as</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4100" w:type="dxa"/>
            <w:vAlign w:val="bottom"/>
            <w:gridSpan w:val="3"/>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60" w:type="dxa"/>
            <w:vAlign w:val="bottom"/>
            <w:tcBorders>
              <w:bottom w:val="single" w:sz="8" w:color="0000EE"/>
            </w:tcBorders>
            <w:gridSpan w:val="23"/>
          </w:tcPr>
          <w:p>
            <w:pPr>
              <w:spacing w:after="0" w:line="124" w:lineRule="exact"/>
              <w:rPr>
                <w:rFonts w:ascii="Arial" w:cs="Arial" w:eastAsia="Arial" w:hAnsi="Arial"/>
                <w:sz w:val="12"/>
                <w:szCs w:val="12"/>
                <w:color w:val="0000EE"/>
                <w:w w:val="91"/>
              </w:rPr>
            </w:pPr>
            <w:hyperlink r:id="rId177">
              <w:r>
                <w:rPr>
                  <w:rFonts w:ascii="Arial" w:cs="Arial" w:eastAsia="Arial" w:hAnsi="Arial"/>
                  <w:sz w:val="12"/>
                  <w:szCs w:val="12"/>
                  <w:color w:val="0000EE"/>
                  <w:w w:val="91"/>
                </w:rPr>
                <w:t>described therein, CSL National, LP, and Talk America Services, LLC (incorporated by reference to Exhibit 10.5 to the Company’s Current Report on Form 8-K dated and filed with the SEC as of April 27,</w:t>
              </w:r>
            </w:hyperlink>
          </w:p>
        </w:tc>
        <w:tc>
          <w:tcPr>
            <w:tcW w:w="20" w:type="dxa"/>
            <w:vAlign w:val="bottom"/>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340" w:type="dxa"/>
            <w:vAlign w:val="bottom"/>
            <w:tcBorders>
              <w:bottom w:val="single" w:sz="8" w:color="0000EE"/>
            </w:tcBorders>
          </w:tcPr>
          <w:p>
            <w:pPr>
              <w:spacing w:after="0" w:line="124" w:lineRule="exact"/>
              <w:rPr>
                <w:rFonts w:ascii="Arial" w:cs="Arial" w:eastAsia="Arial" w:hAnsi="Arial"/>
                <w:sz w:val="12"/>
                <w:szCs w:val="12"/>
                <w:color w:val="0000EE"/>
                <w:w w:val="91"/>
              </w:rPr>
            </w:pPr>
            <w:hyperlink r:id="rId177">
              <w:r>
                <w:rPr>
                  <w:rFonts w:ascii="Arial" w:cs="Arial" w:eastAsia="Arial" w:hAnsi="Arial"/>
                  <w:sz w:val="12"/>
                  <w:szCs w:val="12"/>
                  <w:color w:val="0000EE"/>
                  <w:w w:val="91"/>
                </w:rPr>
                <w:t>2015 (File No. 001-36708))</w:t>
              </w:r>
            </w:hyperlink>
          </w:p>
        </w:tc>
        <w:tc>
          <w:tcPr>
            <w:tcW w:w="8540" w:type="dxa"/>
            <w:vAlign w:val="bottom"/>
            <w:gridSpan w:val="23"/>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10.5</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880" w:type="dxa"/>
            <w:vAlign w:val="bottom"/>
            <w:gridSpan w:val="24"/>
          </w:tcPr>
          <w:p>
            <w:pPr>
              <w:spacing w:after="0"/>
              <w:rPr>
                <w:rFonts w:ascii="Arial" w:cs="Arial" w:eastAsia="Arial" w:hAnsi="Arial"/>
                <w:sz w:val="12"/>
                <w:szCs w:val="12"/>
                <w:color w:val="0000EE"/>
                <w:w w:val="93"/>
              </w:rPr>
            </w:pPr>
            <w:hyperlink r:id="rId178">
              <w:r>
                <w:rPr>
                  <w:rFonts w:ascii="Arial" w:cs="Arial" w:eastAsia="Arial" w:hAnsi="Arial"/>
                  <w:sz w:val="12"/>
                  <w:szCs w:val="12"/>
                  <w:color w:val="0000EE"/>
                  <w:w w:val="93"/>
                </w:rPr>
                <w:t>Wholesale Master Services Agreement, dated April 24, 2015, between Windstream Communications, Inc. and Talk America Services, LLC (incorporated by reference to Exhibit 10.6 to the Company’s</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620" w:type="dxa"/>
            <w:vAlign w:val="bottom"/>
            <w:tcBorders>
              <w:top w:val="single" w:sz="8" w:color="0000EE"/>
            </w:tcBorders>
            <w:gridSpan w:val="15"/>
          </w:tcPr>
          <w:p>
            <w:pPr>
              <w:spacing w:after="0" w:line="124" w:lineRule="exact"/>
              <w:rPr>
                <w:rFonts w:ascii="Arial" w:cs="Arial" w:eastAsia="Arial" w:hAnsi="Arial"/>
                <w:sz w:val="12"/>
                <w:szCs w:val="12"/>
                <w:color w:val="0000EE"/>
              </w:rPr>
            </w:pPr>
            <w:hyperlink r:id="rId178">
              <w:r>
                <w:rPr>
                  <w:rFonts w:ascii="Arial" w:cs="Arial" w:eastAsia="Arial" w:hAnsi="Arial"/>
                  <w:sz w:val="12"/>
                  <w:szCs w:val="12"/>
                  <w:color w:val="0000EE"/>
                </w:rPr>
                <w:t>Current Report on Form 8-K dated and filed with the SEC as of April 27, 2015 (File No. 001-36708))</w:t>
              </w:r>
            </w:hyperlink>
          </w:p>
        </w:tc>
        <w:tc>
          <w:tcPr>
            <w:tcW w:w="260" w:type="dxa"/>
            <w:vAlign w:val="bottom"/>
            <w:gridSpan w:val="9"/>
          </w:tcPr>
          <w:p>
            <w:pPr>
              <w:spacing w:after="0"/>
              <w:rPr>
                <w:sz w:val="10"/>
                <w:szCs w:val="10"/>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40" w:type="dxa"/>
            <w:vAlign w:val="bottom"/>
            <w:gridSpan w:val="2"/>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4100" w:type="dxa"/>
            <w:vAlign w:val="bottom"/>
            <w:gridSpan w:val="3"/>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10.6</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580" w:type="dxa"/>
            <w:vAlign w:val="bottom"/>
            <w:tcBorders>
              <w:bottom w:val="single" w:sz="8" w:color="0000EE"/>
            </w:tcBorders>
            <w:gridSpan w:val="14"/>
          </w:tcPr>
          <w:p>
            <w:pPr>
              <w:spacing w:after="0"/>
              <w:rPr>
                <w:rFonts w:ascii="Arial" w:cs="Arial" w:eastAsia="Arial" w:hAnsi="Arial"/>
                <w:sz w:val="12"/>
                <w:szCs w:val="12"/>
                <w:color w:val="0000EE"/>
                <w:w w:val="90"/>
              </w:rPr>
            </w:pPr>
            <w:hyperlink r:id="rId179">
              <w:r>
                <w:rPr>
                  <w:rFonts w:ascii="Arial" w:cs="Arial" w:eastAsia="Arial" w:hAnsi="Arial"/>
                  <w:sz w:val="12"/>
                  <w:szCs w:val="12"/>
                  <w:color w:val="0000EE"/>
                  <w:w w:val="90"/>
                </w:rPr>
                <w:t>Master Services Agreement, dated as of April 24, 2015, by and between Windstream Services, LLC, on behalf of itself and its competitive local exchange and interexchange carrier affiliates, and Talk</w:t>
              </w:r>
            </w:hyperlink>
          </w:p>
        </w:tc>
        <w:tc>
          <w:tcPr>
            <w:tcW w:w="300" w:type="dxa"/>
            <w:vAlign w:val="bottom"/>
            <w:gridSpan w:val="10"/>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980" w:type="dxa"/>
            <w:vAlign w:val="bottom"/>
            <w:tcBorders>
              <w:bottom w:val="single" w:sz="8" w:color="0000EE"/>
            </w:tcBorders>
            <w:gridSpan w:val="10"/>
          </w:tcPr>
          <w:p>
            <w:pPr>
              <w:spacing w:after="0" w:line="124" w:lineRule="exact"/>
              <w:rPr>
                <w:rFonts w:ascii="Arial" w:cs="Arial" w:eastAsia="Arial" w:hAnsi="Arial"/>
                <w:sz w:val="12"/>
                <w:szCs w:val="12"/>
                <w:color w:val="0000EE"/>
                <w:w w:val="92"/>
              </w:rPr>
            </w:pPr>
            <w:hyperlink r:id="rId179">
              <w:r>
                <w:rPr>
                  <w:rFonts w:ascii="Arial" w:cs="Arial" w:eastAsia="Arial" w:hAnsi="Arial"/>
                  <w:sz w:val="12"/>
                  <w:szCs w:val="12"/>
                  <w:color w:val="0000EE"/>
                  <w:w w:val="92"/>
                </w:rPr>
                <w:t>America Services, LLC (incorporated by reference to Exhibit 10.8 to the Company’s Current Report on Form 8-K dated and filed with the SEC as of April 27, 2015 (File No. 001-36708))</w:t>
              </w:r>
            </w:hyperlink>
          </w:p>
        </w:tc>
        <w:tc>
          <w:tcPr>
            <w:tcW w:w="900" w:type="dxa"/>
            <w:vAlign w:val="bottom"/>
            <w:gridSpan w:val="14"/>
          </w:tcPr>
          <w:p>
            <w:pPr>
              <w:spacing w:after="0"/>
              <w:rPr>
                <w:sz w:val="10"/>
                <w:szCs w:val="10"/>
                <w:color w:val="auto"/>
              </w:rPr>
            </w:pPr>
          </w:p>
        </w:tc>
      </w:tr>
      <w:tr>
        <w:trPr>
          <w:trHeight w:val="142"/>
        </w:trPr>
        <w:tc>
          <w:tcPr>
            <w:tcW w:w="840" w:type="dxa"/>
            <w:vAlign w:val="bottom"/>
          </w:tcPr>
          <w:p>
            <w:pPr>
              <w:spacing w:after="0"/>
              <w:rPr>
                <w:sz w:val="20"/>
                <w:szCs w:val="20"/>
                <w:color w:val="auto"/>
              </w:rPr>
            </w:pPr>
            <w:r>
              <w:rPr>
                <w:rFonts w:ascii="Arial" w:cs="Arial" w:eastAsia="Arial" w:hAnsi="Arial"/>
                <w:sz w:val="12"/>
                <w:szCs w:val="12"/>
                <w:color w:val="auto"/>
              </w:rPr>
              <w:t>10.7</w:t>
            </w: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780" w:type="dxa"/>
            <w:vAlign w:val="bottom"/>
            <w:tcBorders>
              <w:bottom w:val="single" w:sz="8" w:color="0000EE"/>
            </w:tcBorders>
            <w:gridSpan w:val="20"/>
          </w:tcPr>
          <w:p>
            <w:pPr>
              <w:spacing w:after="0"/>
              <w:rPr>
                <w:rFonts w:ascii="Arial" w:cs="Arial" w:eastAsia="Arial" w:hAnsi="Arial"/>
                <w:sz w:val="12"/>
                <w:szCs w:val="12"/>
                <w:color w:val="0000EE"/>
                <w:w w:val="91"/>
              </w:rPr>
            </w:pPr>
            <w:hyperlink r:id="rId180">
              <w:r>
                <w:rPr>
                  <w:rFonts w:ascii="Arial" w:cs="Arial" w:eastAsia="Arial" w:hAnsi="Arial"/>
                  <w:sz w:val="12"/>
                  <w:szCs w:val="12"/>
                  <w:color w:val="0000EE"/>
                  <w:w w:val="91"/>
                </w:rPr>
                <w:t>Credit Agreement, dated as of April 24, 2015, by and among Communications Sales &amp; Leasing, Inc. and CSL Capital, LLC, as Borrowers, the guarantors party thereto, the lenders party thereto from time</w:t>
              </w:r>
            </w:hyperlink>
          </w:p>
        </w:tc>
        <w:tc>
          <w:tcPr>
            <w:tcW w:w="100" w:type="dxa"/>
            <w:vAlign w:val="bottom"/>
            <w:gridSpan w:val="4"/>
          </w:tcPr>
          <w:p>
            <w:pPr>
              <w:spacing w:after="0"/>
              <w:rPr>
                <w:sz w:val="12"/>
                <w:szCs w:val="12"/>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00" w:type="dxa"/>
            <w:vAlign w:val="bottom"/>
            <w:tcBorders>
              <w:bottom w:val="single" w:sz="8" w:color="0000EE"/>
            </w:tcBorders>
            <w:gridSpan w:val="17"/>
          </w:tcPr>
          <w:p>
            <w:pPr>
              <w:spacing w:after="0" w:line="124" w:lineRule="exact"/>
              <w:rPr>
                <w:rFonts w:ascii="Arial" w:cs="Arial" w:eastAsia="Arial" w:hAnsi="Arial"/>
                <w:sz w:val="12"/>
                <w:szCs w:val="12"/>
                <w:color w:val="0000EE"/>
                <w:w w:val="91"/>
              </w:rPr>
            </w:pPr>
            <w:hyperlink r:id="rId180">
              <w:r>
                <w:rPr>
                  <w:rFonts w:ascii="Arial" w:cs="Arial" w:eastAsia="Arial" w:hAnsi="Arial"/>
                  <w:sz w:val="12"/>
                  <w:szCs w:val="12"/>
                  <w:color w:val="0000EE"/>
                  <w:w w:val="91"/>
                </w:rPr>
                <w:t>to time and Bank of America, N.A., as administrative agent, collateral agent, swing line lender and L/C issuer (incorporated by reference to Exhibit 10.10 to the Company’s Current Report on Form 8-K</w:t>
              </w:r>
            </w:hyperlink>
          </w:p>
        </w:tc>
        <w:tc>
          <w:tcPr>
            <w:tcW w:w="180" w:type="dxa"/>
            <w:vAlign w:val="bottom"/>
            <w:gridSpan w:val="7"/>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480" w:type="dxa"/>
            <w:vAlign w:val="bottom"/>
            <w:tcBorders>
              <w:bottom w:val="single" w:sz="8" w:color="0000EE"/>
            </w:tcBorders>
            <w:gridSpan w:val="5"/>
          </w:tcPr>
          <w:p>
            <w:pPr>
              <w:spacing w:after="0" w:line="124" w:lineRule="exact"/>
              <w:rPr>
                <w:rFonts w:ascii="Arial" w:cs="Arial" w:eastAsia="Arial" w:hAnsi="Arial"/>
                <w:sz w:val="12"/>
                <w:szCs w:val="12"/>
                <w:color w:val="0000EE"/>
                <w:w w:val="92"/>
              </w:rPr>
            </w:pPr>
            <w:hyperlink r:id="rId180">
              <w:r>
                <w:rPr>
                  <w:rFonts w:ascii="Arial" w:cs="Arial" w:eastAsia="Arial" w:hAnsi="Arial"/>
                  <w:sz w:val="12"/>
                  <w:szCs w:val="12"/>
                  <w:color w:val="0000EE"/>
                  <w:w w:val="92"/>
                </w:rPr>
                <w:t>dated and filed with the SEC as of April 27, 2015 (File No. 001-36708))</w:t>
              </w:r>
            </w:hyperlink>
          </w:p>
        </w:tc>
        <w:tc>
          <w:tcPr>
            <w:tcW w:w="6400" w:type="dxa"/>
            <w:vAlign w:val="bottom"/>
            <w:gridSpan w:val="19"/>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10.8</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540" w:type="dxa"/>
            <w:vAlign w:val="bottom"/>
            <w:tcBorders>
              <w:bottom w:val="single" w:sz="8" w:color="0000EE"/>
            </w:tcBorders>
            <w:gridSpan w:val="13"/>
          </w:tcPr>
          <w:p>
            <w:pPr>
              <w:spacing w:after="0"/>
              <w:rPr>
                <w:rFonts w:ascii="Arial" w:cs="Arial" w:eastAsia="Arial" w:hAnsi="Arial"/>
                <w:sz w:val="12"/>
                <w:szCs w:val="12"/>
                <w:color w:val="0000EE"/>
                <w:w w:val="90"/>
              </w:rPr>
            </w:pPr>
            <w:hyperlink r:id="rId181">
              <w:r>
                <w:rPr>
                  <w:rFonts w:ascii="Arial" w:cs="Arial" w:eastAsia="Arial" w:hAnsi="Arial"/>
                  <w:sz w:val="12"/>
                  <w:szCs w:val="12"/>
                  <w:color w:val="0000EE"/>
                  <w:w w:val="90"/>
                </w:rPr>
                <w:t>Amendment No. 1 to the Credit Agreement, dated as of October 21, 2016 by and among Communications Sales &amp; Leasing, Inc. and CSL Capital, LLC, as borrowers, the guarantors party thereto, the</w:t>
              </w:r>
            </w:hyperlink>
          </w:p>
        </w:tc>
        <w:tc>
          <w:tcPr>
            <w:tcW w:w="340" w:type="dxa"/>
            <w:vAlign w:val="bottom"/>
            <w:gridSpan w:val="11"/>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40" w:type="dxa"/>
            <w:vAlign w:val="bottom"/>
            <w:tcBorders>
              <w:bottom w:val="single" w:sz="8" w:color="0000EE"/>
            </w:tcBorders>
            <w:gridSpan w:val="22"/>
          </w:tcPr>
          <w:p>
            <w:pPr>
              <w:spacing w:after="0" w:line="124" w:lineRule="exact"/>
              <w:rPr>
                <w:rFonts w:ascii="Arial" w:cs="Arial" w:eastAsia="Arial" w:hAnsi="Arial"/>
                <w:sz w:val="12"/>
                <w:szCs w:val="12"/>
                <w:color w:val="0000EE"/>
                <w:w w:val="91"/>
              </w:rPr>
            </w:pPr>
            <w:hyperlink r:id="rId181">
              <w:r>
                <w:rPr>
                  <w:rFonts w:ascii="Arial" w:cs="Arial" w:eastAsia="Arial" w:hAnsi="Arial"/>
                  <w:sz w:val="12"/>
                  <w:szCs w:val="12"/>
                  <w:color w:val="0000EE"/>
                  <w:w w:val="91"/>
                </w:rPr>
                <w:t>lenders party thereto, and Bank of America, N.A., as administrative agent and collateral agent (incorporated by reference to Exhibit 10.1 to the Company’s Current Report on Form 8-K dated and filed with</w:t>
              </w:r>
            </w:hyperlink>
          </w:p>
        </w:tc>
        <w:tc>
          <w:tcPr>
            <w:tcW w:w="40" w:type="dxa"/>
            <w:vAlign w:val="bottom"/>
            <w:gridSpan w:val="2"/>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20" w:type="dxa"/>
            <w:vAlign w:val="bottom"/>
            <w:tcBorders>
              <w:bottom w:val="single" w:sz="8" w:color="0000EE"/>
            </w:tcBorders>
            <w:gridSpan w:val="4"/>
          </w:tcPr>
          <w:p>
            <w:pPr>
              <w:spacing w:after="0" w:line="124" w:lineRule="exact"/>
              <w:rPr>
                <w:rFonts w:ascii="Arial" w:cs="Arial" w:eastAsia="Arial" w:hAnsi="Arial"/>
                <w:sz w:val="12"/>
                <w:szCs w:val="12"/>
                <w:color w:val="0000EE"/>
                <w:w w:val="90"/>
              </w:rPr>
            </w:pPr>
            <w:hyperlink r:id="rId181">
              <w:r>
                <w:rPr>
                  <w:rFonts w:ascii="Arial" w:cs="Arial" w:eastAsia="Arial" w:hAnsi="Arial"/>
                  <w:sz w:val="12"/>
                  <w:szCs w:val="12"/>
                  <w:color w:val="0000EE"/>
                  <w:w w:val="90"/>
                </w:rPr>
                <w:t>the SEC as of October 21, 2016 (File No. 001-36708))</w:t>
              </w:r>
            </w:hyperlink>
          </w:p>
        </w:tc>
        <w:tc>
          <w:tcPr>
            <w:tcW w:w="7260" w:type="dxa"/>
            <w:vAlign w:val="bottom"/>
            <w:gridSpan w:val="20"/>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10.9</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24"/>
          </w:tcPr>
          <w:p>
            <w:pPr>
              <w:spacing w:after="0"/>
              <w:rPr>
                <w:rFonts w:ascii="Arial" w:cs="Arial" w:eastAsia="Arial" w:hAnsi="Arial"/>
                <w:sz w:val="12"/>
                <w:szCs w:val="12"/>
                <w:color w:val="0000EE"/>
                <w:w w:val="93"/>
              </w:rPr>
            </w:pPr>
            <w:hyperlink r:id="rId182">
              <w:r>
                <w:rPr>
                  <w:rFonts w:ascii="Arial" w:cs="Arial" w:eastAsia="Arial" w:hAnsi="Arial"/>
                  <w:sz w:val="12"/>
                  <w:szCs w:val="12"/>
                  <w:color w:val="0000EE"/>
                  <w:w w:val="93"/>
                </w:rPr>
                <w:t>Amendment No. 2 to the Credit Agreement, dated as of February 9, 2017 by and among Communications Sales &amp; Leasing, Inc. and CSL Capital, LLC, as borrowers, the guarantors party thereto, the</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40" w:type="dxa"/>
            <w:vAlign w:val="bottom"/>
            <w:gridSpan w:val="2"/>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5360" w:type="dxa"/>
            <w:vAlign w:val="bottom"/>
            <w:gridSpan w:val="6"/>
            <w:shd w:val="clear" w:color="auto" w:fill="0000EE"/>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40" w:type="dxa"/>
            <w:vAlign w:val="bottom"/>
            <w:tcBorders>
              <w:bottom w:val="single" w:sz="8" w:color="0000EE"/>
            </w:tcBorders>
            <w:gridSpan w:val="22"/>
          </w:tcPr>
          <w:p>
            <w:pPr>
              <w:spacing w:after="0" w:line="124" w:lineRule="exact"/>
              <w:rPr>
                <w:rFonts w:ascii="Arial" w:cs="Arial" w:eastAsia="Arial" w:hAnsi="Arial"/>
                <w:sz w:val="12"/>
                <w:szCs w:val="12"/>
                <w:color w:val="0000EE"/>
                <w:w w:val="91"/>
              </w:rPr>
            </w:pPr>
            <w:hyperlink r:id="rId182">
              <w:r>
                <w:rPr>
                  <w:rFonts w:ascii="Arial" w:cs="Arial" w:eastAsia="Arial" w:hAnsi="Arial"/>
                  <w:sz w:val="12"/>
                  <w:szCs w:val="12"/>
                  <w:color w:val="0000EE"/>
                  <w:w w:val="91"/>
                </w:rPr>
                <w:t>lenders party thereto, and Bank of America, N.A., as administrative agent and collateral agent (incorporated by reference to Exhibit 10.1 to the Company’s Current Report on Form 8-K dated and filed with</w:t>
              </w:r>
            </w:hyperlink>
          </w:p>
        </w:tc>
        <w:tc>
          <w:tcPr>
            <w:tcW w:w="40" w:type="dxa"/>
            <w:vAlign w:val="bottom"/>
            <w:gridSpan w:val="2"/>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4"/>
          </w:tcPr>
          <w:p>
            <w:pPr>
              <w:spacing w:after="0" w:line="124" w:lineRule="exact"/>
              <w:rPr>
                <w:rFonts w:ascii="Arial" w:cs="Arial" w:eastAsia="Arial" w:hAnsi="Arial"/>
                <w:sz w:val="12"/>
                <w:szCs w:val="12"/>
                <w:color w:val="0000EE"/>
              </w:rPr>
            </w:pPr>
            <w:hyperlink r:id="rId182">
              <w:r>
                <w:rPr>
                  <w:rFonts w:ascii="Arial" w:cs="Arial" w:eastAsia="Arial" w:hAnsi="Arial"/>
                  <w:sz w:val="12"/>
                  <w:szCs w:val="12"/>
                  <w:color w:val="0000EE"/>
                </w:rPr>
                <w:t>the SEC as of February 9, 2017 (File 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40" w:type="dxa"/>
            <w:vAlign w:val="bottom"/>
            <w:gridSpan w:val="2"/>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5480" w:type="dxa"/>
            <w:vAlign w:val="bottom"/>
            <w:gridSpan w:val="10"/>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10.10</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60" w:type="dxa"/>
            <w:vAlign w:val="bottom"/>
            <w:tcBorders>
              <w:bottom w:val="single" w:sz="8" w:color="0000EE"/>
            </w:tcBorders>
            <w:gridSpan w:val="23"/>
          </w:tcPr>
          <w:p>
            <w:pPr>
              <w:spacing w:after="0"/>
              <w:rPr>
                <w:rFonts w:ascii="Arial" w:cs="Arial" w:eastAsia="Arial" w:hAnsi="Arial"/>
                <w:sz w:val="12"/>
                <w:szCs w:val="12"/>
                <w:color w:val="0000EE"/>
                <w:w w:val="91"/>
              </w:rPr>
            </w:pPr>
            <w:hyperlink r:id="rId183">
              <w:r>
                <w:rPr>
                  <w:rFonts w:ascii="Arial" w:cs="Arial" w:eastAsia="Arial" w:hAnsi="Arial"/>
                  <w:sz w:val="12"/>
                  <w:szCs w:val="12"/>
                  <w:color w:val="0000EE"/>
                  <w:w w:val="91"/>
                </w:rPr>
                <w:t>Amendment No. 3 to the Credit Agreement, dated as of April 28, 2017 by and among Uniti Group Inc. and CSL Capital, LLC, as borrowers, the guarantors party thereto, the lenders party thereto, and Bank</w:t>
              </w:r>
            </w:hyperlink>
          </w:p>
        </w:tc>
        <w:tc>
          <w:tcPr>
            <w:tcW w:w="20" w:type="dxa"/>
            <w:vAlign w:val="bottom"/>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60" w:type="dxa"/>
            <w:vAlign w:val="bottom"/>
            <w:tcBorders>
              <w:bottom w:val="single" w:sz="8" w:color="0000EE"/>
            </w:tcBorders>
            <w:gridSpan w:val="19"/>
          </w:tcPr>
          <w:p>
            <w:pPr>
              <w:spacing w:after="0" w:line="124" w:lineRule="exact"/>
              <w:rPr>
                <w:rFonts w:ascii="Arial" w:cs="Arial" w:eastAsia="Arial" w:hAnsi="Arial"/>
                <w:sz w:val="12"/>
                <w:szCs w:val="12"/>
                <w:color w:val="0000EE"/>
                <w:w w:val="91"/>
              </w:rPr>
            </w:pPr>
            <w:hyperlink r:id="rId183">
              <w:r>
                <w:rPr>
                  <w:rFonts w:ascii="Arial" w:cs="Arial" w:eastAsia="Arial" w:hAnsi="Arial"/>
                  <w:sz w:val="12"/>
                  <w:szCs w:val="12"/>
                  <w:color w:val="0000EE"/>
                  <w:w w:val="91"/>
                </w:rPr>
                <w:t>of America, N.A., as administrative agent and collateral agent (incorporated by reference to Exhibit 10.1 to the Company’s Current Report on Form 8-K dated as of May 1, 2017 and filed with the SEC as</w:t>
              </w:r>
            </w:hyperlink>
          </w:p>
        </w:tc>
        <w:tc>
          <w:tcPr>
            <w:tcW w:w="120" w:type="dxa"/>
            <w:vAlign w:val="bottom"/>
            <w:gridSpan w:val="5"/>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40" w:type="dxa"/>
            <w:vAlign w:val="bottom"/>
            <w:tcBorders>
              <w:bottom w:val="single" w:sz="8" w:color="0000EE"/>
            </w:tcBorders>
            <w:gridSpan w:val="2"/>
          </w:tcPr>
          <w:p>
            <w:pPr>
              <w:spacing w:after="0" w:line="124" w:lineRule="exact"/>
              <w:rPr>
                <w:rFonts w:ascii="Arial" w:cs="Arial" w:eastAsia="Arial" w:hAnsi="Arial"/>
                <w:sz w:val="12"/>
                <w:szCs w:val="12"/>
                <w:color w:val="0000EE"/>
                <w:w w:val="92"/>
              </w:rPr>
            </w:pPr>
            <w:hyperlink r:id="rId183">
              <w:r>
                <w:rPr>
                  <w:rFonts w:ascii="Arial" w:cs="Arial" w:eastAsia="Arial" w:hAnsi="Arial"/>
                  <w:sz w:val="12"/>
                  <w:szCs w:val="12"/>
                  <w:color w:val="0000EE"/>
                  <w:w w:val="92"/>
                </w:rPr>
                <w:t>of May 2, 2017 (File No. 001-36708))</w:t>
              </w:r>
            </w:hyperlink>
          </w:p>
        </w:tc>
        <w:tc>
          <w:tcPr>
            <w:tcW w:w="8040" w:type="dxa"/>
            <w:vAlign w:val="bottom"/>
            <w:gridSpan w:val="22"/>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24"/>
          </w:tcPr>
          <w:p>
            <w:pPr>
              <w:spacing w:after="0"/>
              <w:rPr>
                <w:rFonts w:ascii="Arial" w:cs="Arial" w:eastAsia="Arial" w:hAnsi="Arial"/>
                <w:sz w:val="12"/>
                <w:szCs w:val="12"/>
                <w:color w:val="0000EE"/>
                <w:w w:val="93"/>
              </w:rPr>
            </w:pPr>
            <w:hyperlink w:anchor="page125">
              <w:r>
                <w:rPr>
                  <w:rFonts w:ascii="Arial" w:cs="Arial" w:eastAsia="Arial" w:hAnsi="Arial"/>
                  <w:sz w:val="12"/>
                  <w:szCs w:val="12"/>
                  <w:color w:val="0000EE"/>
                  <w:w w:val="93"/>
                </w:rPr>
                <w:t>Amendment No. 4 to the Credit Agreement, dated as of March 18, 2019, among Uniti Group LP, Uniti Group Finance Inc. and CSL Capital, LLC, as borrowers, the guarantors party thereto, the lenders</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640" w:type="dxa"/>
            <w:vAlign w:val="bottom"/>
            <w:tcBorders>
              <w:top w:val="single" w:sz="8" w:color="0000EE"/>
            </w:tcBorders>
            <w:gridSpan w:val="16"/>
          </w:tcPr>
          <w:p>
            <w:pPr>
              <w:spacing w:after="0" w:line="124" w:lineRule="exact"/>
              <w:rPr>
                <w:rFonts w:ascii="Arial" w:cs="Arial" w:eastAsia="Arial" w:hAnsi="Arial"/>
                <w:sz w:val="12"/>
                <w:szCs w:val="12"/>
                <w:color w:val="0000EE"/>
              </w:rPr>
            </w:pPr>
            <w:hyperlink w:anchor="page125">
              <w:r>
                <w:rPr>
                  <w:rFonts w:ascii="Arial" w:cs="Arial" w:eastAsia="Arial" w:hAnsi="Arial"/>
                  <w:sz w:val="12"/>
                  <w:szCs w:val="12"/>
                  <w:color w:val="0000EE"/>
                </w:rPr>
                <w:t>party thereto, and Bank of America, N.A., as administrative agent and collateral agent.</w:t>
              </w:r>
            </w:hyperlink>
          </w:p>
        </w:tc>
        <w:tc>
          <w:tcPr>
            <w:tcW w:w="240" w:type="dxa"/>
            <w:vAlign w:val="bottom"/>
            <w:gridSpan w:val="8"/>
          </w:tcPr>
          <w:p>
            <w:pPr>
              <w:spacing w:after="0"/>
              <w:rPr>
                <w:sz w:val="10"/>
                <w:szCs w:val="10"/>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160" w:type="dxa"/>
            <w:vAlign w:val="bottom"/>
            <w:gridSpan w:val="6"/>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6"/>
        </w:trPr>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880" w:type="dxa"/>
            <w:vAlign w:val="bottom"/>
            <w:gridSpan w:val="7"/>
          </w:tcPr>
          <w:p>
            <w:pPr>
              <w:ind w:left="4020"/>
              <w:spacing w:after="0"/>
              <w:rPr>
                <w:sz w:val="20"/>
                <w:szCs w:val="20"/>
                <w:color w:val="auto"/>
              </w:rPr>
            </w:pPr>
            <w:r>
              <w:rPr>
                <w:rFonts w:ascii="Arial" w:cs="Arial" w:eastAsia="Arial" w:hAnsi="Arial"/>
                <w:sz w:val="12"/>
                <w:szCs w:val="12"/>
                <w:color w:val="auto"/>
              </w:rPr>
              <w:t>113</w:t>
            </w:r>
          </w:p>
        </w:tc>
        <w:tc>
          <w:tcPr>
            <w:tcW w:w="15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84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50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720" w:type="dxa"/>
            <w:vAlign w:val="bottom"/>
            <w:tcBorders>
              <w:bottom w:val="single" w:sz="8" w:color="9A9A9A"/>
            </w:tcBorders>
          </w:tcPr>
          <w:p>
            <w:pPr>
              <w:spacing w:after="0"/>
              <w:rPr>
                <w:sz w:val="6"/>
                <w:szCs w:val="6"/>
                <w:color w:val="auto"/>
              </w:rPr>
            </w:pPr>
          </w:p>
        </w:tc>
        <w:tc>
          <w:tcPr>
            <w:tcW w:w="1500" w:type="dxa"/>
            <w:vAlign w:val="bottom"/>
            <w:tcBorders>
              <w:bottom w:val="single" w:sz="8" w:color="9A9A9A"/>
            </w:tcBorders>
          </w:tcPr>
          <w:p>
            <w:pPr>
              <w:spacing w:after="0"/>
              <w:rPr>
                <w:sz w:val="6"/>
                <w:szCs w:val="6"/>
                <w:color w:val="auto"/>
              </w:rPr>
            </w:pPr>
          </w:p>
        </w:tc>
        <w:tc>
          <w:tcPr>
            <w:tcW w:w="1440" w:type="dxa"/>
            <w:vAlign w:val="bottom"/>
            <w:tcBorders>
              <w:bottom w:val="single" w:sz="8" w:color="9A9A9A"/>
            </w:tcBorders>
          </w:tcPr>
          <w:p>
            <w:pPr>
              <w:spacing w:after="0"/>
              <w:rPr>
                <w:sz w:val="6"/>
                <w:szCs w:val="6"/>
                <w:color w:val="auto"/>
              </w:rPr>
            </w:pPr>
          </w:p>
        </w:tc>
        <w:tc>
          <w:tcPr>
            <w:tcW w:w="1160" w:type="dxa"/>
            <w:vAlign w:val="bottom"/>
            <w:tcBorders>
              <w:bottom w:val="single" w:sz="8" w:color="9A9A9A"/>
            </w:tcBorders>
          </w:tcPr>
          <w:p>
            <w:pPr>
              <w:spacing w:after="0"/>
              <w:rPr>
                <w:sz w:val="6"/>
                <w:szCs w:val="6"/>
                <w:color w:val="auto"/>
              </w:rPr>
            </w:pPr>
          </w:p>
        </w:tc>
        <w:tc>
          <w:tcPr>
            <w:tcW w:w="5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4">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5">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18" w:right="179" w:bottom="1440" w:gutter="0" w:footer="0" w:header="0"/>
        </w:sectPr>
      </w:pPr>
    </w:p>
    <w:bookmarkStart w:id="113" w:name="page114"/>
    <w:bookmarkEnd w:id="113"/>
    <w:tbl>
      <w:tblPr>
        <w:tblLayout w:type="fixed"/>
        <w:tblInd w:w="0" w:type="dxa"/>
        <w:tblCellMar>
          <w:top w:w="0" w:type="dxa"/>
          <w:left w:w="0" w:type="dxa"/>
          <w:bottom w:w="0" w:type="dxa"/>
          <w:right w:w="0" w:type="dxa"/>
        </w:tblCellMar>
      </w:tblPr>
      <w:tr>
        <w:trPr>
          <w:trHeight w:val="138"/>
        </w:trPr>
        <w:tc>
          <w:tcPr>
            <w:tcW w:w="1620" w:type="dxa"/>
            <w:vAlign w:val="bottom"/>
            <w:gridSpan w:val="3"/>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6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0"/>
        </w:trPr>
        <w:tc>
          <w:tcPr>
            <w:tcW w:w="840" w:type="dxa"/>
            <w:vAlign w:val="bottom"/>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37"/>
        </w:trPr>
        <w:tc>
          <w:tcPr>
            <w:tcW w:w="1620" w:type="dxa"/>
            <w:vAlign w:val="bottom"/>
            <w:gridSpan w:val="3"/>
          </w:tcPr>
          <w:p>
            <w:pPr>
              <w:ind w:left="320"/>
              <w:spacing w:after="0"/>
              <w:rPr>
                <w:sz w:val="20"/>
                <w:szCs w:val="20"/>
                <w:color w:val="auto"/>
              </w:rPr>
            </w:pPr>
            <w:r>
              <w:rPr>
                <w:rFonts w:ascii="Arial" w:cs="Arial" w:eastAsia="Arial" w:hAnsi="Arial"/>
                <w:sz w:val="12"/>
                <w:szCs w:val="12"/>
                <w:b w:val="1"/>
                <w:bCs w:val="1"/>
                <w:color w:val="auto"/>
              </w:rPr>
              <w:t>Exhibit No.</w:t>
            </w:r>
          </w:p>
        </w:tc>
        <w:tc>
          <w:tcPr>
            <w:tcW w:w="6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140" w:type="dxa"/>
            <w:vAlign w:val="bottom"/>
            <w:gridSpan w:val="11"/>
          </w:tcPr>
          <w:p>
            <w:pPr>
              <w:ind w:left="900"/>
              <w:spacing w:after="0"/>
              <w:rPr>
                <w:sz w:val="20"/>
                <w:szCs w:val="20"/>
                <w:color w:val="auto"/>
              </w:rPr>
            </w:pPr>
            <w:r>
              <w:rPr>
                <w:rFonts w:ascii="Arial" w:cs="Arial" w:eastAsia="Arial" w:hAnsi="Arial"/>
                <w:sz w:val="12"/>
                <w:szCs w:val="12"/>
                <w:b w:val="1"/>
                <w:bCs w:val="1"/>
                <w:color w:val="auto"/>
              </w:rPr>
              <w:t>Description</w:t>
            </w:r>
          </w:p>
        </w:tc>
      </w:tr>
      <w:tr>
        <w:trPr>
          <w:trHeight w:val="120"/>
        </w:trPr>
        <w:tc>
          <w:tcPr>
            <w:tcW w:w="840" w:type="dxa"/>
            <w:vAlign w:val="bottom"/>
            <w:tcBorders>
              <w:top w:val="single" w:sz="8" w:color="auto"/>
            </w:tcBorders>
          </w:tcPr>
          <w:p>
            <w:pPr>
              <w:spacing w:after="0" w:line="120" w:lineRule="exact"/>
              <w:rPr>
                <w:sz w:val="20"/>
                <w:szCs w:val="20"/>
                <w:color w:val="auto"/>
              </w:rPr>
            </w:pPr>
            <w:r>
              <w:rPr>
                <w:rFonts w:ascii="Arial" w:cs="Arial" w:eastAsia="Arial" w:hAnsi="Arial"/>
                <w:sz w:val="12"/>
                <w:szCs w:val="12"/>
                <w:color w:val="auto"/>
              </w:rPr>
              <w:t>10.12</w:t>
            </w:r>
          </w:p>
        </w:tc>
        <w:tc>
          <w:tcPr>
            <w:tcW w:w="420" w:type="dxa"/>
            <w:vAlign w:val="bottom"/>
            <w:tcBorders>
              <w:top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tcBorders>
              <w:top w:val="single" w:sz="8" w:color="auto"/>
            </w:tcBorders>
            <w:gridSpan w:val="20"/>
          </w:tcPr>
          <w:p>
            <w:pPr>
              <w:spacing w:after="0" w:line="120" w:lineRule="exact"/>
              <w:rPr>
                <w:rFonts w:ascii="Arial" w:cs="Arial" w:eastAsia="Arial" w:hAnsi="Arial"/>
                <w:sz w:val="12"/>
                <w:szCs w:val="12"/>
                <w:color w:val="0000EE"/>
                <w:w w:val="91"/>
              </w:rPr>
            </w:pPr>
            <w:hyperlink r:id="rId186">
              <w:r>
                <w:rPr>
                  <w:rFonts w:ascii="Arial" w:cs="Arial" w:eastAsia="Arial" w:hAnsi="Arial"/>
                  <w:sz w:val="12"/>
                  <w:szCs w:val="12"/>
                  <w:color w:val="0000EE"/>
                  <w:w w:val="91"/>
                </w:rPr>
                <w:t>Borrower Assumption Agreement and Joinder, dated as of May 9, 2017 by and among Uniti Group Inc., as initial borrower, Uniti Group LP and Uniti Group Finance Inc., as borrowers, the guarantors party</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40" w:type="dxa"/>
            <w:vAlign w:val="bottom"/>
            <w:tcBorders>
              <w:top w:val="single" w:sz="8" w:color="0000EE"/>
              <w:bottom w:val="single" w:sz="8" w:color="0000EE"/>
            </w:tcBorders>
            <w:gridSpan w:val="17"/>
          </w:tcPr>
          <w:p>
            <w:pPr>
              <w:spacing w:after="0" w:line="124" w:lineRule="exact"/>
              <w:rPr>
                <w:rFonts w:ascii="Arial" w:cs="Arial" w:eastAsia="Arial" w:hAnsi="Arial"/>
                <w:sz w:val="12"/>
                <w:szCs w:val="12"/>
                <w:color w:val="0000EE"/>
                <w:w w:val="91"/>
              </w:rPr>
            </w:pPr>
            <w:hyperlink r:id="rId186">
              <w:r>
                <w:rPr>
                  <w:rFonts w:ascii="Arial" w:cs="Arial" w:eastAsia="Arial" w:hAnsi="Arial"/>
                  <w:sz w:val="12"/>
                  <w:szCs w:val="12"/>
                  <w:color w:val="0000EE"/>
                  <w:w w:val="91"/>
                </w:rPr>
                <w:t>thereto, the lenders party thereto, and Bank of America, N.A., as administrative agent and collateral agent (incorporated by reference to Exhibit 10.1 to the Company’s Current Report on Form 8-K dated</w:t>
              </w:r>
            </w:hyperlink>
          </w:p>
        </w:tc>
        <w:tc>
          <w:tcPr>
            <w:tcW w:w="120" w:type="dxa"/>
            <w:vAlign w:val="bottom"/>
            <w:tcBorders>
              <w:top w:val="single" w:sz="8" w:color="0000EE"/>
            </w:tcBorders>
            <w:gridSpan w:val="2"/>
          </w:tcPr>
          <w:p>
            <w:pPr>
              <w:spacing w:after="0"/>
              <w:rPr>
                <w:sz w:val="10"/>
                <w:szCs w:val="10"/>
                <w:color w:val="auto"/>
              </w:rPr>
            </w:pPr>
          </w:p>
        </w:tc>
        <w:tc>
          <w:tcPr>
            <w:tcW w:w="20" w:type="dxa"/>
            <w:vAlign w:val="bottom"/>
          </w:tcPr>
          <w:p>
            <w:pPr>
              <w:spacing w:after="0"/>
              <w:rPr>
                <w:sz w:val="10"/>
                <w:szCs w:val="10"/>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100" w:type="dxa"/>
            <w:vAlign w:val="bottom"/>
            <w:tcBorders>
              <w:bottom w:val="single" w:sz="8" w:color="0000EE"/>
            </w:tcBorders>
            <w:gridSpan w:val="7"/>
          </w:tcPr>
          <w:p>
            <w:pPr>
              <w:spacing w:after="0" w:line="124" w:lineRule="exact"/>
              <w:rPr>
                <w:rFonts w:ascii="Arial" w:cs="Arial" w:eastAsia="Arial" w:hAnsi="Arial"/>
                <w:sz w:val="12"/>
                <w:szCs w:val="12"/>
                <w:color w:val="0000EE"/>
                <w:w w:val="92"/>
              </w:rPr>
            </w:pPr>
            <w:hyperlink r:id="rId186">
              <w:r>
                <w:rPr>
                  <w:rFonts w:ascii="Arial" w:cs="Arial" w:eastAsia="Arial" w:hAnsi="Arial"/>
                  <w:sz w:val="12"/>
                  <w:szCs w:val="12"/>
                  <w:color w:val="0000EE"/>
                  <w:w w:val="92"/>
                </w:rPr>
                <w:t>and filed with the SEC as of May 9, 2017 (File No. 001-36708))</w:t>
              </w:r>
            </w:hyperlink>
          </w:p>
        </w:tc>
        <w:tc>
          <w:tcPr>
            <w:tcW w:w="6780" w:type="dxa"/>
            <w:vAlign w:val="bottom"/>
            <w:gridSpan w:val="13"/>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10.13</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40" w:type="dxa"/>
            <w:vAlign w:val="bottom"/>
            <w:tcBorders>
              <w:bottom w:val="single" w:sz="8" w:color="0000EE"/>
            </w:tcBorders>
            <w:gridSpan w:val="12"/>
          </w:tcPr>
          <w:p>
            <w:pPr>
              <w:spacing w:after="0"/>
              <w:rPr>
                <w:rFonts w:ascii="Arial" w:cs="Arial" w:eastAsia="Arial" w:hAnsi="Arial"/>
                <w:sz w:val="12"/>
                <w:szCs w:val="12"/>
                <w:color w:val="0000EE"/>
                <w:w w:val="90"/>
              </w:rPr>
            </w:pPr>
            <w:hyperlink r:id="rId187">
              <w:r>
                <w:rPr>
                  <w:rFonts w:ascii="Arial" w:cs="Arial" w:eastAsia="Arial" w:hAnsi="Arial"/>
                  <w:sz w:val="12"/>
                  <w:szCs w:val="12"/>
                  <w:color w:val="0000EE"/>
                  <w:w w:val="90"/>
                </w:rPr>
                <w:t>Recognition Agreement, dated April 24, 2015, by and among CSL National, LP and the other entities listed therein, as Landlord, and Windstream Holdings, Inc., as Tenant, and JPMorgan Chase Bank,</w:t>
              </w:r>
            </w:hyperlink>
          </w:p>
        </w:tc>
        <w:tc>
          <w:tcPr>
            <w:tcW w:w="240" w:type="dxa"/>
            <w:vAlign w:val="bottom"/>
            <w:gridSpan w:val="8"/>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300" w:type="dxa"/>
            <w:vAlign w:val="bottom"/>
            <w:tcBorders>
              <w:bottom w:val="single" w:sz="8" w:color="0000EE"/>
            </w:tcBorders>
            <w:gridSpan w:val="10"/>
          </w:tcPr>
          <w:p>
            <w:pPr>
              <w:spacing w:after="0" w:line="124" w:lineRule="exact"/>
              <w:rPr>
                <w:rFonts w:ascii="Arial" w:cs="Arial" w:eastAsia="Arial" w:hAnsi="Arial"/>
                <w:sz w:val="12"/>
                <w:szCs w:val="12"/>
                <w:color w:val="0000EE"/>
                <w:w w:val="91"/>
              </w:rPr>
            </w:pPr>
            <w:hyperlink r:id="rId187">
              <w:r>
                <w:rPr>
                  <w:rFonts w:ascii="Arial" w:cs="Arial" w:eastAsia="Arial" w:hAnsi="Arial"/>
                  <w:sz w:val="12"/>
                  <w:szCs w:val="12"/>
                  <w:color w:val="0000EE"/>
                  <w:w w:val="91"/>
                </w:rPr>
                <w:t>N.A., as administrative agent (incorporated by reference to Exhibit 10.11 to the Company’s Current Report on Form 8-K dated and filed with the SEC as of April 27, 2015 (File No. 001-36708))</w:t>
              </w:r>
            </w:hyperlink>
          </w:p>
        </w:tc>
        <w:tc>
          <w:tcPr>
            <w:tcW w:w="580" w:type="dxa"/>
            <w:vAlign w:val="bottom"/>
            <w:gridSpan w:val="10"/>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10.14+</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20"/>
          </w:tcPr>
          <w:p>
            <w:pPr>
              <w:spacing w:after="0"/>
              <w:rPr>
                <w:rFonts w:ascii="Arial" w:cs="Arial" w:eastAsia="Arial" w:hAnsi="Arial"/>
                <w:sz w:val="12"/>
                <w:szCs w:val="12"/>
                <w:color w:val="0000EE"/>
                <w:w w:val="92"/>
              </w:rPr>
            </w:pPr>
            <w:hyperlink r:id="rId188">
              <w:r>
                <w:rPr>
                  <w:rFonts w:ascii="Arial" w:cs="Arial" w:eastAsia="Arial" w:hAnsi="Arial"/>
                  <w:sz w:val="12"/>
                  <w:szCs w:val="12"/>
                  <w:color w:val="0000EE"/>
                  <w:w w:val="92"/>
                </w:rPr>
                <w:t>Employment Agreement between Uniti Group Inc. and Kenneth Gunderman, effective as of December 14, 2018 (incorporated by reference to Exhibit 10.1 to the Company’s Current Report on Form 8-K</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720" w:type="dxa"/>
            <w:vAlign w:val="bottom"/>
            <w:tcBorders>
              <w:top w:val="single" w:sz="8" w:color="0000EE"/>
              <w:bottom w:val="single" w:sz="8" w:color="0000EE"/>
            </w:tcBorders>
            <w:gridSpan w:val="8"/>
          </w:tcPr>
          <w:p>
            <w:pPr>
              <w:spacing w:after="0" w:line="124" w:lineRule="exact"/>
              <w:rPr>
                <w:rFonts w:ascii="Arial" w:cs="Arial" w:eastAsia="Arial" w:hAnsi="Arial"/>
                <w:sz w:val="12"/>
                <w:szCs w:val="12"/>
                <w:color w:val="0000EE"/>
                <w:w w:val="90"/>
              </w:rPr>
            </w:pPr>
            <w:hyperlink r:id="rId188">
              <w:r>
                <w:rPr>
                  <w:rFonts w:ascii="Arial" w:cs="Arial" w:eastAsia="Arial" w:hAnsi="Arial"/>
                  <w:sz w:val="12"/>
                  <w:szCs w:val="12"/>
                  <w:color w:val="0000EE"/>
                  <w:w w:val="90"/>
                </w:rPr>
                <w:t>dated and filed with the SEC as of December 14, 2018 (File No. 001-36708))</w:t>
              </w:r>
            </w:hyperlink>
          </w:p>
        </w:tc>
        <w:tc>
          <w:tcPr>
            <w:tcW w:w="6000" w:type="dxa"/>
            <w:vAlign w:val="bottom"/>
            <w:tcBorders>
              <w:top w:val="single" w:sz="8" w:color="0000EE"/>
            </w:tcBorders>
            <w:gridSpan w:val="8"/>
          </w:tcPr>
          <w:p>
            <w:pPr>
              <w:spacing w:after="0"/>
              <w:rPr>
                <w:sz w:val="10"/>
                <w:szCs w:val="10"/>
                <w:color w:val="auto"/>
              </w:rPr>
            </w:pPr>
          </w:p>
        </w:tc>
        <w:tc>
          <w:tcPr>
            <w:tcW w:w="160" w:type="dxa"/>
            <w:vAlign w:val="bottom"/>
            <w:gridSpan w:val="4"/>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10.15+</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80" w:type="dxa"/>
            <w:vAlign w:val="bottom"/>
            <w:tcBorders>
              <w:bottom w:val="single" w:sz="8" w:color="0000EE"/>
            </w:tcBorders>
            <w:gridSpan w:val="14"/>
          </w:tcPr>
          <w:p>
            <w:pPr>
              <w:spacing w:after="0"/>
              <w:rPr>
                <w:rFonts w:ascii="Arial" w:cs="Arial" w:eastAsia="Arial" w:hAnsi="Arial"/>
                <w:sz w:val="12"/>
                <w:szCs w:val="12"/>
                <w:color w:val="0000EE"/>
                <w:w w:val="90"/>
              </w:rPr>
            </w:pPr>
            <w:hyperlink r:id="rId189">
              <w:r>
                <w:rPr>
                  <w:rFonts w:ascii="Arial" w:cs="Arial" w:eastAsia="Arial" w:hAnsi="Arial"/>
                  <w:sz w:val="12"/>
                  <w:szCs w:val="12"/>
                  <w:color w:val="0000EE"/>
                  <w:w w:val="90"/>
                </w:rPr>
                <w:t>Severance Agreement, dated as of September 10, 2018, by and between Uniti Group Inc. and Mark A. Wallace (incorporated by reference to Exhibit 10.1 to the Company’s Current Report on Form 8-K</w:t>
              </w:r>
            </w:hyperlink>
          </w:p>
        </w:tc>
        <w:tc>
          <w:tcPr>
            <w:tcW w:w="200" w:type="dxa"/>
            <w:vAlign w:val="bottom"/>
            <w:gridSpan w:val="6"/>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740" w:type="dxa"/>
            <w:vAlign w:val="bottom"/>
            <w:tcBorders>
              <w:bottom w:val="single" w:sz="8" w:color="0000EE"/>
            </w:tcBorders>
            <w:gridSpan w:val="9"/>
          </w:tcPr>
          <w:p>
            <w:pPr>
              <w:spacing w:after="0" w:line="124" w:lineRule="exact"/>
              <w:rPr>
                <w:rFonts w:ascii="Arial" w:cs="Arial" w:eastAsia="Arial" w:hAnsi="Arial"/>
                <w:sz w:val="12"/>
                <w:szCs w:val="12"/>
                <w:color w:val="0000EE"/>
                <w:w w:val="90"/>
              </w:rPr>
            </w:pPr>
            <w:hyperlink r:id="rId189">
              <w:r>
                <w:rPr>
                  <w:rFonts w:ascii="Arial" w:cs="Arial" w:eastAsia="Arial" w:hAnsi="Arial"/>
                  <w:sz w:val="12"/>
                  <w:szCs w:val="12"/>
                  <w:color w:val="0000EE"/>
                  <w:w w:val="90"/>
                </w:rPr>
                <w:t>dated and filed with the SEC as of September 14, 2018 (File No. 001-36708))</w:t>
              </w:r>
            </w:hyperlink>
          </w:p>
        </w:tc>
        <w:tc>
          <w:tcPr>
            <w:tcW w:w="6140" w:type="dxa"/>
            <w:vAlign w:val="bottom"/>
            <w:gridSpan w:val="11"/>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10.16+</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20" w:type="dxa"/>
            <w:vAlign w:val="bottom"/>
            <w:tcBorders>
              <w:bottom w:val="single" w:sz="8" w:color="0000EE"/>
            </w:tcBorders>
            <w:gridSpan w:val="11"/>
          </w:tcPr>
          <w:p>
            <w:pPr>
              <w:spacing w:after="0"/>
              <w:rPr>
                <w:rFonts w:ascii="Arial" w:cs="Arial" w:eastAsia="Arial" w:hAnsi="Arial"/>
                <w:sz w:val="12"/>
                <w:szCs w:val="12"/>
                <w:color w:val="0000EE"/>
                <w:w w:val="90"/>
              </w:rPr>
            </w:pPr>
            <w:hyperlink r:id="rId190">
              <w:r>
                <w:rPr>
                  <w:rFonts w:ascii="Arial" w:cs="Arial" w:eastAsia="Arial" w:hAnsi="Arial"/>
                  <w:sz w:val="12"/>
                  <w:szCs w:val="12"/>
                  <w:color w:val="0000EE"/>
                  <w:w w:val="90"/>
                </w:rPr>
                <w:t>Severance Agreement, dated as of September 10, 2018, by and between Uniti Group Inc. and Daniel L. Heard (incorporated by reference to Exhibit 10.2 to the Company’s Current Report on Form 8-K</w:t>
              </w:r>
            </w:hyperlink>
          </w:p>
        </w:tc>
        <w:tc>
          <w:tcPr>
            <w:tcW w:w="260" w:type="dxa"/>
            <w:vAlign w:val="bottom"/>
            <w:gridSpan w:val="9"/>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740" w:type="dxa"/>
            <w:vAlign w:val="bottom"/>
            <w:tcBorders>
              <w:bottom w:val="single" w:sz="8" w:color="0000EE"/>
            </w:tcBorders>
            <w:gridSpan w:val="9"/>
          </w:tcPr>
          <w:p>
            <w:pPr>
              <w:spacing w:after="0" w:line="124" w:lineRule="exact"/>
              <w:rPr>
                <w:rFonts w:ascii="Arial" w:cs="Arial" w:eastAsia="Arial" w:hAnsi="Arial"/>
                <w:sz w:val="12"/>
                <w:szCs w:val="12"/>
                <w:color w:val="0000EE"/>
                <w:w w:val="90"/>
              </w:rPr>
            </w:pPr>
            <w:hyperlink r:id="rId190">
              <w:r>
                <w:rPr>
                  <w:rFonts w:ascii="Arial" w:cs="Arial" w:eastAsia="Arial" w:hAnsi="Arial"/>
                  <w:sz w:val="12"/>
                  <w:szCs w:val="12"/>
                  <w:color w:val="0000EE"/>
                  <w:w w:val="90"/>
                </w:rPr>
                <w:t>dated and filed with the SEC as of September 14, 2018 (File No. 001-36708))</w:t>
              </w:r>
            </w:hyperlink>
          </w:p>
        </w:tc>
        <w:tc>
          <w:tcPr>
            <w:tcW w:w="6140" w:type="dxa"/>
            <w:vAlign w:val="bottom"/>
            <w:gridSpan w:val="11"/>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10.17+</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700" w:type="dxa"/>
            <w:vAlign w:val="bottom"/>
            <w:tcBorders>
              <w:bottom w:val="single" w:sz="8" w:color="0000EE"/>
            </w:tcBorders>
            <w:gridSpan w:val="15"/>
          </w:tcPr>
          <w:p>
            <w:pPr>
              <w:spacing w:after="0"/>
              <w:rPr>
                <w:rFonts w:ascii="Arial" w:cs="Arial" w:eastAsia="Arial" w:hAnsi="Arial"/>
                <w:sz w:val="12"/>
                <w:szCs w:val="12"/>
                <w:color w:val="0000EE"/>
                <w:w w:val="91"/>
              </w:rPr>
            </w:pPr>
            <w:hyperlink r:id="rId191">
              <w:r>
                <w:rPr>
                  <w:rFonts w:ascii="Arial" w:cs="Arial" w:eastAsia="Arial" w:hAnsi="Arial"/>
                  <w:sz w:val="12"/>
                  <w:szCs w:val="12"/>
                  <w:color w:val="0000EE"/>
                  <w:w w:val="91"/>
                </w:rPr>
                <w:t>Uniti Group Inc. 2015 Equity Incentive Plan, as amended and restated effective March 28, 2018 (incorporated by reference to Exhibit 10.1 to the Company’s Current Report on Form 8-K dated and filed</w:t>
              </w:r>
            </w:hyperlink>
          </w:p>
        </w:tc>
        <w:tc>
          <w:tcPr>
            <w:tcW w:w="180" w:type="dxa"/>
            <w:vAlign w:val="bottom"/>
            <w:gridSpan w:val="5"/>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0"/>
          </w:tcPr>
          <w:p>
            <w:pPr>
              <w:spacing w:after="0" w:line="124" w:lineRule="exact"/>
              <w:rPr>
                <w:rFonts w:ascii="Arial" w:cs="Arial" w:eastAsia="Arial" w:hAnsi="Arial"/>
                <w:sz w:val="12"/>
                <w:szCs w:val="12"/>
                <w:color w:val="0000EE"/>
              </w:rPr>
            </w:pPr>
            <w:hyperlink r:id="rId191">
              <w:r>
                <w:rPr>
                  <w:rFonts w:ascii="Arial" w:cs="Arial" w:eastAsia="Arial" w:hAnsi="Arial"/>
                  <w:sz w:val="12"/>
                  <w:szCs w:val="12"/>
                  <w:color w:val="0000EE"/>
                </w:rPr>
                <w:t>with the SEC as of March 29, 2018 (File 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56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10.18+</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20"/>
          </w:tcPr>
          <w:p>
            <w:pPr>
              <w:spacing w:after="0"/>
              <w:rPr>
                <w:rFonts w:ascii="Arial" w:cs="Arial" w:eastAsia="Arial" w:hAnsi="Arial"/>
                <w:sz w:val="12"/>
                <w:szCs w:val="12"/>
                <w:color w:val="0000EE"/>
                <w:w w:val="93"/>
              </w:rPr>
            </w:pPr>
            <w:hyperlink r:id="rId192">
              <w:r>
                <w:rPr>
                  <w:rFonts w:ascii="Arial" w:cs="Arial" w:eastAsia="Arial" w:hAnsi="Arial"/>
                  <w:sz w:val="12"/>
                  <w:szCs w:val="12"/>
                  <w:color w:val="0000EE"/>
                  <w:w w:val="93"/>
                </w:rPr>
                <w:t>Form of Restricted Shares Agreement for employees (incorporated by reference to Exhibit 10.3 to the Company’s Current Report on Form 8-K dated and filed with the SEC as of June 3, 2015 (File No.</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0" w:type="dxa"/>
            <w:vAlign w:val="bottom"/>
            <w:tcBorders>
              <w:top w:val="single" w:sz="8" w:color="0000EE"/>
              <w:bottom w:val="single" w:sz="8" w:color="0000EE"/>
            </w:tcBorders>
          </w:tcPr>
          <w:p>
            <w:pPr>
              <w:spacing w:after="0" w:line="124" w:lineRule="exact"/>
              <w:rPr>
                <w:rFonts w:ascii="Arial" w:cs="Arial" w:eastAsia="Arial" w:hAnsi="Arial"/>
                <w:sz w:val="12"/>
                <w:szCs w:val="12"/>
                <w:color w:val="0000EE"/>
                <w:w w:val="88"/>
              </w:rPr>
            </w:pPr>
            <w:hyperlink r:id="rId192">
              <w:r>
                <w:rPr>
                  <w:rFonts w:ascii="Arial" w:cs="Arial" w:eastAsia="Arial" w:hAnsi="Arial"/>
                  <w:sz w:val="12"/>
                  <w:szCs w:val="12"/>
                  <w:color w:val="0000EE"/>
                  <w:w w:val="88"/>
                </w:rPr>
                <w:t>001-36708))</w:t>
              </w:r>
            </w:hyperlink>
          </w:p>
        </w:tc>
        <w:tc>
          <w:tcPr>
            <w:tcW w:w="460" w:type="dxa"/>
            <w:vAlign w:val="bottom"/>
            <w:tcBorders>
              <w:top w:val="single" w:sz="8" w:color="0000EE"/>
            </w:tcBorders>
          </w:tcPr>
          <w:p>
            <w:pPr>
              <w:spacing w:after="0"/>
              <w:rPr>
                <w:sz w:val="10"/>
                <w:szCs w:val="10"/>
                <w:color w:val="auto"/>
              </w:rPr>
            </w:pPr>
          </w:p>
        </w:tc>
        <w:tc>
          <w:tcPr>
            <w:tcW w:w="1480" w:type="dxa"/>
            <w:vAlign w:val="bottom"/>
            <w:tcBorders>
              <w:top w:val="single" w:sz="8" w:color="0000EE"/>
            </w:tcBorders>
          </w:tcPr>
          <w:p>
            <w:pPr>
              <w:spacing w:after="0"/>
              <w:rPr>
                <w:sz w:val="10"/>
                <w:szCs w:val="10"/>
                <w:color w:val="auto"/>
              </w:rPr>
            </w:pPr>
          </w:p>
        </w:tc>
        <w:tc>
          <w:tcPr>
            <w:tcW w:w="240" w:type="dxa"/>
            <w:vAlign w:val="bottom"/>
            <w:tcBorders>
              <w:top w:val="single" w:sz="8" w:color="0000EE"/>
            </w:tcBorders>
          </w:tcPr>
          <w:p>
            <w:pPr>
              <w:spacing w:after="0"/>
              <w:rPr>
                <w:sz w:val="10"/>
                <w:szCs w:val="10"/>
                <w:color w:val="auto"/>
              </w:rPr>
            </w:pPr>
          </w:p>
        </w:tc>
        <w:tc>
          <w:tcPr>
            <w:tcW w:w="220" w:type="dxa"/>
            <w:vAlign w:val="bottom"/>
            <w:tcBorders>
              <w:top w:val="single" w:sz="8" w:color="0000EE"/>
            </w:tcBorders>
          </w:tcPr>
          <w:p>
            <w:pPr>
              <w:spacing w:after="0"/>
              <w:rPr>
                <w:sz w:val="10"/>
                <w:szCs w:val="10"/>
                <w:color w:val="auto"/>
              </w:rPr>
            </w:pPr>
          </w:p>
        </w:tc>
        <w:tc>
          <w:tcPr>
            <w:tcW w:w="8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62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5560" w:type="dxa"/>
            <w:vAlign w:val="bottom"/>
            <w:tcBorders>
              <w:top w:val="single" w:sz="8" w:color="0000EE"/>
            </w:tcBorders>
          </w:tcPr>
          <w:p>
            <w:pPr>
              <w:spacing w:after="0"/>
              <w:rPr>
                <w:sz w:val="10"/>
                <w:szCs w:val="10"/>
                <w:color w:val="auto"/>
              </w:rPr>
            </w:pPr>
          </w:p>
        </w:tc>
        <w:tc>
          <w:tcPr>
            <w:tcW w:w="32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10.19+*</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540" w:type="dxa"/>
            <w:vAlign w:val="bottom"/>
            <w:tcBorders>
              <w:bottom w:val="single" w:sz="8" w:color="0000EE"/>
            </w:tcBorders>
            <w:gridSpan w:val="3"/>
          </w:tcPr>
          <w:p>
            <w:pPr>
              <w:spacing w:after="0"/>
              <w:rPr>
                <w:rFonts w:ascii="Arial" w:cs="Arial" w:eastAsia="Arial" w:hAnsi="Arial"/>
                <w:sz w:val="12"/>
                <w:szCs w:val="12"/>
                <w:color w:val="0000EE"/>
                <w:w w:val="89"/>
              </w:rPr>
            </w:pPr>
            <w:hyperlink w:anchor="page142">
              <w:r>
                <w:rPr>
                  <w:rFonts w:ascii="Arial" w:cs="Arial" w:eastAsia="Arial" w:hAnsi="Arial"/>
                  <w:sz w:val="12"/>
                  <w:szCs w:val="12"/>
                  <w:color w:val="0000EE"/>
                  <w:w w:val="89"/>
                </w:rPr>
                <w:t>Form of Restricted Shares Agreement for employees</w:t>
              </w:r>
            </w:hyperlink>
          </w:p>
        </w:tc>
        <w:tc>
          <w:tcPr>
            <w:tcW w:w="7340" w:type="dxa"/>
            <w:vAlign w:val="bottom"/>
            <w:gridSpan w:val="17"/>
          </w:tcPr>
          <w:p>
            <w:pPr>
              <w:spacing w:after="0"/>
              <w:rPr>
                <w:sz w:val="18"/>
                <w:szCs w:val="18"/>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10.20+</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20"/>
          </w:tcPr>
          <w:p>
            <w:pPr>
              <w:spacing w:after="0"/>
              <w:rPr>
                <w:rFonts w:ascii="Arial" w:cs="Arial" w:eastAsia="Arial" w:hAnsi="Arial"/>
                <w:sz w:val="12"/>
                <w:szCs w:val="12"/>
                <w:color w:val="0000EE"/>
                <w:w w:val="93"/>
              </w:rPr>
            </w:pPr>
            <w:hyperlink r:id="rId193">
              <w:r>
                <w:rPr>
                  <w:rFonts w:ascii="Arial" w:cs="Arial" w:eastAsia="Arial" w:hAnsi="Arial"/>
                  <w:sz w:val="12"/>
                  <w:szCs w:val="12"/>
                  <w:color w:val="0000EE"/>
                  <w:w w:val="93"/>
                </w:rPr>
                <w:t>Form of Performance-Based Restricted Stock Unit Agreement (incorporated by reference to Exhibit 10.4 to the Company’s Current Report on Form 8-K dated and filed with the SEC as of June 3, 2015</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640" w:type="dxa"/>
            <w:vAlign w:val="bottom"/>
            <w:tcBorders>
              <w:top w:val="single" w:sz="8" w:color="0000EE"/>
            </w:tcBorders>
            <w:gridSpan w:val="12"/>
          </w:tcPr>
          <w:p>
            <w:pPr>
              <w:spacing w:after="0" w:line="124" w:lineRule="exact"/>
              <w:rPr>
                <w:rFonts w:ascii="Arial" w:cs="Arial" w:eastAsia="Arial" w:hAnsi="Arial"/>
                <w:sz w:val="12"/>
                <w:szCs w:val="12"/>
                <w:color w:val="0000EE"/>
              </w:rPr>
            </w:pPr>
            <w:hyperlink r:id="rId193">
              <w:r>
                <w:rPr>
                  <w:rFonts w:ascii="Arial" w:cs="Arial" w:eastAsia="Arial" w:hAnsi="Arial"/>
                  <w:sz w:val="12"/>
                  <w:szCs w:val="12"/>
                  <w:color w:val="0000EE"/>
                </w:rPr>
                <w:t>(File No. 001-36708))</w:t>
              </w:r>
            </w:hyperlink>
          </w:p>
        </w:tc>
        <w:tc>
          <w:tcPr>
            <w:tcW w:w="240" w:type="dxa"/>
            <w:vAlign w:val="bottom"/>
            <w:gridSpan w:val="8"/>
          </w:tcPr>
          <w:p>
            <w:pPr>
              <w:spacing w:after="0"/>
              <w:rPr>
                <w:sz w:val="10"/>
                <w:szCs w:val="10"/>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9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58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0" w:type="dxa"/>
            <w:vAlign w:val="bottom"/>
            <w:tcBorders>
              <w:bottom w:val="single" w:sz="8" w:color="0000EE"/>
            </w:tcBorders>
            <w:gridSpan w:val="5"/>
          </w:tcPr>
          <w:p>
            <w:pPr>
              <w:spacing w:after="0"/>
              <w:rPr>
                <w:rFonts w:ascii="Arial" w:cs="Arial" w:eastAsia="Arial" w:hAnsi="Arial"/>
                <w:sz w:val="12"/>
                <w:szCs w:val="12"/>
                <w:color w:val="0000EE"/>
                <w:w w:val="90"/>
              </w:rPr>
            </w:pPr>
            <w:hyperlink w:anchor="page147">
              <w:r>
                <w:rPr>
                  <w:rFonts w:ascii="Arial" w:cs="Arial" w:eastAsia="Arial" w:hAnsi="Arial"/>
                  <w:sz w:val="12"/>
                  <w:szCs w:val="12"/>
                  <w:color w:val="0000EE"/>
                  <w:w w:val="90"/>
                </w:rPr>
                <w:t>Form of Performance-Based Restricted Stock Unit Agreement</w:t>
              </w:r>
            </w:hyperlink>
          </w:p>
        </w:tc>
        <w:tc>
          <w:tcPr>
            <w:tcW w:w="6880" w:type="dxa"/>
            <w:vAlign w:val="bottom"/>
            <w:gridSpan w:val="15"/>
          </w:tcPr>
          <w:p>
            <w:pPr>
              <w:spacing w:after="0"/>
              <w:rPr>
                <w:sz w:val="18"/>
                <w:szCs w:val="18"/>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10.22+</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tcBorders>
              <w:bottom w:val="single" w:sz="8" w:color="0000EE"/>
            </w:tcBorders>
            <w:gridSpan w:val="20"/>
          </w:tcPr>
          <w:p>
            <w:pPr>
              <w:spacing w:after="0"/>
              <w:rPr>
                <w:rFonts w:ascii="Arial" w:cs="Arial" w:eastAsia="Arial" w:hAnsi="Arial"/>
                <w:sz w:val="12"/>
                <w:szCs w:val="12"/>
                <w:color w:val="0000EE"/>
                <w:w w:val="91"/>
              </w:rPr>
            </w:pPr>
            <w:hyperlink r:id="rId194">
              <w:r>
                <w:rPr>
                  <w:rFonts w:ascii="Arial" w:cs="Arial" w:eastAsia="Arial" w:hAnsi="Arial"/>
                  <w:sz w:val="12"/>
                  <w:szCs w:val="12"/>
                  <w:color w:val="0000EE"/>
                  <w:w w:val="91"/>
                </w:rPr>
                <w:t>Form of Restricted Shares Agreement for non-employees (incorporated by reference to Exhibit 10.5 to the Company’s Current Report on Form 8-K dated and filed with the SEC as of June 3, 2015 (File No.</w:t>
              </w:r>
            </w:hyperlink>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0" w:type="dxa"/>
            <w:vAlign w:val="bottom"/>
            <w:tcBorders>
              <w:bottom w:val="single" w:sz="8" w:color="0000EE"/>
            </w:tcBorders>
          </w:tcPr>
          <w:p>
            <w:pPr>
              <w:spacing w:after="0" w:line="124" w:lineRule="exact"/>
              <w:rPr>
                <w:rFonts w:ascii="Arial" w:cs="Arial" w:eastAsia="Arial" w:hAnsi="Arial"/>
                <w:sz w:val="12"/>
                <w:szCs w:val="12"/>
                <w:color w:val="0000EE"/>
                <w:w w:val="88"/>
              </w:rPr>
            </w:pPr>
            <w:hyperlink r:id="rId194">
              <w:r>
                <w:rPr>
                  <w:rFonts w:ascii="Arial" w:cs="Arial" w:eastAsia="Arial" w:hAnsi="Arial"/>
                  <w:sz w:val="12"/>
                  <w:szCs w:val="12"/>
                  <w:color w:val="0000EE"/>
                  <w:w w:val="88"/>
                </w:rPr>
                <w:t>001-36708))</w:t>
              </w:r>
            </w:hyperlink>
          </w:p>
        </w:tc>
        <w:tc>
          <w:tcPr>
            <w:tcW w:w="46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10.23+</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20" w:type="dxa"/>
            <w:vAlign w:val="bottom"/>
            <w:tcBorders>
              <w:bottom w:val="single" w:sz="8" w:color="0000EE"/>
            </w:tcBorders>
            <w:gridSpan w:val="18"/>
          </w:tcPr>
          <w:p>
            <w:pPr>
              <w:spacing w:after="0"/>
              <w:rPr>
                <w:rFonts w:ascii="Arial" w:cs="Arial" w:eastAsia="Arial" w:hAnsi="Arial"/>
                <w:sz w:val="12"/>
                <w:szCs w:val="12"/>
                <w:color w:val="0000EE"/>
                <w:w w:val="90"/>
              </w:rPr>
            </w:pPr>
            <w:hyperlink r:id="rId195">
              <w:r>
                <w:rPr>
                  <w:rFonts w:ascii="Arial" w:cs="Arial" w:eastAsia="Arial" w:hAnsi="Arial"/>
                  <w:sz w:val="12"/>
                  <w:szCs w:val="12"/>
                  <w:color w:val="0000EE"/>
                  <w:w w:val="90"/>
                </w:rPr>
                <w:t>Form of Restricted Shares Agreement for non-employee directors (incorporated by reference to Exhibit 10.5 to the Company’s Current Report on Form 8-K dated and filed with the SEC as of June 3, 2015</w:t>
              </w:r>
            </w:hyperlink>
          </w:p>
        </w:tc>
        <w:tc>
          <w:tcPr>
            <w:tcW w:w="60" w:type="dxa"/>
            <w:vAlign w:val="bottom"/>
            <w:gridSpan w:val="2"/>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20"/>
          </w:tcPr>
          <w:p>
            <w:pPr>
              <w:spacing w:after="0" w:line="124" w:lineRule="exact"/>
              <w:rPr>
                <w:rFonts w:ascii="Arial" w:cs="Arial" w:eastAsia="Arial" w:hAnsi="Arial"/>
                <w:sz w:val="12"/>
                <w:szCs w:val="12"/>
                <w:color w:val="0000EE"/>
              </w:rPr>
            </w:pPr>
            <w:hyperlink r:id="rId195">
              <w:r>
                <w:rPr>
                  <w:rFonts w:ascii="Arial" w:cs="Arial" w:eastAsia="Arial" w:hAnsi="Arial"/>
                  <w:sz w:val="12"/>
                  <w:szCs w:val="12"/>
                  <w:color w:val="0000EE"/>
                </w:rPr>
                <w:t>(File No. 001-36708))</w:t>
              </w:r>
            </w:hyperlink>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658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gridSpan w:val="6"/>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10.24+</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80" w:type="dxa"/>
            <w:vAlign w:val="bottom"/>
            <w:tcBorders>
              <w:bottom w:val="single" w:sz="8" w:color="0000EE"/>
            </w:tcBorders>
            <w:gridSpan w:val="14"/>
          </w:tcPr>
          <w:p>
            <w:pPr>
              <w:spacing w:after="0"/>
              <w:rPr>
                <w:rFonts w:ascii="Arial" w:cs="Arial" w:eastAsia="Arial" w:hAnsi="Arial"/>
                <w:sz w:val="12"/>
                <w:szCs w:val="12"/>
                <w:color w:val="0000EE"/>
                <w:w w:val="91"/>
              </w:rPr>
            </w:pPr>
            <w:hyperlink r:id="rId196">
              <w:r>
                <w:rPr>
                  <w:rFonts w:ascii="Arial" w:cs="Arial" w:eastAsia="Arial" w:hAnsi="Arial"/>
                  <w:sz w:val="12"/>
                  <w:szCs w:val="12"/>
                  <w:color w:val="0000EE"/>
                  <w:w w:val="91"/>
                </w:rPr>
                <w:t>Form of Indemnity Agreement (incorporated by reference to Exhibit 10.20 to the Company’s Registration Statement on Form S-4 dated and filed with the SEC as of July 2, 2015 (File No. 333-205450))</w:t>
              </w:r>
            </w:hyperlink>
          </w:p>
        </w:tc>
        <w:tc>
          <w:tcPr>
            <w:tcW w:w="200" w:type="dxa"/>
            <w:vAlign w:val="bottom"/>
            <w:gridSpan w:val="6"/>
          </w:tcPr>
          <w:p>
            <w:pPr>
              <w:spacing w:after="0"/>
              <w:rPr>
                <w:sz w:val="18"/>
                <w:szCs w:val="18"/>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10.25+</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60" w:type="dxa"/>
            <w:vAlign w:val="bottom"/>
            <w:tcBorders>
              <w:bottom w:val="single" w:sz="8" w:color="0000EE"/>
            </w:tcBorders>
            <w:gridSpan w:val="13"/>
          </w:tcPr>
          <w:p>
            <w:pPr>
              <w:spacing w:after="0"/>
              <w:rPr>
                <w:rFonts w:ascii="Arial" w:cs="Arial" w:eastAsia="Arial" w:hAnsi="Arial"/>
                <w:sz w:val="12"/>
                <w:szCs w:val="12"/>
                <w:color w:val="0000EE"/>
                <w:w w:val="91"/>
              </w:rPr>
            </w:pPr>
            <w:hyperlink r:id="rId197">
              <w:r>
                <w:rPr>
                  <w:rFonts w:ascii="Arial" w:cs="Arial" w:eastAsia="Arial" w:hAnsi="Arial"/>
                  <w:sz w:val="12"/>
                  <w:szCs w:val="12"/>
                  <w:color w:val="0000EE"/>
                  <w:w w:val="91"/>
                </w:rPr>
                <w:t>Communications Sales &amp; Leasing, Inc. Deferred Compensation Plan, effective August 10, 2015 (incorporated by reference to Exhibit 10.20 to the Company’s Quarterly Report on Form 10-Q dated and</w:t>
              </w:r>
            </w:hyperlink>
          </w:p>
        </w:tc>
        <w:tc>
          <w:tcPr>
            <w:tcW w:w="220" w:type="dxa"/>
            <w:vAlign w:val="bottom"/>
            <w:gridSpan w:val="7"/>
          </w:tcPr>
          <w:p>
            <w:pPr>
              <w:spacing w:after="0"/>
              <w:rPr>
                <w:sz w:val="18"/>
                <w:szCs w:val="18"/>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080" w:type="dxa"/>
            <w:vAlign w:val="bottom"/>
            <w:tcBorders>
              <w:bottom w:val="single" w:sz="8" w:color="0000EE"/>
            </w:tcBorders>
            <w:gridSpan w:val="6"/>
          </w:tcPr>
          <w:p>
            <w:pPr>
              <w:spacing w:after="0" w:line="124" w:lineRule="exact"/>
              <w:rPr>
                <w:rFonts w:ascii="Arial" w:cs="Arial" w:eastAsia="Arial" w:hAnsi="Arial"/>
                <w:sz w:val="12"/>
                <w:szCs w:val="12"/>
                <w:color w:val="0000EE"/>
                <w:w w:val="92"/>
              </w:rPr>
            </w:pPr>
            <w:hyperlink r:id="rId197">
              <w:r>
                <w:rPr>
                  <w:rFonts w:ascii="Arial" w:cs="Arial" w:eastAsia="Arial" w:hAnsi="Arial"/>
                  <w:sz w:val="12"/>
                  <w:szCs w:val="12"/>
                  <w:color w:val="0000EE"/>
                  <w:w w:val="92"/>
                </w:rPr>
                <w:t>filed with the SEC as of August 13, 2015 (File No. 001-36708))</w:t>
              </w:r>
            </w:hyperlink>
          </w:p>
        </w:tc>
        <w:tc>
          <w:tcPr>
            <w:tcW w:w="6800" w:type="dxa"/>
            <w:vAlign w:val="bottom"/>
            <w:gridSpan w:val="14"/>
          </w:tcPr>
          <w:p>
            <w:pPr>
              <w:spacing w:after="0"/>
              <w:rPr>
                <w:sz w:val="10"/>
                <w:szCs w:val="10"/>
                <w:color w:val="auto"/>
              </w:rPr>
            </w:pPr>
          </w:p>
        </w:tc>
      </w:tr>
      <w:tr>
        <w:trPr>
          <w:trHeight w:val="376"/>
        </w:trPr>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300" w:type="dxa"/>
            <w:vAlign w:val="bottom"/>
            <w:gridSpan w:val="10"/>
          </w:tcPr>
          <w:p>
            <w:pPr>
              <w:ind w:left="4020"/>
              <w:spacing w:after="0"/>
              <w:rPr>
                <w:sz w:val="20"/>
                <w:szCs w:val="20"/>
                <w:color w:val="auto"/>
              </w:rPr>
            </w:pPr>
            <w:r>
              <w:rPr>
                <w:rFonts w:ascii="Arial" w:cs="Arial" w:eastAsia="Arial" w:hAnsi="Arial"/>
                <w:sz w:val="12"/>
                <w:szCs w:val="12"/>
                <w:color w:val="auto"/>
              </w:rPr>
              <w:t>114</w:t>
            </w: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84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36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460" w:type="dxa"/>
            <w:vAlign w:val="bottom"/>
            <w:tcBorders>
              <w:bottom w:val="single" w:sz="8" w:color="9A9A9A"/>
            </w:tcBorders>
          </w:tcPr>
          <w:p>
            <w:pPr>
              <w:spacing w:after="0"/>
              <w:rPr>
                <w:sz w:val="6"/>
                <w:szCs w:val="6"/>
                <w:color w:val="auto"/>
              </w:rPr>
            </w:pPr>
          </w:p>
        </w:tc>
        <w:tc>
          <w:tcPr>
            <w:tcW w:w="148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560" w:type="dxa"/>
            <w:vAlign w:val="bottom"/>
            <w:tcBorders>
              <w:bottom w:val="single" w:sz="8" w:color="9A9A9A"/>
            </w:tcBorders>
          </w:tcPr>
          <w:p>
            <w:pPr>
              <w:spacing w:after="0"/>
              <w:rPr>
                <w:sz w:val="6"/>
                <w:szCs w:val="6"/>
                <w:color w:val="auto"/>
              </w:rPr>
            </w:pPr>
          </w:p>
        </w:tc>
        <w:tc>
          <w:tcPr>
            <w:tcW w:w="3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8">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9">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19" w:right="179" w:bottom="1440" w:gutter="0" w:footer="0" w:header="0"/>
        </w:sectPr>
      </w:pPr>
    </w:p>
    <w:bookmarkStart w:id="114" w:name="page115"/>
    <w:bookmarkEnd w:id="114"/>
    <w:tbl>
      <w:tblPr>
        <w:tblLayout w:type="fixed"/>
        <w:tblInd w:w="8" w:type="dxa"/>
        <w:tblCellMar>
          <w:top w:w="0" w:type="dxa"/>
          <w:left w:w="0" w:type="dxa"/>
          <w:bottom w:w="0" w:type="dxa"/>
          <w:right w:w="0" w:type="dxa"/>
        </w:tblCellMar>
      </w:tblPr>
      <w:tr>
        <w:trPr>
          <w:trHeight w:val="138"/>
        </w:trPr>
        <w:tc>
          <w:tcPr>
            <w:tcW w:w="1620" w:type="dxa"/>
            <w:vAlign w:val="bottom"/>
            <w:gridSpan w:val="3"/>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6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840" w:type="dxa"/>
            <w:vAlign w:val="bottom"/>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620" w:type="dxa"/>
            <w:vAlign w:val="bottom"/>
            <w:gridSpan w:val="3"/>
          </w:tcPr>
          <w:p>
            <w:pPr>
              <w:ind w:left="320"/>
              <w:spacing w:after="0"/>
              <w:rPr>
                <w:sz w:val="20"/>
                <w:szCs w:val="20"/>
                <w:color w:val="auto"/>
              </w:rPr>
            </w:pPr>
            <w:r>
              <w:rPr>
                <w:rFonts w:ascii="Arial" w:cs="Arial" w:eastAsia="Arial" w:hAnsi="Arial"/>
                <w:sz w:val="12"/>
                <w:szCs w:val="12"/>
                <w:b w:val="1"/>
                <w:bCs w:val="1"/>
                <w:color w:val="auto"/>
              </w:rPr>
              <w:t>Exhibit No.</w:t>
            </w:r>
          </w:p>
        </w:tc>
        <w:tc>
          <w:tcPr>
            <w:tcW w:w="6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5620" w:type="dxa"/>
            <w:vAlign w:val="bottom"/>
            <w:gridSpan w:val="14"/>
          </w:tcPr>
          <w:p>
            <w:pPr>
              <w:ind w:left="380"/>
              <w:spacing w:after="0"/>
              <w:rPr>
                <w:sz w:val="20"/>
                <w:szCs w:val="20"/>
                <w:color w:val="auto"/>
              </w:rPr>
            </w:pPr>
            <w:r>
              <w:rPr>
                <w:rFonts w:ascii="Arial" w:cs="Arial" w:eastAsia="Arial" w:hAnsi="Arial"/>
                <w:sz w:val="12"/>
                <w:szCs w:val="12"/>
                <w:b w:val="1"/>
                <w:bCs w:val="1"/>
                <w:color w:val="auto"/>
              </w:rPr>
              <w:t>Description</w:t>
            </w:r>
          </w:p>
        </w:tc>
        <w:tc>
          <w:tcPr>
            <w:tcW w:w="0" w:type="dxa"/>
            <w:vAlign w:val="bottom"/>
          </w:tcPr>
          <w:p>
            <w:pPr>
              <w:spacing w:after="0"/>
              <w:rPr>
                <w:sz w:val="1"/>
                <w:szCs w:val="1"/>
                <w:color w:val="auto"/>
              </w:rPr>
            </w:pPr>
          </w:p>
        </w:tc>
      </w:tr>
      <w:tr>
        <w:trPr>
          <w:trHeight w:val="120"/>
        </w:trPr>
        <w:tc>
          <w:tcPr>
            <w:tcW w:w="840" w:type="dxa"/>
            <w:vAlign w:val="bottom"/>
            <w:tcBorders>
              <w:top w:val="single" w:sz="8" w:color="auto"/>
            </w:tcBorders>
          </w:tcPr>
          <w:p>
            <w:pPr>
              <w:spacing w:after="0" w:line="120" w:lineRule="exact"/>
              <w:rPr>
                <w:sz w:val="20"/>
                <w:szCs w:val="20"/>
                <w:color w:val="auto"/>
              </w:rPr>
            </w:pPr>
            <w:r>
              <w:rPr>
                <w:rFonts w:ascii="Arial" w:cs="Arial" w:eastAsia="Arial" w:hAnsi="Arial"/>
                <w:sz w:val="12"/>
                <w:szCs w:val="12"/>
                <w:color w:val="auto"/>
              </w:rPr>
              <w:t>10.26+</w:t>
            </w:r>
          </w:p>
        </w:tc>
        <w:tc>
          <w:tcPr>
            <w:tcW w:w="420" w:type="dxa"/>
            <w:vAlign w:val="bottom"/>
            <w:tcBorders>
              <w:top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9840" w:type="dxa"/>
            <w:vAlign w:val="bottom"/>
            <w:tcBorders>
              <w:top w:val="single" w:sz="8" w:color="auto"/>
              <w:bottom w:val="single" w:sz="8" w:color="0000EE"/>
            </w:tcBorders>
            <w:gridSpan w:val="17"/>
          </w:tcPr>
          <w:p>
            <w:pPr>
              <w:spacing w:after="0" w:line="120" w:lineRule="exact"/>
              <w:rPr>
                <w:rFonts w:ascii="Arial" w:cs="Arial" w:eastAsia="Arial" w:hAnsi="Arial"/>
                <w:sz w:val="12"/>
                <w:szCs w:val="12"/>
                <w:color w:val="0000EE"/>
                <w:w w:val="90"/>
              </w:rPr>
            </w:pPr>
            <w:hyperlink r:id="rId200">
              <w:r>
                <w:rPr>
                  <w:rFonts w:ascii="Arial" w:cs="Arial" w:eastAsia="Arial" w:hAnsi="Arial"/>
                  <w:sz w:val="12"/>
                  <w:szCs w:val="12"/>
                  <w:color w:val="0000EE"/>
                  <w:w w:val="90"/>
                </w:rPr>
                <w:t>Uniti Group Inc. Amended and Restated Employee Stock Purchase Plan (incorporated by reference to Exhibit 99.1 to the Company’s Registration Statement on Form S-8 dated and filed with the SEC as of</w:t>
              </w:r>
            </w:hyperlink>
          </w:p>
        </w:tc>
        <w:tc>
          <w:tcPr>
            <w:tcW w:w="40" w:type="dxa"/>
            <w:vAlign w:val="bottom"/>
            <w:tcBorders>
              <w:top w:val="single" w:sz="8" w:color="auto"/>
            </w:tcBorders>
            <w:gridSpan w:val="2"/>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9"/>
          </w:tcPr>
          <w:p>
            <w:pPr>
              <w:spacing w:after="0" w:line="124" w:lineRule="exact"/>
              <w:rPr>
                <w:rFonts w:ascii="Arial" w:cs="Arial" w:eastAsia="Arial" w:hAnsi="Arial"/>
                <w:sz w:val="12"/>
                <w:szCs w:val="12"/>
                <w:color w:val="0000EE"/>
              </w:rPr>
            </w:pPr>
            <w:hyperlink r:id="rId200">
              <w:r>
                <w:rPr>
                  <w:rFonts w:ascii="Arial" w:cs="Arial" w:eastAsia="Arial" w:hAnsi="Arial"/>
                  <w:sz w:val="12"/>
                  <w:szCs w:val="12"/>
                  <w:color w:val="0000EE"/>
                </w:rPr>
                <w:t>June 7, 2018 (File No. 333-225501))</w:t>
              </w:r>
            </w:hyperlink>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10.27</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19"/>
          </w:tcPr>
          <w:p>
            <w:pPr>
              <w:spacing w:after="0"/>
              <w:rPr>
                <w:rFonts w:ascii="Arial" w:cs="Arial" w:eastAsia="Arial" w:hAnsi="Arial"/>
                <w:sz w:val="12"/>
                <w:szCs w:val="12"/>
                <w:color w:val="0000EE"/>
                <w:w w:val="92"/>
              </w:rPr>
            </w:pPr>
            <w:hyperlink r:id="rId201">
              <w:r>
                <w:rPr>
                  <w:rFonts w:ascii="Arial" w:cs="Arial" w:eastAsia="Arial" w:hAnsi="Arial"/>
                  <w:sz w:val="12"/>
                  <w:szCs w:val="12"/>
                  <w:color w:val="0000EE"/>
                  <w:w w:val="92"/>
                </w:rPr>
                <w:t>Stockholders’ and Registration Rights Agreement, dated May 2, 2016, by and between Communications Sales and Leasing, Inc. and PEG Bandwidth Holdings, LLC (incorporated by reference to Exhibit</w:t>
              </w:r>
            </w:hyperlink>
          </w:p>
        </w:tc>
        <w:tc>
          <w:tcPr>
            <w:tcW w:w="0" w:type="dxa"/>
            <w:vAlign w:val="bottom"/>
          </w:tcPr>
          <w:p>
            <w:pPr>
              <w:spacing w:after="0"/>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740" w:type="dxa"/>
            <w:vAlign w:val="bottom"/>
            <w:tcBorders>
              <w:top w:val="single" w:sz="8" w:color="0000EE"/>
            </w:tcBorders>
            <w:gridSpan w:val="15"/>
          </w:tcPr>
          <w:p>
            <w:pPr>
              <w:spacing w:after="0" w:line="124" w:lineRule="exact"/>
              <w:rPr>
                <w:rFonts w:ascii="Arial" w:cs="Arial" w:eastAsia="Arial" w:hAnsi="Arial"/>
                <w:sz w:val="12"/>
                <w:szCs w:val="12"/>
                <w:color w:val="0000EE"/>
              </w:rPr>
            </w:pPr>
            <w:hyperlink r:id="rId201">
              <w:r>
                <w:rPr>
                  <w:rFonts w:ascii="Arial" w:cs="Arial" w:eastAsia="Arial" w:hAnsi="Arial"/>
                  <w:sz w:val="12"/>
                  <w:szCs w:val="12"/>
                  <w:color w:val="0000EE"/>
                </w:rPr>
                <w:t>10.</w:t>
              </w:r>
              <w:r>
                <w:rPr>
                  <w:rFonts w:ascii="Arial" w:cs="Arial" w:eastAsia="Arial" w:hAnsi="Arial"/>
                  <w:sz w:val="12"/>
                  <w:szCs w:val="12"/>
                  <w:u w:val="single" w:color="auto"/>
                  <w:color w:val="0000EE"/>
                </w:rPr>
                <w:t>1</w:t>
              </w:r>
              <w:r>
                <w:rPr>
                  <w:rFonts w:ascii="Arial" w:cs="Arial" w:eastAsia="Arial" w:hAnsi="Arial"/>
                  <w:sz w:val="12"/>
                  <w:szCs w:val="12"/>
                  <w:color w:val="0000EE"/>
                </w:rPr>
                <w:t xml:space="preserve"> to the Company’s Current Report on Form 8-K dated and filed with the SEC as of May 4, 2016 (File No. 001-36708))</w:t>
              </w:r>
            </w:hyperlink>
          </w:p>
        </w:tc>
        <w:tc>
          <w:tcPr>
            <w:tcW w:w="140" w:type="dxa"/>
            <w:vAlign w:val="bottom"/>
            <w:gridSpan w:val="4"/>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2360" w:type="dxa"/>
            <w:vAlign w:val="bottom"/>
            <w:shd w:val="clear" w:color="auto" w:fill="0000EE"/>
          </w:tcPr>
          <w:p>
            <w:pPr>
              <w:spacing w:after="0" w:line="20" w:lineRule="exact"/>
              <w:rPr>
                <w:sz w:val="1"/>
                <w:szCs w:val="1"/>
                <w:color w:val="auto"/>
              </w:rPr>
            </w:pPr>
          </w:p>
        </w:tc>
        <w:tc>
          <w:tcPr>
            <w:tcW w:w="164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10.28</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19"/>
          </w:tcPr>
          <w:p>
            <w:pPr>
              <w:spacing w:after="0"/>
              <w:rPr>
                <w:rFonts w:ascii="Arial" w:cs="Arial" w:eastAsia="Arial" w:hAnsi="Arial"/>
                <w:sz w:val="12"/>
                <w:szCs w:val="12"/>
                <w:color w:val="0000EE"/>
                <w:w w:val="93"/>
              </w:rPr>
            </w:pPr>
            <w:hyperlink r:id="rId202">
              <w:r>
                <w:rPr>
                  <w:rFonts w:ascii="Arial" w:cs="Arial" w:eastAsia="Arial" w:hAnsi="Arial"/>
                  <w:sz w:val="12"/>
                  <w:szCs w:val="12"/>
                  <w:color w:val="0000EE"/>
                  <w:w w:val="93"/>
                </w:rPr>
                <w:t>Amendment No. 1 to Master Lease, entered into as of February 12, 2016, by and among CSL National, L.P. and the other entities listed therein, as Landlord, and Windstream Holdings, Inc., as Tenant</w:t>
              </w:r>
            </w:hyperlink>
          </w:p>
        </w:tc>
        <w:tc>
          <w:tcPr>
            <w:tcW w:w="0" w:type="dxa"/>
            <w:vAlign w:val="bottom"/>
          </w:tcPr>
          <w:p>
            <w:pPr>
              <w:spacing w:after="0"/>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940" w:type="dxa"/>
            <w:vAlign w:val="bottom"/>
            <w:tcBorders>
              <w:top w:val="single" w:sz="8" w:color="0000EE"/>
              <w:bottom w:val="single" w:sz="8" w:color="0000EE"/>
            </w:tcBorders>
            <w:gridSpan w:val="10"/>
          </w:tcPr>
          <w:p>
            <w:pPr>
              <w:spacing w:after="0" w:line="124" w:lineRule="exact"/>
              <w:rPr>
                <w:rFonts w:ascii="Arial" w:cs="Arial" w:eastAsia="Arial" w:hAnsi="Arial"/>
                <w:sz w:val="12"/>
                <w:szCs w:val="12"/>
                <w:color w:val="0000EE"/>
                <w:w w:val="91"/>
              </w:rPr>
            </w:pPr>
            <w:hyperlink r:id="rId202">
              <w:r>
                <w:rPr>
                  <w:rFonts w:ascii="Arial" w:cs="Arial" w:eastAsia="Arial" w:hAnsi="Arial"/>
                  <w:sz w:val="12"/>
                  <w:szCs w:val="12"/>
                  <w:color w:val="0000EE"/>
                  <w:w w:val="91"/>
                </w:rPr>
                <w:t>(incorporated by reference to Exhibit 10.3 to the Company’s Quarterly Report on Form 10-Q dated and filed with the SEC as of May 12, 2016 (File No. 001-36708))</w:t>
              </w:r>
            </w:hyperlink>
          </w:p>
        </w:tc>
        <w:tc>
          <w:tcPr>
            <w:tcW w:w="1620" w:type="dxa"/>
            <w:vAlign w:val="bottom"/>
            <w:tcBorders>
              <w:top w:val="single" w:sz="8" w:color="0000EE"/>
            </w:tcBorders>
          </w:tcPr>
          <w:p>
            <w:pPr>
              <w:spacing w:after="0"/>
              <w:rPr>
                <w:sz w:val="10"/>
                <w:szCs w:val="10"/>
                <w:color w:val="auto"/>
              </w:rPr>
            </w:pPr>
          </w:p>
        </w:tc>
        <w:tc>
          <w:tcPr>
            <w:tcW w:w="320" w:type="dxa"/>
            <w:vAlign w:val="bottom"/>
            <w:gridSpan w:val="8"/>
          </w:tcPr>
          <w:p>
            <w:pPr>
              <w:spacing w:after="0"/>
              <w:rPr>
                <w:sz w:val="10"/>
                <w:szCs w:val="10"/>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10.29</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660" w:type="dxa"/>
            <w:vAlign w:val="bottom"/>
            <w:tcBorders>
              <w:bottom w:val="single" w:sz="8" w:color="0000EE"/>
            </w:tcBorders>
            <w:gridSpan w:val="12"/>
          </w:tcPr>
          <w:p>
            <w:pPr>
              <w:spacing w:after="0"/>
              <w:rPr>
                <w:rFonts w:ascii="Arial" w:cs="Arial" w:eastAsia="Arial" w:hAnsi="Arial"/>
                <w:sz w:val="12"/>
                <w:szCs w:val="12"/>
                <w:color w:val="0000EE"/>
                <w:w w:val="89"/>
              </w:rPr>
            </w:pPr>
            <w:hyperlink r:id="rId203">
              <w:r>
                <w:rPr>
                  <w:rFonts w:ascii="Arial" w:cs="Arial" w:eastAsia="Arial" w:hAnsi="Arial"/>
                  <w:sz w:val="12"/>
                  <w:szCs w:val="12"/>
                  <w:color w:val="0000EE"/>
                  <w:w w:val="89"/>
                </w:rPr>
                <w:t>Registration Rights Agreement by and among each of the parties listed on the signature pages thereto and Communications Sales &amp; Leasing, Inc. dated as of June 15, 2016 (incorporated by reference to</w:t>
              </w:r>
            </w:hyperlink>
          </w:p>
        </w:tc>
        <w:tc>
          <w:tcPr>
            <w:tcW w:w="220" w:type="dxa"/>
            <w:vAlign w:val="bottom"/>
            <w:gridSpan w:val="7"/>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9"/>
          </w:tcPr>
          <w:p>
            <w:pPr>
              <w:spacing w:after="0" w:line="124" w:lineRule="exact"/>
              <w:rPr>
                <w:rFonts w:ascii="Arial" w:cs="Arial" w:eastAsia="Arial" w:hAnsi="Arial"/>
                <w:sz w:val="12"/>
                <w:szCs w:val="12"/>
                <w:color w:val="0000EE"/>
              </w:rPr>
            </w:pPr>
            <w:hyperlink r:id="rId203">
              <w:r>
                <w:rPr>
                  <w:rFonts w:ascii="Arial" w:cs="Arial" w:eastAsia="Arial" w:hAnsi="Arial"/>
                  <w:sz w:val="12"/>
                  <w:szCs w:val="12"/>
                  <w:color w:val="0000EE"/>
                </w:rPr>
                <w:t>Exhibit 10.2 to the Company’s Quarterly Report on Form 10-Q dated and filed with the SEC as of August 11, 2016 (File No. 001-36708))</w:t>
              </w:r>
            </w:hyperlink>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2360" w:type="dxa"/>
            <w:vAlign w:val="bottom"/>
            <w:shd w:val="clear" w:color="auto" w:fill="0000EE"/>
          </w:tcPr>
          <w:p>
            <w:pPr>
              <w:spacing w:after="0" w:line="20" w:lineRule="exact"/>
              <w:rPr>
                <w:sz w:val="1"/>
                <w:szCs w:val="1"/>
                <w:color w:val="auto"/>
              </w:rPr>
            </w:pPr>
          </w:p>
        </w:tc>
        <w:tc>
          <w:tcPr>
            <w:tcW w:w="2360" w:type="dxa"/>
            <w:vAlign w:val="bottom"/>
            <w:gridSpan w:val="2"/>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10.30+</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60" w:type="dxa"/>
            <w:vAlign w:val="bottom"/>
            <w:tcBorders>
              <w:bottom w:val="single" w:sz="8" w:color="0000EE"/>
            </w:tcBorders>
            <w:gridSpan w:val="18"/>
          </w:tcPr>
          <w:p>
            <w:pPr>
              <w:spacing w:after="0"/>
              <w:rPr>
                <w:rFonts w:ascii="Arial" w:cs="Arial" w:eastAsia="Arial" w:hAnsi="Arial"/>
                <w:sz w:val="12"/>
                <w:szCs w:val="12"/>
                <w:color w:val="0000EE"/>
                <w:w w:val="91"/>
              </w:rPr>
            </w:pPr>
            <w:hyperlink r:id="rId204">
              <w:r>
                <w:rPr>
                  <w:rFonts w:ascii="Arial" w:cs="Arial" w:eastAsia="Arial" w:hAnsi="Arial"/>
                  <w:sz w:val="12"/>
                  <w:szCs w:val="12"/>
                  <w:color w:val="0000EE"/>
                  <w:w w:val="91"/>
                </w:rPr>
                <w:t>Communications Sales &amp; Leasing, Inc. 2017 Short Term Incentive Plan (incorporated by reference to Exhibit 10.1 to the Company’s Quarterly Report on Form 10-Q dated and filed with the SEC as of May</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520" w:type="dxa"/>
            <w:vAlign w:val="bottom"/>
            <w:tcBorders>
              <w:bottom w:val="single" w:sz="8" w:color="0000EE"/>
            </w:tcBorders>
            <w:gridSpan w:val="2"/>
          </w:tcPr>
          <w:p>
            <w:pPr>
              <w:spacing w:after="0" w:line="124" w:lineRule="exact"/>
              <w:rPr>
                <w:rFonts w:ascii="Arial" w:cs="Arial" w:eastAsia="Arial" w:hAnsi="Arial"/>
                <w:sz w:val="12"/>
                <w:szCs w:val="12"/>
                <w:color w:val="0000EE"/>
                <w:w w:val="91"/>
              </w:rPr>
            </w:pPr>
            <w:hyperlink r:id="rId204">
              <w:r>
                <w:rPr>
                  <w:rFonts w:ascii="Arial" w:cs="Arial" w:eastAsia="Arial" w:hAnsi="Arial"/>
                  <w:sz w:val="12"/>
                  <w:szCs w:val="12"/>
                  <w:color w:val="0000EE"/>
                  <w:w w:val="91"/>
                </w:rPr>
                <w:t>10, 2018 (File No. 001-36708))</w:t>
              </w:r>
            </w:hyperlink>
          </w:p>
        </w:tc>
        <w:tc>
          <w:tcPr>
            <w:tcW w:w="8360" w:type="dxa"/>
            <w:vAlign w:val="bottom"/>
            <w:gridSpan w:val="17"/>
          </w:tcPr>
          <w:p>
            <w:pPr>
              <w:spacing w:after="0"/>
              <w:rPr>
                <w:sz w:val="10"/>
                <w:szCs w:val="10"/>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10.31+***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80" w:type="dxa"/>
            <w:vAlign w:val="bottom"/>
            <w:gridSpan w:val="19"/>
          </w:tcPr>
          <w:p>
            <w:pPr>
              <w:spacing w:after="0"/>
              <w:rPr>
                <w:rFonts w:ascii="Arial" w:cs="Arial" w:eastAsia="Arial" w:hAnsi="Arial"/>
                <w:sz w:val="12"/>
                <w:szCs w:val="12"/>
                <w:color w:val="0000EE"/>
                <w:w w:val="93"/>
              </w:rPr>
            </w:pPr>
            <w:hyperlink r:id="rId205">
              <w:r>
                <w:rPr>
                  <w:rFonts w:ascii="Arial" w:cs="Arial" w:eastAsia="Arial" w:hAnsi="Arial"/>
                  <w:sz w:val="12"/>
                  <w:szCs w:val="12"/>
                  <w:color w:val="0000EE"/>
                  <w:w w:val="93"/>
                </w:rPr>
                <w:t>Uniti Group Inc. 2018 Short Term Incentive Plan (incorporated by reference to Exhibit 10.2 to the Company’s Quarterly Report on Form 10-Q dated and filed with the SEC as of May 10, 2018 (File No.</w:t>
              </w:r>
            </w:hyperlink>
          </w:p>
        </w:tc>
        <w:tc>
          <w:tcPr>
            <w:tcW w:w="0" w:type="dxa"/>
            <w:vAlign w:val="bottom"/>
          </w:tcPr>
          <w:p>
            <w:pPr>
              <w:spacing w:after="0"/>
              <w:rPr>
                <w:sz w:val="1"/>
                <w:szCs w:val="1"/>
                <w:color w:val="auto"/>
              </w:rPr>
            </w:pPr>
          </w:p>
        </w:tc>
      </w:tr>
      <w:tr>
        <w:trPr>
          <w:trHeight w:val="124"/>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0" w:type="dxa"/>
            <w:vAlign w:val="bottom"/>
            <w:tcBorders>
              <w:top w:val="single" w:sz="8" w:color="0000EE"/>
              <w:bottom w:val="single" w:sz="8" w:color="0000EE"/>
            </w:tcBorders>
          </w:tcPr>
          <w:p>
            <w:pPr>
              <w:spacing w:after="0" w:line="124" w:lineRule="exact"/>
              <w:rPr>
                <w:rFonts w:ascii="Arial" w:cs="Arial" w:eastAsia="Arial" w:hAnsi="Arial"/>
                <w:sz w:val="12"/>
                <w:szCs w:val="12"/>
                <w:color w:val="0000EE"/>
                <w:w w:val="88"/>
              </w:rPr>
            </w:pPr>
            <w:hyperlink r:id="rId205">
              <w:r>
                <w:rPr>
                  <w:rFonts w:ascii="Arial" w:cs="Arial" w:eastAsia="Arial" w:hAnsi="Arial"/>
                  <w:sz w:val="12"/>
                  <w:szCs w:val="12"/>
                  <w:color w:val="0000EE"/>
                  <w:w w:val="88"/>
                </w:rPr>
                <w:t>001-36708))</w:t>
              </w:r>
            </w:hyperlink>
          </w:p>
        </w:tc>
        <w:tc>
          <w:tcPr>
            <w:tcW w:w="920" w:type="dxa"/>
            <w:vAlign w:val="bottom"/>
            <w:tcBorders>
              <w:top w:val="single" w:sz="8" w:color="0000EE"/>
            </w:tcBorders>
          </w:tcPr>
          <w:p>
            <w:pPr>
              <w:spacing w:after="0"/>
              <w:rPr>
                <w:sz w:val="10"/>
                <w:szCs w:val="10"/>
                <w:color w:val="auto"/>
              </w:rPr>
            </w:pPr>
          </w:p>
        </w:tc>
        <w:tc>
          <w:tcPr>
            <w:tcW w:w="240" w:type="dxa"/>
            <w:vAlign w:val="bottom"/>
            <w:tcBorders>
              <w:top w:val="single" w:sz="8" w:color="0000EE"/>
            </w:tcBorders>
          </w:tcPr>
          <w:p>
            <w:pPr>
              <w:spacing w:after="0"/>
              <w:rPr>
                <w:sz w:val="10"/>
                <w:szCs w:val="10"/>
                <w:color w:val="auto"/>
              </w:rPr>
            </w:pPr>
          </w:p>
        </w:tc>
        <w:tc>
          <w:tcPr>
            <w:tcW w:w="140" w:type="dxa"/>
            <w:vAlign w:val="bottom"/>
            <w:tcBorders>
              <w:top w:val="single" w:sz="8" w:color="0000EE"/>
            </w:tcBorders>
          </w:tcPr>
          <w:p>
            <w:pPr>
              <w:spacing w:after="0"/>
              <w:rPr>
                <w:sz w:val="10"/>
                <w:szCs w:val="10"/>
                <w:color w:val="auto"/>
              </w:rPr>
            </w:pPr>
          </w:p>
        </w:tc>
        <w:tc>
          <w:tcPr>
            <w:tcW w:w="2360" w:type="dxa"/>
            <w:vAlign w:val="bottom"/>
            <w:tcBorders>
              <w:top w:val="single" w:sz="8" w:color="0000EE"/>
            </w:tcBorders>
          </w:tcPr>
          <w:p>
            <w:pPr>
              <w:spacing w:after="0"/>
              <w:rPr>
                <w:sz w:val="10"/>
                <w:szCs w:val="10"/>
                <w:color w:val="auto"/>
              </w:rPr>
            </w:pPr>
          </w:p>
        </w:tc>
        <w:tc>
          <w:tcPr>
            <w:tcW w:w="1640" w:type="dxa"/>
            <w:vAlign w:val="bottom"/>
            <w:tcBorders>
              <w:top w:val="single" w:sz="8" w:color="0000EE"/>
            </w:tcBorders>
          </w:tcPr>
          <w:p>
            <w:pPr>
              <w:spacing w:after="0"/>
              <w:rPr>
                <w:sz w:val="10"/>
                <w:szCs w:val="10"/>
                <w:color w:val="auto"/>
              </w:rPr>
            </w:pPr>
          </w:p>
        </w:tc>
        <w:tc>
          <w:tcPr>
            <w:tcW w:w="720" w:type="dxa"/>
            <w:vAlign w:val="bottom"/>
            <w:tcBorders>
              <w:top w:val="single" w:sz="8" w:color="0000EE"/>
            </w:tcBorders>
          </w:tcPr>
          <w:p>
            <w:pPr>
              <w:spacing w:after="0"/>
              <w:rPr>
                <w:sz w:val="10"/>
                <w:szCs w:val="10"/>
                <w:color w:val="auto"/>
              </w:rPr>
            </w:pPr>
          </w:p>
        </w:tc>
        <w:tc>
          <w:tcPr>
            <w:tcW w:w="66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640" w:type="dxa"/>
            <w:vAlign w:val="bottom"/>
            <w:tcBorders>
              <w:top w:val="single" w:sz="8" w:color="0000EE"/>
            </w:tcBorders>
          </w:tcPr>
          <w:p>
            <w:pPr>
              <w:spacing w:after="0"/>
              <w:rPr>
                <w:sz w:val="10"/>
                <w:szCs w:val="10"/>
                <w:color w:val="auto"/>
              </w:rPr>
            </w:pPr>
          </w:p>
        </w:tc>
        <w:tc>
          <w:tcPr>
            <w:tcW w:w="1620" w:type="dxa"/>
            <w:vAlign w:val="bottom"/>
            <w:tcBorders>
              <w:top w:val="single" w:sz="8" w:color="0000EE"/>
            </w:tcBorders>
          </w:tcPr>
          <w:p>
            <w:pPr>
              <w:spacing w:after="0"/>
              <w:rPr>
                <w:sz w:val="10"/>
                <w:szCs w:val="10"/>
                <w:color w:val="auto"/>
              </w:rPr>
            </w:pPr>
          </w:p>
        </w:tc>
        <w:tc>
          <w:tcPr>
            <w:tcW w:w="100" w:type="dxa"/>
            <w:vAlign w:val="bottom"/>
            <w:tcBorders>
              <w:top w:val="single" w:sz="8" w:color="0000EE"/>
            </w:tcBorders>
          </w:tcPr>
          <w:p>
            <w:pPr>
              <w:spacing w:after="0"/>
              <w:rPr>
                <w:sz w:val="10"/>
                <w:szCs w:val="10"/>
                <w:color w:val="auto"/>
              </w:rPr>
            </w:pPr>
          </w:p>
        </w:tc>
        <w:tc>
          <w:tcPr>
            <w:tcW w:w="20" w:type="dxa"/>
            <w:vAlign w:val="bottom"/>
            <w:tcBorders>
              <w:top w:val="single" w:sz="8" w:color="0000EE"/>
            </w:tcBorders>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21.1*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900" w:type="dxa"/>
            <w:vAlign w:val="bottom"/>
            <w:tcBorders>
              <w:bottom w:val="single" w:sz="8" w:color="0000EE"/>
            </w:tcBorders>
            <w:gridSpan w:val="4"/>
          </w:tcPr>
          <w:p>
            <w:pPr>
              <w:spacing w:after="0"/>
              <w:rPr>
                <w:rFonts w:ascii="Arial" w:cs="Arial" w:eastAsia="Arial" w:hAnsi="Arial"/>
                <w:sz w:val="12"/>
                <w:szCs w:val="12"/>
                <w:color w:val="0000EE"/>
                <w:w w:val="93"/>
              </w:rPr>
            </w:pPr>
            <w:hyperlink w:anchor="page155">
              <w:r>
                <w:rPr>
                  <w:rFonts w:ascii="Arial" w:cs="Arial" w:eastAsia="Arial" w:hAnsi="Arial"/>
                  <w:sz w:val="12"/>
                  <w:szCs w:val="12"/>
                  <w:color w:val="0000EE"/>
                  <w:w w:val="93"/>
                </w:rPr>
                <w:t>List of Subsidiaries of Uniti Group Inc.</w:t>
              </w:r>
            </w:hyperlink>
          </w:p>
        </w:tc>
        <w:tc>
          <w:tcPr>
            <w:tcW w:w="7980" w:type="dxa"/>
            <w:vAlign w:val="bottom"/>
            <w:gridSpan w:val="15"/>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23.1*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60" w:type="dxa"/>
            <w:vAlign w:val="bottom"/>
            <w:tcBorders>
              <w:bottom w:val="single" w:sz="8" w:color="0000EE"/>
            </w:tcBorders>
            <w:gridSpan w:val="5"/>
          </w:tcPr>
          <w:p>
            <w:pPr>
              <w:spacing w:after="0"/>
              <w:rPr>
                <w:rFonts w:ascii="Arial" w:cs="Arial" w:eastAsia="Arial" w:hAnsi="Arial"/>
                <w:sz w:val="12"/>
                <w:szCs w:val="12"/>
                <w:color w:val="0000EE"/>
                <w:w w:val="90"/>
              </w:rPr>
            </w:pPr>
            <w:hyperlink w:anchor="page157">
              <w:r>
                <w:rPr>
                  <w:rFonts w:ascii="Arial" w:cs="Arial" w:eastAsia="Arial" w:hAnsi="Arial"/>
                  <w:sz w:val="12"/>
                  <w:szCs w:val="12"/>
                  <w:color w:val="0000EE"/>
                  <w:w w:val="90"/>
                </w:rPr>
                <w:t>Consent of PricewaterhouseCoopers LLP, independent registered public accounting firm</w:t>
              </w:r>
            </w:hyperlink>
          </w:p>
        </w:tc>
        <w:tc>
          <w:tcPr>
            <w:tcW w:w="5620" w:type="dxa"/>
            <w:vAlign w:val="bottom"/>
            <w:gridSpan w:val="14"/>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31.1*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780" w:type="dxa"/>
            <w:vAlign w:val="bottom"/>
            <w:tcBorders>
              <w:bottom w:val="single" w:sz="8" w:color="0000EE"/>
            </w:tcBorders>
            <w:gridSpan w:val="16"/>
          </w:tcPr>
          <w:p>
            <w:pPr>
              <w:spacing w:after="0"/>
              <w:rPr>
                <w:rFonts w:ascii="Arial" w:cs="Arial" w:eastAsia="Arial" w:hAnsi="Arial"/>
                <w:sz w:val="12"/>
                <w:szCs w:val="12"/>
                <w:color w:val="0000EE"/>
                <w:w w:val="90"/>
              </w:rPr>
            </w:pPr>
            <w:hyperlink w:anchor="page158">
              <w:r>
                <w:rPr>
                  <w:rFonts w:ascii="Arial" w:cs="Arial" w:eastAsia="Arial" w:hAnsi="Arial"/>
                  <w:sz w:val="12"/>
                  <w:szCs w:val="12"/>
                  <w:color w:val="0000EE"/>
                  <w:w w:val="90"/>
                </w:rPr>
                <w:t>Certification of Principal Executive Officer Pursuant to Rules 13a-14(a) and 15d-14(a) under the Securities Exchange Act of 1934, as Adopted Pursuant to Section 302 of the Sarbanes-Oxley Act of 2002.</w:t>
              </w:r>
            </w:hyperlink>
          </w:p>
        </w:tc>
        <w:tc>
          <w:tcPr>
            <w:tcW w:w="100" w:type="dxa"/>
            <w:vAlign w:val="bottom"/>
            <w:gridSpan w:val="3"/>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840" w:type="dxa"/>
            <w:vAlign w:val="bottom"/>
          </w:tcPr>
          <w:p>
            <w:pPr>
              <w:ind w:left="100"/>
              <w:spacing w:after="0"/>
              <w:rPr>
                <w:sz w:val="20"/>
                <w:szCs w:val="20"/>
                <w:color w:val="auto"/>
              </w:rPr>
            </w:pPr>
            <w:r>
              <w:rPr>
                <w:rFonts w:ascii="Arial" w:cs="Arial" w:eastAsia="Arial" w:hAnsi="Arial"/>
                <w:sz w:val="12"/>
                <w:szCs w:val="12"/>
                <w:color w:val="auto"/>
              </w:rPr>
              <w:t>31.2*</w:t>
            </w: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80" w:type="dxa"/>
            <w:vAlign w:val="bottom"/>
            <w:gridSpan w:val="19"/>
            <w:vMerge w:val="restart"/>
          </w:tcPr>
          <w:p>
            <w:pPr>
              <w:spacing w:after="0"/>
              <w:rPr>
                <w:rFonts w:ascii="Arial" w:cs="Arial" w:eastAsia="Arial" w:hAnsi="Arial"/>
                <w:sz w:val="12"/>
                <w:szCs w:val="12"/>
                <w:color w:val="0000EE"/>
                <w:w w:val="92"/>
              </w:rPr>
            </w:pPr>
            <w:hyperlink w:anchor="page159">
              <w:r>
                <w:rPr>
                  <w:rFonts w:ascii="Arial" w:cs="Arial" w:eastAsia="Arial" w:hAnsi="Arial"/>
                  <w:sz w:val="12"/>
                  <w:szCs w:val="12"/>
                  <w:color w:val="0000EE"/>
                  <w:w w:val="92"/>
                </w:rPr>
                <w:t>Certification of Principal Financial Officer Pursuant to Rules 13a-14(a) and 15d-14(a) under the Securities Exchange Act of 1934, as Adopted Pursuant to Section 302 of the Sarbanes-Oxley Act of 2002</w:t>
              </w:r>
            </w:hyperlink>
          </w:p>
        </w:tc>
        <w:tc>
          <w:tcPr>
            <w:tcW w:w="0" w:type="dxa"/>
            <w:vAlign w:val="bottom"/>
          </w:tcPr>
          <w:p>
            <w:pPr>
              <w:spacing w:after="0"/>
              <w:rPr>
                <w:sz w:val="1"/>
                <w:szCs w:val="1"/>
                <w:color w:val="auto"/>
              </w:rPr>
            </w:pPr>
          </w:p>
        </w:tc>
      </w:tr>
      <w:tr>
        <w:trPr>
          <w:trHeight w:val="117"/>
        </w:trPr>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9880" w:type="dxa"/>
            <w:vAlign w:val="bottom"/>
            <w:gridSpan w:val="1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32.1*</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700" w:type="dxa"/>
            <w:vAlign w:val="bottom"/>
            <w:tcBorders>
              <w:top w:val="single" w:sz="8" w:color="0000EE"/>
            </w:tcBorders>
            <w:gridSpan w:val="14"/>
          </w:tcPr>
          <w:p>
            <w:pPr>
              <w:spacing w:after="0"/>
              <w:rPr>
                <w:rFonts w:ascii="Arial" w:cs="Arial" w:eastAsia="Arial" w:hAnsi="Arial"/>
                <w:sz w:val="12"/>
                <w:szCs w:val="12"/>
                <w:color w:val="0000EE"/>
              </w:rPr>
            </w:pPr>
            <w:hyperlink w:anchor="page160">
              <w:r>
                <w:rPr>
                  <w:rFonts w:ascii="Arial" w:cs="Arial" w:eastAsia="Arial" w:hAnsi="Arial"/>
                  <w:sz w:val="12"/>
                  <w:szCs w:val="12"/>
                  <w:color w:val="0000EE"/>
                </w:rPr>
                <w:t>Certification of Principal Executive Officer Pursuant to 18 U.S.C. Section 1350, as Adopted Pursuant to Section 906 of the Sarbanes-Oxley Act of 2002</w:t>
              </w:r>
            </w:hyperlink>
          </w:p>
        </w:tc>
        <w:tc>
          <w:tcPr>
            <w:tcW w:w="180" w:type="dxa"/>
            <w:vAlign w:val="bottom"/>
            <w:gridSpan w:val="5"/>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840" w:type="dxa"/>
            <w:vAlign w:val="bottom"/>
          </w:tcPr>
          <w:p>
            <w:pPr>
              <w:spacing w:after="0"/>
              <w:rPr>
                <w:sz w:val="20"/>
                <w:szCs w:val="20"/>
                <w:color w:val="auto"/>
              </w:rPr>
            </w:pPr>
            <w:r>
              <w:rPr>
                <w:rFonts w:ascii="Arial" w:cs="Arial" w:eastAsia="Arial" w:hAnsi="Arial"/>
                <w:sz w:val="12"/>
                <w:szCs w:val="12"/>
                <w:color w:val="auto"/>
              </w:rPr>
              <w:t>32.2*</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80" w:type="dxa"/>
            <w:vAlign w:val="bottom"/>
            <w:tcBorders>
              <w:top w:val="single" w:sz="8" w:color="0000EE"/>
              <w:bottom w:val="single" w:sz="8" w:color="0000EE"/>
            </w:tcBorders>
            <w:gridSpan w:val="8"/>
          </w:tcPr>
          <w:p>
            <w:pPr>
              <w:spacing w:after="0"/>
              <w:rPr>
                <w:rFonts w:ascii="Arial" w:cs="Arial" w:eastAsia="Arial" w:hAnsi="Arial"/>
                <w:sz w:val="12"/>
                <w:szCs w:val="12"/>
                <w:color w:val="0000EE"/>
                <w:w w:val="91"/>
              </w:rPr>
            </w:pPr>
            <w:hyperlink w:anchor="page161">
              <w:r>
                <w:rPr>
                  <w:rFonts w:ascii="Arial" w:cs="Arial" w:eastAsia="Arial" w:hAnsi="Arial"/>
                  <w:sz w:val="12"/>
                  <w:szCs w:val="12"/>
                  <w:color w:val="0000EE"/>
                  <w:w w:val="91"/>
                </w:rPr>
                <w:t>Certification of Principal Financial Officer Pursuant to 18 U.S.C. Section 1350, as Adopted Pursuant to Section 906 of the Sarbanes-Oxley Act of 2002</w:t>
              </w:r>
            </w:hyperlink>
          </w:p>
        </w:tc>
        <w:tc>
          <w:tcPr>
            <w:tcW w:w="20" w:type="dxa"/>
            <w:vAlign w:val="bottom"/>
            <w:tcBorders>
              <w:top w:val="single" w:sz="8" w:color="0000EE"/>
            </w:tcBorders>
          </w:tcPr>
          <w:p>
            <w:pPr>
              <w:spacing w:after="0"/>
              <w:rPr>
                <w:sz w:val="18"/>
                <w:szCs w:val="18"/>
                <w:color w:val="auto"/>
              </w:rPr>
            </w:pPr>
          </w:p>
        </w:tc>
        <w:tc>
          <w:tcPr>
            <w:tcW w:w="2580" w:type="dxa"/>
            <w:vAlign w:val="bottom"/>
            <w:gridSpan w:val="10"/>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1620" w:type="dxa"/>
            <w:vAlign w:val="bottom"/>
            <w:gridSpan w:val="3"/>
          </w:tcPr>
          <w:p>
            <w:pPr>
              <w:spacing w:after="0"/>
              <w:rPr>
                <w:sz w:val="20"/>
                <w:szCs w:val="20"/>
                <w:color w:val="auto"/>
              </w:rPr>
            </w:pPr>
            <w:r>
              <w:rPr>
                <w:rFonts w:ascii="Arial" w:cs="Arial" w:eastAsia="Arial" w:hAnsi="Arial"/>
                <w:sz w:val="12"/>
                <w:szCs w:val="12"/>
                <w:color w:val="auto"/>
              </w:rPr>
              <w:t>101.INS*</w:t>
            </w:r>
          </w:p>
        </w:tc>
        <w:tc>
          <w:tcPr>
            <w:tcW w:w="9880" w:type="dxa"/>
            <w:vAlign w:val="bottom"/>
            <w:gridSpan w:val="19"/>
          </w:tcPr>
          <w:p>
            <w:pPr>
              <w:spacing w:after="0"/>
              <w:rPr>
                <w:sz w:val="20"/>
                <w:szCs w:val="20"/>
                <w:color w:val="auto"/>
              </w:rPr>
            </w:pPr>
            <w:r>
              <w:rPr>
                <w:rFonts w:ascii="Arial" w:cs="Arial" w:eastAsia="Arial" w:hAnsi="Arial"/>
                <w:sz w:val="12"/>
                <w:szCs w:val="12"/>
                <w:color w:val="auto"/>
              </w:rPr>
              <w:t>XBRL Instance Document</w:t>
            </w:r>
          </w:p>
        </w:tc>
        <w:tc>
          <w:tcPr>
            <w:tcW w:w="0" w:type="dxa"/>
            <w:vAlign w:val="bottom"/>
          </w:tcPr>
          <w:p>
            <w:pPr>
              <w:spacing w:after="0"/>
              <w:rPr>
                <w:sz w:val="1"/>
                <w:szCs w:val="1"/>
                <w:color w:val="auto"/>
              </w:rPr>
            </w:pPr>
          </w:p>
        </w:tc>
      </w:tr>
      <w:tr>
        <w:trPr>
          <w:trHeight w:val="234"/>
        </w:trPr>
        <w:tc>
          <w:tcPr>
            <w:tcW w:w="1620" w:type="dxa"/>
            <w:vAlign w:val="bottom"/>
            <w:gridSpan w:val="3"/>
          </w:tcPr>
          <w:p>
            <w:pPr>
              <w:spacing w:after="0"/>
              <w:rPr>
                <w:sz w:val="20"/>
                <w:szCs w:val="20"/>
                <w:color w:val="auto"/>
              </w:rPr>
            </w:pPr>
            <w:r>
              <w:rPr>
                <w:rFonts w:ascii="Arial" w:cs="Arial" w:eastAsia="Arial" w:hAnsi="Arial"/>
                <w:sz w:val="12"/>
                <w:szCs w:val="12"/>
                <w:color w:val="auto"/>
              </w:rPr>
              <w:t>101.SCH*</w:t>
            </w:r>
          </w:p>
        </w:tc>
        <w:tc>
          <w:tcPr>
            <w:tcW w:w="9880" w:type="dxa"/>
            <w:vAlign w:val="bottom"/>
            <w:gridSpan w:val="19"/>
          </w:tcPr>
          <w:p>
            <w:pPr>
              <w:spacing w:after="0"/>
              <w:rPr>
                <w:sz w:val="20"/>
                <w:szCs w:val="20"/>
                <w:color w:val="auto"/>
              </w:rPr>
            </w:pPr>
            <w:r>
              <w:rPr>
                <w:rFonts w:ascii="Arial" w:cs="Arial" w:eastAsia="Arial" w:hAnsi="Arial"/>
                <w:sz w:val="12"/>
                <w:szCs w:val="12"/>
                <w:color w:val="auto"/>
              </w:rPr>
              <w:t>XBRL Taxonomy Extension Schema Document</w:t>
            </w:r>
          </w:p>
        </w:tc>
        <w:tc>
          <w:tcPr>
            <w:tcW w:w="0" w:type="dxa"/>
            <w:vAlign w:val="bottom"/>
          </w:tcPr>
          <w:p>
            <w:pPr>
              <w:spacing w:after="0"/>
              <w:rPr>
                <w:sz w:val="1"/>
                <w:szCs w:val="1"/>
                <w:color w:val="auto"/>
              </w:rPr>
            </w:pPr>
          </w:p>
        </w:tc>
      </w:tr>
      <w:tr>
        <w:trPr>
          <w:trHeight w:val="234"/>
        </w:trPr>
        <w:tc>
          <w:tcPr>
            <w:tcW w:w="1620" w:type="dxa"/>
            <w:vAlign w:val="bottom"/>
            <w:gridSpan w:val="3"/>
          </w:tcPr>
          <w:p>
            <w:pPr>
              <w:spacing w:after="0"/>
              <w:rPr>
                <w:sz w:val="20"/>
                <w:szCs w:val="20"/>
                <w:color w:val="auto"/>
              </w:rPr>
            </w:pPr>
            <w:r>
              <w:rPr>
                <w:rFonts w:ascii="Arial" w:cs="Arial" w:eastAsia="Arial" w:hAnsi="Arial"/>
                <w:sz w:val="12"/>
                <w:szCs w:val="12"/>
                <w:color w:val="auto"/>
              </w:rPr>
              <w:t>101.CAL*</w:t>
            </w:r>
          </w:p>
        </w:tc>
        <w:tc>
          <w:tcPr>
            <w:tcW w:w="9880" w:type="dxa"/>
            <w:vAlign w:val="bottom"/>
            <w:gridSpan w:val="19"/>
          </w:tcPr>
          <w:p>
            <w:pPr>
              <w:spacing w:after="0"/>
              <w:rPr>
                <w:sz w:val="20"/>
                <w:szCs w:val="20"/>
                <w:color w:val="auto"/>
              </w:rPr>
            </w:pPr>
            <w:r>
              <w:rPr>
                <w:rFonts w:ascii="Arial" w:cs="Arial" w:eastAsia="Arial" w:hAnsi="Arial"/>
                <w:sz w:val="12"/>
                <w:szCs w:val="12"/>
                <w:color w:val="auto"/>
              </w:rPr>
              <w:t>XBRL Taxonomy Extension Calculation Linkbase Document</w:t>
            </w:r>
          </w:p>
        </w:tc>
        <w:tc>
          <w:tcPr>
            <w:tcW w:w="0" w:type="dxa"/>
            <w:vAlign w:val="bottom"/>
          </w:tcPr>
          <w:p>
            <w:pPr>
              <w:spacing w:after="0"/>
              <w:rPr>
                <w:sz w:val="1"/>
                <w:szCs w:val="1"/>
                <w:color w:val="auto"/>
              </w:rPr>
            </w:pPr>
          </w:p>
        </w:tc>
      </w:tr>
      <w:tr>
        <w:trPr>
          <w:trHeight w:val="234"/>
        </w:trPr>
        <w:tc>
          <w:tcPr>
            <w:tcW w:w="1620" w:type="dxa"/>
            <w:vAlign w:val="bottom"/>
            <w:gridSpan w:val="3"/>
          </w:tcPr>
          <w:p>
            <w:pPr>
              <w:spacing w:after="0"/>
              <w:rPr>
                <w:sz w:val="20"/>
                <w:szCs w:val="20"/>
                <w:color w:val="auto"/>
              </w:rPr>
            </w:pPr>
            <w:r>
              <w:rPr>
                <w:rFonts w:ascii="Arial" w:cs="Arial" w:eastAsia="Arial" w:hAnsi="Arial"/>
                <w:sz w:val="12"/>
                <w:szCs w:val="12"/>
                <w:color w:val="auto"/>
              </w:rPr>
              <w:t>101.DEF*</w:t>
            </w:r>
          </w:p>
        </w:tc>
        <w:tc>
          <w:tcPr>
            <w:tcW w:w="9880" w:type="dxa"/>
            <w:vAlign w:val="bottom"/>
            <w:gridSpan w:val="19"/>
          </w:tcPr>
          <w:p>
            <w:pPr>
              <w:spacing w:after="0"/>
              <w:rPr>
                <w:sz w:val="20"/>
                <w:szCs w:val="20"/>
                <w:color w:val="auto"/>
              </w:rPr>
            </w:pPr>
            <w:r>
              <w:rPr>
                <w:rFonts w:ascii="Arial" w:cs="Arial" w:eastAsia="Arial" w:hAnsi="Arial"/>
                <w:sz w:val="12"/>
                <w:szCs w:val="12"/>
                <w:color w:val="auto"/>
              </w:rPr>
              <w:t>XBRL Taxonomy Extension Definition Linkbase Document</w:t>
            </w:r>
          </w:p>
        </w:tc>
        <w:tc>
          <w:tcPr>
            <w:tcW w:w="0" w:type="dxa"/>
            <w:vAlign w:val="bottom"/>
          </w:tcPr>
          <w:p>
            <w:pPr>
              <w:spacing w:after="0"/>
              <w:rPr>
                <w:sz w:val="1"/>
                <w:szCs w:val="1"/>
                <w:color w:val="auto"/>
              </w:rPr>
            </w:pPr>
          </w:p>
        </w:tc>
      </w:tr>
      <w:tr>
        <w:trPr>
          <w:trHeight w:val="234"/>
        </w:trPr>
        <w:tc>
          <w:tcPr>
            <w:tcW w:w="1620" w:type="dxa"/>
            <w:vAlign w:val="bottom"/>
            <w:gridSpan w:val="3"/>
          </w:tcPr>
          <w:p>
            <w:pPr>
              <w:spacing w:after="0"/>
              <w:rPr>
                <w:sz w:val="20"/>
                <w:szCs w:val="20"/>
                <w:color w:val="auto"/>
              </w:rPr>
            </w:pPr>
            <w:r>
              <w:rPr>
                <w:rFonts w:ascii="Arial" w:cs="Arial" w:eastAsia="Arial" w:hAnsi="Arial"/>
                <w:sz w:val="12"/>
                <w:szCs w:val="12"/>
                <w:color w:val="auto"/>
              </w:rPr>
              <w:t>101.LAB*</w:t>
            </w:r>
          </w:p>
        </w:tc>
        <w:tc>
          <w:tcPr>
            <w:tcW w:w="9880" w:type="dxa"/>
            <w:vAlign w:val="bottom"/>
            <w:gridSpan w:val="19"/>
          </w:tcPr>
          <w:p>
            <w:pPr>
              <w:spacing w:after="0"/>
              <w:rPr>
                <w:sz w:val="20"/>
                <w:szCs w:val="20"/>
                <w:color w:val="auto"/>
              </w:rPr>
            </w:pPr>
            <w:r>
              <w:rPr>
                <w:rFonts w:ascii="Arial" w:cs="Arial" w:eastAsia="Arial" w:hAnsi="Arial"/>
                <w:sz w:val="12"/>
                <w:szCs w:val="12"/>
                <w:color w:val="auto"/>
              </w:rPr>
              <w:t>XBRL Taxonomy Extension Label Linkbase Document</w:t>
            </w:r>
          </w:p>
        </w:tc>
        <w:tc>
          <w:tcPr>
            <w:tcW w:w="0" w:type="dxa"/>
            <w:vAlign w:val="bottom"/>
          </w:tcPr>
          <w:p>
            <w:pPr>
              <w:spacing w:after="0"/>
              <w:rPr>
                <w:sz w:val="1"/>
                <w:szCs w:val="1"/>
                <w:color w:val="auto"/>
              </w:rPr>
            </w:pPr>
          </w:p>
        </w:tc>
      </w:tr>
      <w:tr>
        <w:trPr>
          <w:trHeight w:val="234"/>
        </w:trPr>
        <w:tc>
          <w:tcPr>
            <w:tcW w:w="1620" w:type="dxa"/>
            <w:vAlign w:val="bottom"/>
            <w:gridSpan w:val="3"/>
          </w:tcPr>
          <w:p>
            <w:pPr>
              <w:spacing w:after="0"/>
              <w:rPr>
                <w:sz w:val="20"/>
                <w:szCs w:val="20"/>
                <w:color w:val="auto"/>
              </w:rPr>
            </w:pPr>
            <w:r>
              <w:rPr>
                <w:rFonts w:ascii="Arial" w:cs="Arial" w:eastAsia="Arial" w:hAnsi="Arial"/>
                <w:sz w:val="12"/>
                <w:szCs w:val="12"/>
                <w:color w:val="auto"/>
              </w:rPr>
              <w:t>101.PRE*</w:t>
            </w:r>
          </w:p>
        </w:tc>
        <w:tc>
          <w:tcPr>
            <w:tcW w:w="9880" w:type="dxa"/>
            <w:vAlign w:val="bottom"/>
            <w:gridSpan w:val="19"/>
          </w:tcPr>
          <w:p>
            <w:pPr>
              <w:spacing w:after="0"/>
              <w:rPr>
                <w:sz w:val="20"/>
                <w:szCs w:val="20"/>
                <w:color w:val="auto"/>
              </w:rPr>
            </w:pPr>
            <w:r>
              <w:rPr>
                <w:rFonts w:ascii="Arial" w:cs="Arial" w:eastAsia="Arial" w:hAnsi="Arial"/>
                <w:sz w:val="12"/>
                <w:szCs w:val="12"/>
                <w:color w:val="auto"/>
              </w:rPr>
              <w:t>XBRL Taxonomy Extension Presentation Linkbase Document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91440</wp:posOffset>
            </wp:positionV>
            <wp:extent cx="1372870" cy="571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6">
                      <a:extLst>
                        <a:ext uri="{28A0092B-C50C-407E-A947-70E740481C1C}"/>
                      </a:extLst>
                    </a:blip>
                    <a:srcRect/>
                    <a:stretch>
                      <a:fillRect/>
                    </a:stretch>
                  </pic:blipFill>
                  <pic:spPr bwMode="auto">
                    <a:xfrm>
                      <a:off x="0" y="0"/>
                      <a:ext cx="1372870" cy="5715"/>
                    </a:xfrm>
                    <a:prstGeom prst="rect">
                      <a:avLst/>
                    </a:prstGeom>
                    <a:noFill/>
                  </pic:spPr>
                </pic:pic>
              </a:graphicData>
            </a:graphic>
          </wp:anchor>
        </w:drawing>
      </w:r>
    </w:p>
    <w:p>
      <w:pPr>
        <w:spacing w:after="0" w:line="151" w:lineRule="exact"/>
        <w:rPr>
          <w:sz w:val="20"/>
          <w:szCs w:val="20"/>
          <w:color w:val="auto"/>
        </w:rPr>
      </w:pPr>
    </w:p>
    <w:p>
      <w:pPr>
        <w:ind w:left="588" w:hanging="588"/>
        <w:spacing w:after="0"/>
        <w:tabs>
          <w:tab w:leader="none" w:pos="588" w:val="left"/>
        </w:tabs>
        <w:numPr>
          <w:ilvl w:val="0"/>
          <w:numId w:val="19"/>
        </w:numPr>
        <w:rPr>
          <w:rFonts w:ascii="Arial" w:cs="Arial" w:eastAsia="Arial" w:hAnsi="Arial"/>
          <w:sz w:val="12"/>
          <w:szCs w:val="12"/>
          <w:color w:val="auto"/>
        </w:rPr>
      </w:pPr>
      <w:r>
        <w:rPr>
          <w:rFonts w:ascii="Arial" w:cs="Arial" w:eastAsia="Arial" w:hAnsi="Arial"/>
          <w:sz w:val="12"/>
          <w:szCs w:val="12"/>
          <w:color w:val="auto"/>
        </w:rPr>
        <w:t>Filed herewith</w:t>
      </w:r>
    </w:p>
    <w:p>
      <w:pPr>
        <w:spacing w:after="0" w:line="150" w:lineRule="exact"/>
        <w:rPr>
          <w:sz w:val="20"/>
          <w:szCs w:val="20"/>
          <w:color w:val="auto"/>
        </w:rPr>
      </w:pPr>
    </w:p>
    <w:p>
      <w:pPr>
        <w:jc w:val="center"/>
        <w:ind w:right="12"/>
        <w:spacing w:after="0"/>
        <w:rPr>
          <w:sz w:val="20"/>
          <w:szCs w:val="20"/>
          <w:color w:val="auto"/>
        </w:rPr>
      </w:pPr>
      <w:r>
        <w:rPr>
          <w:rFonts w:ascii="Arial" w:cs="Arial" w:eastAsia="Arial" w:hAnsi="Arial"/>
          <w:sz w:val="12"/>
          <w:szCs w:val="12"/>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508"/>
          </w:cols>
          <w:pgMar w:left="212" w:top="119" w:right="179" w:bottom="1440" w:gutter="0" w:footer="0" w:header="0"/>
        </w:sectPr>
      </w:pPr>
    </w:p>
    <w:bookmarkStart w:id="115" w:name="page116"/>
    <w:bookmarkEnd w:id="115"/>
    <w:p>
      <w:pPr>
        <w:ind w:left="8"/>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05" w:lineRule="exact"/>
        <w:rPr>
          <w:sz w:val="20"/>
          <w:szCs w:val="20"/>
          <w:color w:val="auto"/>
        </w:rPr>
      </w:pPr>
    </w:p>
    <w:p>
      <w:pPr>
        <w:ind w:left="588" w:hanging="588"/>
        <w:spacing w:after="0" w:line="263" w:lineRule="auto"/>
        <w:tabs>
          <w:tab w:leader="none" w:pos="588" w:val="left"/>
        </w:tabs>
        <w:numPr>
          <w:ilvl w:val="0"/>
          <w:numId w:val="20"/>
        </w:numPr>
        <w:rPr>
          <w:rFonts w:ascii="Arial" w:cs="Arial" w:eastAsia="Arial" w:hAnsi="Arial"/>
          <w:sz w:val="12"/>
          <w:szCs w:val="12"/>
          <w:color w:val="auto"/>
        </w:rPr>
      </w:pPr>
      <w:r>
        <w:rPr>
          <w:rFonts w:ascii="Arial" w:cs="Arial" w:eastAsia="Arial" w:hAnsi="Arial"/>
          <w:sz w:val="12"/>
          <w:szCs w:val="12"/>
          <w:color w:val="auto"/>
        </w:rPr>
        <w:t>Certain portions of this exhibit have been omitted pursuant to a request for confidential treatment granted by, and have been filed separately with, the Securities and Exchange Commission. Also, certain exhibits and schedules to this exhibit have been omitted pursuant to Item 601(b)(2) of Regulation S-K. The Company agrees to furnish a supplemental copy of any such omitted exhibit or schedule to the Securities and Exchange Commission upon request but may request confidential treatment for any exhibit or schedule so furnished.</w:t>
      </w:r>
    </w:p>
    <w:p>
      <w:pPr>
        <w:spacing w:after="0" w:line="5" w:lineRule="exact"/>
        <w:rPr>
          <w:rFonts w:ascii="Arial" w:cs="Arial" w:eastAsia="Arial" w:hAnsi="Arial"/>
          <w:sz w:val="12"/>
          <w:szCs w:val="12"/>
          <w:color w:val="auto"/>
        </w:rPr>
      </w:pPr>
    </w:p>
    <w:p>
      <w:pPr>
        <w:ind w:left="588" w:hanging="588"/>
        <w:spacing w:after="0"/>
        <w:tabs>
          <w:tab w:leader="none" w:pos="588" w:val="left"/>
        </w:tabs>
        <w:numPr>
          <w:ilvl w:val="0"/>
          <w:numId w:val="21"/>
        </w:numPr>
        <w:rPr>
          <w:rFonts w:ascii="Arial" w:cs="Arial" w:eastAsia="Arial" w:hAnsi="Arial"/>
          <w:sz w:val="12"/>
          <w:szCs w:val="12"/>
          <w:color w:val="auto"/>
        </w:rPr>
      </w:pPr>
      <w:r>
        <w:rPr>
          <w:rFonts w:ascii="Arial" w:cs="Arial" w:eastAsia="Arial" w:hAnsi="Arial"/>
          <w:sz w:val="12"/>
          <w:szCs w:val="12"/>
          <w:color w:val="auto"/>
        </w:rPr>
        <w:t>Certain portions of this exhibit have been omitted pursuant to a request for confidential treatment granted by, and have been filed separately with, the Securities and Exchange Commission.</w:t>
      </w:r>
    </w:p>
    <w:p>
      <w:pPr>
        <w:spacing w:after="0" w:line="33" w:lineRule="exact"/>
        <w:rPr>
          <w:sz w:val="20"/>
          <w:szCs w:val="20"/>
          <w:color w:val="auto"/>
        </w:rPr>
      </w:pPr>
    </w:p>
    <w:p>
      <w:pPr>
        <w:ind w:left="588" w:hanging="588"/>
        <w:spacing w:after="0"/>
        <w:tabs>
          <w:tab w:leader="none" w:pos="588" w:val="left"/>
        </w:tabs>
        <w:numPr>
          <w:ilvl w:val="0"/>
          <w:numId w:val="22"/>
        </w:numPr>
        <w:rPr>
          <w:rFonts w:ascii="Arial" w:cs="Arial" w:eastAsia="Arial" w:hAnsi="Arial"/>
          <w:sz w:val="12"/>
          <w:szCs w:val="12"/>
          <w:color w:val="auto"/>
        </w:rPr>
      </w:pPr>
      <w:r>
        <w:rPr>
          <w:rFonts w:ascii="Arial" w:cs="Arial" w:eastAsia="Arial" w:hAnsi="Arial"/>
          <w:sz w:val="12"/>
          <w:szCs w:val="12"/>
          <w:color w:val="auto"/>
        </w:rPr>
        <w:t>Constitutes a management contract or compensation plan or arrangement.</w:t>
      </w:r>
    </w:p>
    <w:p>
      <w:pPr>
        <w:spacing w:after="0" w:line="200" w:lineRule="exact"/>
        <w:rPr>
          <w:sz w:val="20"/>
          <w:szCs w:val="20"/>
          <w:color w:val="auto"/>
        </w:rPr>
      </w:pPr>
    </w:p>
    <w:p>
      <w:pPr>
        <w:spacing w:after="0" w:line="343" w:lineRule="exact"/>
        <w:rPr>
          <w:sz w:val="20"/>
          <w:szCs w:val="20"/>
          <w:color w:val="auto"/>
        </w:rPr>
      </w:pPr>
    </w:p>
    <w:p>
      <w:pPr>
        <w:ind w:left="8"/>
        <w:spacing w:after="0"/>
        <w:rPr>
          <w:sz w:val="20"/>
          <w:szCs w:val="20"/>
          <w:color w:val="auto"/>
        </w:rPr>
      </w:pPr>
      <w:r>
        <w:rPr>
          <w:rFonts w:ascii="Arial" w:cs="Arial" w:eastAsia="Arial" w:hAnsi="Arial"/>
          <w:sz w:val="12"/>
          <w:szCs w:val="12"/>
          <w:b w:val="1"/>
          <w:bCs w:val="1"/>
          <w:color w:val="auto"/>
        </w:rPr>
        <w:t>ITEM 16. FORM 10-K SUMMARY</w:t>
      </w:r>
    </w:p>
    <w:p>
      <w:pPr>
        <w:spacing w:after="0" w:line="118" w:lineRule="exact"/>
        <w:rPr>
          <w:sz w:val="20"/>
          <w:szCs w:val="20"/>
          <w:color w:val="auto"/>
        </w:rPr>
      </w:pPr>
    </w:p>
    <w:p>
      <w:pPr>
        <w:ind w:left="8"/>
        <w:spacing w:after="0"/>
        <w:rPr>
          <w:sz w:val="20"/>
          <w:szCs w:val="20"/>
          <w:color w:val="auto"/>
        </w:rPr>
      </w:pPr>
      <w:r>
        <w:rPr>
          <w:rFonts w:ascii="Arial" w:cs="Arial" w:eastAsia="Arial" w:hAnsi="Arial"/>
          <w:sz w:val="12"/>
          <w:szCs w:val="12"/>
          <w:color w:val="auto"/>
        </w:rPr>
        <w:t>None.</w:t>
      </w:r>
    </w:p>
    <w:p>
      <w:pPr>
        <w:spacing w:after="0" w:line="150" w:lineRule="exact"/>
        <w:rPr>
          <w:sz w:val="20"/>
          <w:szCs w:val="20"/>
          <w:color w:val="auto"/>
        </w:rPr>
      </w:pPr>
    </w:p>
    <w:p>
      <w:pPr>
        <w:jc w:val="center"/>
        <w:ind w:right="-87"/>
        <w:spacing w:after="0"/>
        <w:rPr>
          <w:sz w:val="20"/>
          <w:szCs w:val="20"/>
          <w:color w:val="auto"/>
        </w:rPr>
      </w:pPr>
      <w:r>
        <w:rPr>
          <w:rFonts w:ascii="Arial" w:cs="Arial" w:eastAsia="Arial" w:hAnsi="Arial"/>
          <w:sz w:val="12"/>
          <w:szCs w:val="12"/>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42545</wp:posOffset>
            </wp:positionV>
            <wp:extent cx="7329170" cy="3683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388"/>
          </w:cols>
          <w:pgMar w:left="212" w:top="131" w:right="299" w:bottom="1440" w:gutter="0" w:footer="0" w:header="0"/>
        </w:sectPr>
      </w:pPr>
    </w:p>
    <w:bookmarkStart w:id="116" w:name="page117"/>
    <w:bookmarkEnd w:id="116"/>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SIGNATURES</w:t>
      </w:r>
    </w:p>
    <w:p>
      <w:pPr>
        <w:spacing w:after="0" w:line="150" w:lineRule="exact"/>
        <w:rPr>
          <w:sz w:val="20"/>
          <w:szCs w:val="20"/>
          <w:color w:val="auto"/>
        </w:rPr>
      </w:pPr>
    </w:p>
    <w:p>
      <w:pPr>
        <w:ind w:left="600"/>
        <w:spacing w:after="0"/>
        <w:rPr>
          <w:sz w:val="20"/>
          <w:szCs w:val="20"/>
          <w:color w:val="auto"/>
        </w:rPr>
      </w:pPr>
      <w:r>
        <w:rPr>
          <w:rFonts w:ascii="Arial" w:cs="Arial" w:eastAsia="Arial" w:hAnsi="Arial"/>
          <w:sz w:val="11"/>
          <w:szCs w:val="11"/>
          <w:color w:val="auto"/>
        </w:rPr>
        <w:t>Pursuant to the requirements of Section 13 or 15(d) of the Securities Exchange Act of 1934, the Registrant has duly caused this report to be signed on its behalf by the undersigned, thereunto duly authorized</w:t>
      </w:r>
      <w:r>
        <w:rPr>
          <w:rFonts w:ascii="Arial" w:cs="Arial" w:eastAsia="Arial" w:hAnsi="Arial"/>
          <w:sz w:val="11"/>
          <w:szCs w:val="11"/>
          <w:b w:val="1"/>
          <w:bCs w:val="1"/>
          <w:color w:val="auto"/>
        </w:rPr>
        <w:t>.</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3440" w:type="dxa"/>
            <w:vAlign w:val="bottom"/>
          </w:tcPr>
          <w:p>
            <w:pPr>
              <w:spacing w:after="0"/>
              <w:rPr>
                <w:sz w:val="13"/>
                <w:szCs w:val="13"/>
                <w:color w:val="auto"/>
              </w:rPr>
            </w:pPr>
          </w:p>
        </w:tc>
        <w:tc>
          <w:tcPr>
            <w:tcW w:w="2740" w:type="dxa"/>
            <w:vAlign w:val="bottom"/>
          </w:tcPr>
          <w:p>
            <w:pPr>
              <w:spacing w:after="0"/>
              <w:rPr>
                <w:sz w:val="13"/>
                <w:szCs w:val="13"/>
                <w:color w:val="auto"/>
              </w:rPr>
            </w:pPr>
          </w:p>
        </w:tc>
        <w:tc>
          <w:tcPr>
            <w:tcW w:w="5300" w:type="dxa"/>
            <w:vAlign w:val="bottom"/>
          </w:tcPr>
          <w:p>
            <w:pPr>
              <w:ind w:left="1960"/>
              <w:spacing w:after="0"/>
              <w:rPr>
                <w:sz w:val="20"/>
                <w:szCs w:val="20"/>
                <w:color w:val="auto"/>
              </w:rPr>
            </w:pPr>
            <w:r>
              <w:rPr>
                <w:rFonts w:ascii="Arial" w:cs="Arial" w:eastAsia="Arial" w:hAnsi="Arial"/>
                <w:sz w:val="12"/>
                <w:szCs w:val="12"/>
                <w:color w:val="auto"/>
              </w:rPr>
              <w:t>UNITI GROUP INC.</w:t>
            </w:r>
          </w:p>
        </w:tc>
      </w:tr>
      <w:tr>
        <w:trPr>
          <w:trHeight w:val="306"/>
        </w:trPr>
        <w:tc>
          <w:tcPr>
            <w:tcW w:w="3440" w:type="dxa"/>
            <w:vAlign w:val="bottom"/>
          </w:tcPr>
          <w:p>
            <w:pPr>
              <w:spacing w:after="0"/>
              <w:rPr>
                <w:sz w:val="20"/>
                <w:szCs w:val="20"/>
                <w:color w:val="auto"/>
              </w:rPr>
            </w:pPr>
            <w:r>
              <w:rPr>
                <w:rFonts w:ascii="Arial" w:cs="Arial" w:eastAsia="Arial" w:hAnsi="Arial"/>
                <w:sz w:val="12"/>
                <w:szCs w:val="12"/>
                <w:color w:val="auto"/>
              </w:rPr>
              <w:t>Date: March 18, 2019</w:t>
            </w:r>
          </w:p>
        </w:tc>
        <w:tc>
          <w:tcPr>
            <w:tcW w:w="2740" w:type="dxa"/>
            <w:vAlign w:val="bottom"/>
          </w:tcPr>
          <w:p>
            <w:pPr>
              <w:ind w:left="2400"/>
              <w:spacing w:after="0"/>
              <w:rPr>
                <w:sz w:val="20"/>
                <w:szCs w:val="20"/>
                <w:color w:val="auto"/>
              </w:rPr>
            </w:pPr>
            <w:r>
              <w:rPr>
                <w:rFonts w:ascii="Arial" w:cs="Arial" w:eastAsia="Arial" w:hAnsi="Arial"/>
                <w:sz w:val="12"/>
                <w:szCs w:val="12"/>
                <w:color w:val="auto"/>
              </w:rPr>
              <w:t>By:</w:t>
            </w:r>
          </w:p>
        </w:tc>
        <w:tc>
          <w:tcPr>
            <w:tcW w:w="530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91"/>
              </w:rPr>
              <w:t>/s/ Kenneth A. Gunderman</w:t>
            </w:r>
          </w:p>
        </w:tc>
      </w:tr>
      <w:tr>
        <w:trPr>
          <w:trHeight w:val="138"/>
        </w:trPr>
        <w:tc>
          <w:tcPr>
            <w:tcW w:w="344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5300" w:type="dxa"/>
            <w:vAlign w:val="bottom"/>
          </w:tcPr>
          <w:p>
            <w:pPr>
              <w:jc w:val="center"/>
              <w:spacing w:after="0"/>
              <w:rPr>
                <w:sz w:val="20"/>
                <w:szCs w:val="20"/>
                <w:color w:val="auto"/>
              </w:rPr>
            </w:pPr>
            <w:r>
              <w:rPr>
                <w:rFonts w:ascii="Arial" w:cs="Arial" w:eastAsia="Arial" w:hAnsi="Arial"/>
                <w:sz w:val="12"/>
                <w:szCs w:val="12"/>
                <w:b w:val="1"/>
                <w:bCs w:val="1"/>
                <w:color w:val="auto"/>
                <w:w w:val="92"/>
              </w:rPr>
              <w:t>Kenneth A. Gunderman</w:t>
            </w:r>
          </w:p>
        </w:tc>
      </w:tr>
      <w:tr>
        <w:trPr>
          <w:trHeight w:val="157"/>
        </w:trPr>
        <w:tc>
          <w:tcPr>
            <w:tcW w:w="3440" w:type="dxa"/>
            <w:vAlign w:val="bottom"/>
          </w:tcPr>
          <w:p>
            <w:pPr>
              <w:spacing w:after="0"/>
              <w:rPr>
                <w:sz w:val="13"/>
                <w:szCs w:val="13"/>
                <w:color w:val="auto"/>
              </w:rPr>
            </w:pPr>
          </w:p>
        </w:tc>
        <w:tc>
          <w:tcPr>
            <w:tcW w:w="2740" w:type="dxa"/>
            <w:vAlign w:val="bottom"/>
          </w:tcPr>
          <w:p>
            <w:pPr>
              <w:spacing w:after="0"/>
              <w:rPr>
                <w:sz w:val="13"/>
                <w:szCs w:val="13"/>
                <w:color w:val="auto"/>
              </w:rPr>
            </w:pPr>
          </w:p>
        </w:tc>
        <w:tc>
          <w:tcPr>
            <w:tcW w:w="5300" w:type="dxa"/>
            <w:vAlign w:val="bottom"/>
          </w:tcPr>
          <w:p>
            <w:pPr>
              <w:jc w:val="center"/>
              <w:spacing w:after="0"/>
              <w:rPr>
                <w:sz w:val="20"/>
                <w:szCs w:val="20"/>
                <w:color w:val="auto"/>
              </w:rPr>
            </w:pPr>
            <w:r>
              <w:rPr>
                <w:rFonts w:ascii="Arial" w:cs="Arial" w:eastAsia="Arial" w:hAnsi="Arial"/>
                <w:sz w:val="12"/>
                <w:szCs w:val="12"/>
                <w:b w:val="1"/>
                <w:bCs w:val="1"/>
                <w:color w:val="auto"/>
                <w:w w:val="90"/>
              </w:rPr>
              <w:t>President and Chief Executive Officer</w:t>
            </w:r>
          </w:p>
        </w:tc>
      </w:tr>
    </w:tbl>
    <w:p>
      <w:pPr>
        <w:spacing w:after="0" w:line="135" w:lineRule="exact"/>
        <w:rPr>
          <w:sz w:val="20"/>
          <w:szCs w:val="20"/>
          <w:color w:val="auto"/>
        </w:rPr>
      </w:pPr>
    </w:p>
    <w:p>
      <w:pPr>
        <w:ind w:left="600"/>
        <w:spacing w:after="0"/>
        <w:rPr>
          <w:sz w:val="20"/>
          <w:szCs w:val="20"/>
          <w:color w:val="auto"/>
        </w:rPr>
      </w:pPr>
      <w:r>
        <w:rPr>
          <w:rFonts w:ascii="Arial" w:cs="Arial" w:eastAsia="Arial" w:hAnsi="Arial"/>
          <w:sz w:val="12"/>
          <w:szCs w:val="12"/>
          <w:color w:val="auto"/>
        </w:rPr>
        <w:t>Pursuant to the requirements of the Securities Exchange Act of 1934, this report has been signed below by the following persons on behalf of the Registrant in the capacities and on the dates indicated.</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24"/>
        </w:trPr>
        <w:tc>
          <w:tcPr>
            <w:tcW w:w="2960" w:type="dxa"/>
            <w:vAlign w:val="bottom"/>
          </w:tcPr>
          <w:p>
            <w:pPr>
              <w:ind w:left="1360"/>
              <w:spacing w:after="0"/>
              <w:rPr>
                <w:sz w:val="20"/>
                <w:szCs w:val="20"/>
                <w:color w:val="auto"/>
              </w:rPr>
            </w:pPr>
            <w:r>
              <w:rPr>
                <w:rFonts w:ascii="Arial" w:cs="Arial" w:eastAsia="Arial" w:hAnsi="Arial"/>
                <w:sz w:val="10"/>
                <w:szCs w:val="10"/>
                <w:b w:val="1"/>
                <w:bCs w:val="1"/>
                <w:color w:val="auto"/>
              </w:rPr>
              <w:t>Name</w:t>
            </w:r>
          </w:p>
        </w:tc>
        <w:tc>
          <w:tcPr>
            <w:tcW w:w="5060" w:type="dxa"/>
            <w:vAlign w:val="bottom"/>
          </w:tcPr>
          <w:p>
            <w:pPr>
              <w:ind w:left="2920"/>
              <w:spacing w:after="0"/>
              <w:rPr>
                <w:sz w:val="20"/>
                <w:szCs w:val="20"/>
                <w:color w:val="auto"/>
              </w:rPr>
            </w:pPr>
            <w:r>
              <w:rPr>
                <w:rFonts w:ascii="Arial" w:cs="Arial" w:eastAsia="Arial" w:hAnsi="Arial"/>
                <w:sz w:val="10"/>
                <w:szCs w:val="10"/>
                <w:b w:val="1"/>
                <w:bCs w:val="1"/>
                <w:color w:val="auto"/>
              </w:rPr>
              <w:t>Title</w:t>
            </w:r>
          </w:p>
        </w:tc>
        <w:tc>
          <w:tcPr>
            <w:tcW w:w="3480" w:type="dxa"/>
            <w:vAlign w:val="bottom"/>
          </w:tcPr>
          <w:p>
            <w:pPr>
              <w:jc w:val="center"/>
              <w:ind w:left="881"/>
              <w:spacing w:after="0"/>
              <w:rPr>
                <w:sz w:val="20"/>
                <w:szCs w:val="20"/>
                <w:color w:val="auto"/>
              </w:rPr>
            </w:pPr>
            <w:r>
              <w:rPr>
                <w:rFonts w:ascii="Arial" w:cs="Arial" w:eastAsia="Arial" w:hAnsi="Arial"/>
                <w:sz w:val="10"/>
                <w:szCs w:val="10"/>
                <w:b w:val="1"/>
                <w:bCs w:val="1"/>
                <w:color w:val="auto"/>
                <w:w w:val="82"/>
              </w:rPr>
              <w:t>Date</w:t>
            </w:r>
          </w:p>
        </w:tc>
      </w:tr>
      <w:tr>
        <w:trPr>
          <w:trHeight w:val="395"/>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Kenneth A. Gunderman</w:t>
            </w:r>
          </w:p>
        </w:tc>
        <w:tc>
          <w:tcPr>
            <w:tcW w:w="5060" w:type="dxa"/>
            <w:vAlign w:val="bottom"/>
          </w:tcPr>
          <w:p>
            <w:pPr>
              <w:ind w:left="100"/>
              <w:spacing w:after="0"/>
              <w:rPr>
                <w:sz w:val="20"/>
                <w:szCs w:val="20"/>
                <w:color w:val="auto"/>
              </w:rPr>
            </w:pPr>
            <w:r>
              <w:rPr>
                <w:rFonts w:ascii="Arial" w:cs="Arial" w:eastAsia="Arial" w:hAnsi="Arial"/>
                <w:sz w:val="12"/>
                <w:szCs w:val="12"/>
                <w:color w:val="auto"/>
              </w:rPr>
              <w:t>President and Chief Executive Officer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Kenneth A. Gunderman</w:t>
            </w:r>
          </w:p>
        </w:tc>
        <w:tc>
          <w:tcPr>
            <w:tcW w:w="5060" w:type="dxa"/>
            <w:vAlign w:val="bottom"/>
          </w:tcPr>
          <w:p>
            <w:pPr>
              <w:ind w:left="100"/>
              <w:spacing w:after="0"/>
              <w:rPr>
                <w:sz w:val="20"/>
                <w:szCs w:val="20"/>
                <w:color w:val="auto"/>
              </w:rPr>
            </w:pPr>
            <w:r>
              <w:rPr>
                <w:rFonts w:ascii="Arial" w:cs="Arial" w:eastAsia="Arial" w:hAnsi="Arial"/>
                <w:sz w:val="12"/>
                <w:szCs w:val="12"/>
                <w:i w:val="1"/>
                <w:iCs w:val="1"/>
                <w:color w:val="auto"/>
              </w:rPr>
              <w:t>(Principal Executive Officer)</w:t>
            </w:r>
          </w:p>
        </w:tc>
        <w:tc>
          <w:tcPr>
            <w:tcW w:w="3480" w:type="dxa"/>
            <w:vAlign w:val="bottom"/>
          </w:tcPr>
          <w:p>
            <w:pPr>
              <w:spacing w:after="0"/>
              <w:rPr>
                <w:sz w:val="13"/>
                <w:szCs w:val="13"/>
                <w:color w:val="auto"/>
              </w:rPr>
            </w:pPr>
          </w:p>
        </w:tc>
      </w:tr>
      <w:tr>
        <w:trPr>
          <w:trHeight w:val="422"/>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Mark A. Wallace</w:t>
            </w:r>
          </w:p>
        </w:tc>
        <w:tc>
          <w:tcPr>
            <w:tcW w:w="5060" w:type="dxa"/>
            <w:vAlign w:val="bottom"/>
          </w:tcPr>
          <w:p>
            <w:pPr>
              <w:ind w:left="100"/>
              <w:spacing w:after="0"/>
              <w:rPr>
                <w:sz w:val="20"/>
                <w:szCs w:val="20"/>
                <w:color w:val="auto"/>
              </w:rPr>
            </w:pPr>
            <w:r>
              <w:rPr>
                <w:rFonts w:ascii="Arial" w:cs="Arial" w:eastAsia="Arial" w:hAnsi="Arial"/>
                <w:sz w:val="12"/>
                <w:szCs w:val="12"/>
                <w:color w:val="auto"/>
              </w:rPr>
              <w:t>Executive Vice President – Chief Financial Officer and Treasurer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Mark A. Wallace</w:t>
            </w:r>
          </w:p>
        </w:tc>
        <w:tc>
          <w:tcPr>
            <w:tcW w:w="5060" w:type="dxa"/>
            <w:vAlign w:val="bottom"/>
          </w:tcPr>
          <w:p>
            <w:pPr>
              <w:ind w:left="100"/>
              <w:spacing w:after="0"/>
              <w:rPr>
                <w:sz w:val="20"/>
                <w:szCs w:val="20"/>
                <w:color w:val="auto"/>
              </w:rPr>
            </w:pPr>
            <w:r>
              <w:rPr>
                <w:rFonts w:ascii="Arial" w:cs="Arial" w:eastAsia="Arial" w:hAnsi="Arial"/>
                <w:sz w:val="12"/>
                <w:szCs w:val="12"/>
                <w:i w:val="1"/>
                <w:iCs w:val="1"/>
                <w:color w:val="auto"/>
              </w:rPr>
              <w:t>(Principal Financial Officer)</w:t>
            </w:r>
          </w:p>
        </w:tc>
        <w:tc>
          <w:tcPr>
            <w:tcW w:w="3480" w:type="dxa"/>
            <w:vAlign w:val="bottom"/>
          </w:tcPr>
          <w:p>
            <w:pPr>
              <w:spacing w:after="0"/>
              <w:rPr>
                <w:sz w:val="13"/>
                <w:szCs w:val="13"/>
                <w:color w:val="auto"/>
              </w:rPr>
            </w:pPr>
          </w:p>
        </w:tc>
      </w:tr>
      <w:tr>
        <w:trPr>
          <w:trHeight w:val="314"/>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Blake Schuhmacher</w:t>
            </w:r>
          </w:p>
        </w:tc>
        <w:tc>
          <w:tcPr>
            <w:tcW w:w="5060" w:type="dxa"/>
            <w:vAlign w:val="bottom"/>
          </w:tcPr>
          <w:p>
            <w:pPr>
              <w:ind w:left="100"/>
              <w:spacing w:after="0"/>
              <w:rPr>
                <w:sz w:val="20"/>
                <w:szCs w:val="20"/>
                <w:color w:val="auto"/>
              </w:rPr>
            </w:pPr>
            <w:r>
              <w:rPr>
                <w:rFonts w:ascii="Arial" w:cs="Arial" w:eastAsia="Arial" w:hAnsi="Arial"/>
                <w:sz w:val="12"/>
                <w:szCs w:val="12"/>
                <w:color w:val="auto"/>
              </w:rPr>
              <w:t>Senior Vice President – Chief Accounting Officer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Blake Schuhmacher</w:t>
            </w:r>
          </w:p>
        </w:tc>
        <w:tc>
          <w:tcPr>
            <w:tcW w:w="5060" w:type="dxa"/>
            <w:vAlign w:val="bottom"/>
          </w:tcPr>
          <w:p>
            <w:pPr>
              <w:ind w:left="100"/>
              <w:spacing w:after="0"/>
              <w:rPr>
                <w:sz w:val="20"/>
                <w:szCs w:val="20"/>
                <w:color w:val="auto"/>
              </w:rPr>
            </w:pPr>
            <w:r>
              <w:rPr>
                <w:rFonts w:ascii="Arial" w:cs="Arial" w:eastAsia="Arial" w:hAnsi="Arial"/>
                <w:sz w:val="12"/>
                <w:szCs w:val="12"/>
                <w:i w:val="1"/>
                <w:iCs w:val="1"/>
                <w:color w:val="auto"/>
              </w:rPr>
              <w:t>(Principal Accounting Officer)</w:t>
            </w:r>
          </w:p>
        </w:tc>
        <w:tc>
          <w:tcPr>
            <w:tcW w:w="3480" w:type="dxa"/>
            <w:vAlign w:val="bottom"/>
          </w:tcPr>
          <w:p>
            <w:pPr>
              <w:spacing w:after="0"/>
              <w:rPr>
                <w:sz w:val="13"/>
                <w:szCs w:val="13"/>
                <w:color w:val="auto"/>
              </w:rPr>
            </w:pPr>
          </w:p>
        </w:tc>
      </w:tr>
      <w:tr>
        <w:trPr>
          <w:trHeight w:val="314"/>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Francis X. Frantz</w:t>
            </w:r>
          </w:p>
        </w:tc>
        <w:tc>
          <w:tcPr>
            <w:tcW w:w="5060" w:type="dxa"/>
            <w:vAlign w:val="bottom"/>
          </w:tcPr>
          <w:p>
            <w:pPr>
              <w:ind w:left="100"/>
              <w:spacing w:after="0"/>
              <w:rPr>
                <w:sz w:val="20"/>
                <w:szCs w:val="20"/>
                <w:color w:val="auto"/>
              </w:rPr>
            </w:pPr>
            <w:r>
              <w:rPr>
                <w:rFonts w:ascii="Arial" w:cs="Arial" w:eastAsia="Arial" w:hAnsi="Arial"/>
                <w:sz w:val="12"/>
                <w:szCs w:val="12"/>
                <w:color w:val="auto"/>
              </w:rPr>
              <w:t>Chairman and Director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Francis X. Frantz</w:t>
            </w:r>
          </w:p>
        </w:tc>
        <w:tc>
          <w:tcPr>
            <w:tcW w:w="5060" w:type="dxa"/>
            <w:vAlign w:val="bottom"/>
          </w:tcPr>
          <w:p>
            <w:pPr>
              <w:spacing w:after="0"/>
              <w:rPr>
                <w:sz w:val="13"/>
                <w:szCs w:val="13"/>
                <w:color w:val="auto"/>
              </w:rPr>
            </w:pPr>
          </w:p>
        </w:tc>
        <w:tc>
          <w:tcPr>
            <w:tcW w:w="3480" w:type="dxa"/>
            <w:vAlign w:val="bottom"/>
          </w:tcPr>
          <w:p>
            <w:pPr>
              <w:spacing w:after="0"/>
              <w:rPr>
                <w:sz w:val="13"/>
                <w:szCs w:val="13"/>
                <w:color w:val="auto"/>
              </w:rPr>
            </w:pPr>
          </w:p>
        </w:tc>
      </w:tr>
      <w:tr>
        <w:trPr>
          <w:trHeight w:val="368"/>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Jennifer S. Banner</w:t>
            </w:r>
          </w:p>
        </w:tc>
        <w:tc>
          <w:tcPr>
            <w:tcW w:w="5060" w:type="dxa"/>
            <w:vAlign w:val="bottom"/>
          </w:tcPr>
          <w:p>
            <w:pPr>
              <w:ind w:left="100"/>
              <w:spacing w:after="0"/>
              <w:rPr>
                <w:sz w:val="20"/>
                <w:szCs w:val="20"/>
                <w:color w:val="auto"/>
              </w:rPr>
            </w:pPr>
            <w:r>
              <w:rPr>
                <w:rFonts w:ascii="Arial" w:cs="Arial" w:eastAsia="Arial" w:hAnsi="Arial"/>
                <w:sz w:val="12"/>
                <w:szCs w:val="12"/>
                <w:color w:val="auto"/>
              </w:rPr>
              <w:t>Director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Jennifer S. Banner</w:t>
            </w:r>
          </w:p>
        </w:tc>
        <w:tc>
          <w:tcPr>
            <w:tcW w:w="5060" w:type="dxa"/>
            <w:vAlign w:val="bottom"/>
          </w:tcPr>
          <w:p>
            <w:pPr>
              <w:spacing w:after="0"/>
              <w:rPr>
                <w:sz w:val="13"/>
                <w:szCs w:val="13"/>
                <w:color w:val="auto"/>
              </w:rPr>
            </w:pPr>
          </w:p>
        </w:tc>
        <w:tc>
          <w:tcPr>
            <w:tcW w:w="3480" w:type="dxa"/>
            <w:vAlign w:val="bottom"/>
          </w:tcPr>
          <w:p>
            <w:pPr>
              <w:spacing w:after="0"/>
              <w:rPr>
                <w:sz w:val="13"/>
                <w:szCs w:val="13"/>
                <w:color w:val="auto"/>
              </w:rPr>
            </w:pPr>
          </w:p>
        </w:tc>
      </w:tr>
      <w:tr>
        <w:trPr>
          <w:trHeight w:val="377"/>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Scott G. Bruce</w:t>
            </w:r>
          </w:p>
        </w:tc>
        <w:tc>
          <w:tcPr>
            <w:tcW w:w="5060" w:type="dxa"/>
            <w:vAlign w:val="bottom"/>
          </w:tcPr>
          <w:p>
            <w:pPr>
              <w:ind w:left="100"/>
              <w:spacing w:after="0"/>
              <w:rPr>
                <w:sz w:val="20"/>
                <w:szCs w:val="20"/>
                <w:color w:val="auto"/>
              </w:rPr>
            </w:pPr>
            <w:r>
              <w:rPr>
                <w:rFonts w:ascii="Arial" w:cs="Arial" w:eastAsia="Arial" w:hAnsi="Arial"/>
                <w:sz w:val="12"/>
                <w:szCs w:val="12"/>
                <w:color w:val="auto"/>
              </w:rPr>
              <w:t>Director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Scott G. Bruce</w:t>
            </w:r>
          </w:p>
        </w:tc>
        <w:tc>
          <w:tcPr>
            <w:tcW w:w="5060" w:type="dxa"/>
            <w:vAlign w:val="bottom"/>
          </w:tcPr>
          <w:p>
            <w:pPr>
              <w:spacing w:after="0"/>
              <w:rPr>
                <w:sz w:val="13"/>
                <w:szCs w:val="13"/>
                <w:color w:val="auto"/>
              </w:rPr>
            </w:pPr>
          </w:p>
        </w:tc>
        <w:tc>
          <w:tcPr>
            <w:tcW w:w="3480" w:type="dxa"/>
            <w:vAlign w:val="bottom"/>
          </w:tcPr>
          <w:p>
            <w:pPr>
              <w:spacing w:after="0"/>
              <w:rPr>
                <w:sz w:val="13"/>
                <w:szCs w:val="13"/>
                <w:color w:val="auto"/>
              </w:rPr>
            </w:pPr>
          </w:p>
        </w:tc>
      </w:tr>
      <w:tr>
        <w:trPr>
          <w:trHeight w:val="368"/>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Andrew Frey</w:t>
            </w:r>
          </w:p>
        </w:tc>
        <w:tc>
          <w:tcPr>
            <w:tcW w:w="5060" w:type="dxa"/>
            <w:vAlign w:val="bottom"/>
          </w:tcPr>
          <w:p>
            <w:pPr>
              <w:ind w:left="100"/>
              <w:spacing w:after="0"/>
              <w:rPr>
                <w:sz w:val="20"/>
                <w:szCs w:val="20"/>
                <w:color w:val="auto"/>
              </w:rPr>
            </w:pPr>
            <w:r>
              <w:rPr>
                <w:rFonts w:ascii="Arial" w:cs="Arial" w:eastAsia="Arial" w:hAnsi="Arial"/>
                <w:sz w:val="12"/>
                <w:szCs w:val="12"/>
                <w:color w:val="auto"/>
              </w:rPr>
              <w:t>Director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52"/>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Andrew Frey</w:t>
            </w:r>
          </w:p>
        </w:tc>
        <w:tc>
          <w:tcPr>
            <w:tcW w:w="5060" w:type="dxa"/>
            <w:vAlign w:val="bottom"/>
          </w:tcPr>
          <w:p>
            <w:pPr>
              <w:spacing w:after="0"/>
              <w:rPr>
                <w:sz w:val="13"/>
                <w:szCs w:val="13"/>
                <w:color w:val="auto"/>
              </w:rPr>
            </w:pPr>
          </w:p>
        </w:tc>
        <w:tc>
          <w:tcPr>
            <w:tcW w:w="3480" w:type="dxa"/>
            <w:vAlign w:val="bottom"/>
          </w:tcPr>
          <w:p>
            <w:pPr>
              <w:spacing w:after="0"/>
              <w:rPr>
                <w:sz w:val="13"/>
                <w:szCs w:val="13"/>
                <w:color w:val="auto"/>
              </w:rPr>
            </w:pPr>
          </w:p>
        </w:tc>
      </w:tr>
      <w:tr>
        <w:trPr>
          <w:trHeight w:val="368"/>
        </w:trPr>
        <w:tc>
          <w:tcPr>
            <w:tcW w:w="2960" w:type="dxa"/>
            <w:vAlign w:val="bottom"/>
            <w:tcBorders>
              <w:bottom w:val="single" w:sz="8" w:color="auto"/>
            </w:tcBorders>
          </w:tcPr>
          <w:p>
            <w:pPr>
              <w:spacing w:after="0"/>
              <w:rPr>
                <w:sz w:val="20"/>
                <w:szCs w:val="20"/>
                <w:color w:val="auto"/>
              </w:rPr>
            </w:pPr>
            <w:r>
              <w:rPr>
                <w:rFonts w:ascii="Arial" w:cs="Arial" w:eastAsia="Arial" w:hAnsi="Arial"/>
                <w:sz w:val="12"/>
                <w:szCs w:val="12"/>
                <w:color w:val="auto"/>
              </w:rPr>
              <w:t>/s/ David L. Solomon</w:t>
            </w:r>
          </w:p>
        </w:tc>
        <w:tc>
          <w:tcPr>
            <w:tcW w:w="5060" w:type="dxa"/>
            <w:vAlign w:val="bottom"/>
          </w:tcPr>
          <w:p>
            <w:pPr>
              <w:ind w:left="100"/>
              <w:spacing w:after="0"/>
              <w:rPr>
                <w:sz w:val="20"/>
                <w:szCs w:val="20"/>
                <w:color w:val="auto"/>
              </w:rPr>
            </w:pPr>
            <w:r>
              <w:rPr>
                <w:rFonts w:ascii="Arial" w:cs="Arial" w:eastAsia="Arial" w:hAnsi="Arial"/>
                <w:sz w:val="12"/>
                <w:szCs w:val="12"/>
                <w:color w:val="auto"/>
              </w:rPr>
              <w:t>Director</w:t>
            </w:r>
          </w:p>
        </w:tc>
        <w:tc>
          <w:tcPr>
            <w:tcW w:w="3480" w:type="dxa"/>
            <w:vAlign w:val="bottom"/>
          </w:tcPr>
          <w:p>
            <w:pPr>
              <w:jc w:val="center"/>
              <w:ind w:left="901"/>
              <w:spacing w:after="0"/>
              <w:rPr>
                <w:sz w:val="20"/>
                <w:szCs w:val="20"/>
                <w:color w:val="auto"/>
              </w:rPr>
            </w:pPr>
            <w:r>
              <w:rPr>
                <w:rFonts w:ascii="Arial" w:cs="Arial" w:eastAsia="Arial" w:hAnsi="Arial"/>
                <w:sz w:val="12"/>
                <w:szCs w:val="12"/>
                <w:color w:val="auto"/>
                <w:w w:val="91"/>
              </w:rPr>
              <w:t>March 18, 2019</w:t>
            </w:r>
          </w:p>
        </w:tc>
      </w:tr>
      <w:tr>
        <w:trPr>
          <w:trHeight w:val="143"/>
        </w:trPr>
        <w:tc>
          <w:tcPr>
            <w:tcW w:w="2960" w:type="dxa"/>
            <w:vAlign w:val="bottom"/>
          </w:tcPr>
          <w:p>
            <w:pPr>
              <w:ind w:left="140"/>
              <w:spacing w:after="0"/>
              <w:rPr>
                <w:sz w:val="20"/>
                <w:szCs w:val="20"/>
                <w:color w:val="auto"/>
              </w:rPr>
            </w:pPr>
            <w:r>
              <w:rPr>
                <w:rFonts w:ascii="Arial" w:cs="Arial" w:eastAsia="Arial" w:hAnsi="Arial"/>
                <w:sz w:val="10"/>
                <w:szCs w:val="10"/>
                <w:b w:val="1"/>
                <w:bCs w:val="1"/>
                <w:color w:val="auto"/>
              </w:rPr>
              <w:t>David L. Solomon</w:t>
            </w:r>
          </w:p>
        </w:tc>
        <w:tc>
          <w:tcPr>
            <w:tcW w:w="5060" w:type="dxa"/>
            <w:vAlign w:val="bottom"/>
          </w:tcPr>
          <w:p>
            <w:pPr>
              <w:spacing w:after="0"/>
              <w:rPr>
                <w:sz w:val="12"/>
                <w:szCs w:val="12"/>
                <w:color w:val="auto"/>
              </w:rPr>
            </w:pPr>
          </w:p>
        </w:tc>
        <w:tc>
          <w:tcPr>
            <w:tcW w:w="3480" w:type="dxa"/>
            <w:vAlign w:val="bottom"/>
          </w:tcPr>
          <w:p>
            <w:pPr>
              <w:spacing w:after="0"/>
              <w:rPr>
                <w:sz w:val="12"/>
                <w:szCs w:val="12"/>
                <w:color w:val="auto"/>
              </w:rPr>
            </w:pPr>
          </w:p>
        </w:tc>
      </w:tr>
      <w:tr>
        <w:trPr>
          <w:trHeight w:val="629"/>
        </w:trPr>
        <w:tc>
          <w:tcPr>
            <w:tcW w:w="2960" w:type="dxa"/>
            <w:vAlign w:val="bottom"/>
          </w:tcPr>
          <w:p>
            <w:pPr>
              <w:spacing w:after="0"/>
              <w:rPr>
                <w:sz w:val="24"/>
                <w:szCs w:val="24"/>
                <w:color w:val="auto"/>
              </w:rPr>
            </w:pPr>
          </w:p>
        </w:tc>
        <w:tc>
          <w:tcPr>
            <w:tcW w:w="5060" w:type="dxa"/>
            <w:vAlign w:val="bottom"/>
          </w:tcPr>
          <w:p>
            <w:pPr>
              <w:ind w:left="2680"/>
              <w:spacing w:after="0"/>
              <w:rPr>
                <w:sz w:val="20"/>
                <w:szCs w:val="20"/>
                <w:color w:val="auto"/>
              </w:rPr>
            </w:pPr>
            <w:r>
              <w:rPr>
                <w:rFonts w:ascii="Arial" w:cs="Arial" w:eastAsia="Arial" w:hAnsi="Arial"/>
                <w:sz w:val="12"/>
                <w:szCs w:val="12"/>
                <w:color w:val="auto"/>
              </w:rPr>
              <w:t>117</w:t>
            </w:r>
          </w:p>
        </w:tc>
        <w:tc>
          <w:tcPr>
            <w:tcW w:w="3480" w:type="dxa"/>
            <w:vAlign w:val="bottom"/>
          </w:tcPr>
          <w:p>
            <w:pPr>
              <w:spacing w:after="0"/>
              <w:rPr>
                <w:sz w:val="24"/>
                <w:szCs w:val="24"/>
                <w:color w:val="auto"/>
              </w:rPr>
            </w:pPr>
          </w:p>
        </w:tc>
      </w:tr>
      <w:tr>
        <w:trPr>
          <w:trHeight w:val="72"/>
        </w:trPr>
        <w:tc>
          <w:tcPr>
            <w:tcW w:w="2960" w:type="dxa"/>
            <w:vAlign w:val="bottom"/>
            <w:tcBorders>
              <w:bottom w:val="single" w:sz="8" w:color="9A9A9A"/>
            </w:tcBorders>
          </w:tcPr>
          <w:p>
            <w:pPr>
              <w:spacing w:after="0"/>
              <w:rPr>
                <w:sz w:val="6"/>
                <w:szCs w:val="6"/>
                <w:color w:val="auto"/>
              </w:rPr>
            </w:pPr>
          </w:p>
        </w:tc>
        <w:tc>
          <w:tcPr>
            <w:tcW w:w="5060" w:type="dxa"/>
            <w:vAlign w:val="bottom"/>
            <w:tcBorders>
              <w:bottom w:val="single" w:sz="8" w:color="9A9A9A"/>
            </w:tcBorders>
          </w:tcPr>
          <w:p>
            <w:pPr>
              <w:spacing w:after="0"/>
              <w:rPr>
                <w:sz w:val="6"/>
                <w:szCs w:val="6"/>
                <w:color w:val="auto"/>
              </w:rPr>
            </w:pPr>
          </w:p>
        </w:tc>
        <w:tc>
          <w:tcPr>
            <w:tcW w:w="348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9">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0">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31" w:right="179" w:bottom="1440" w:gutter="0" w:footer="0" w:header="0"/>
        </w:sectPr>
      </w:pPr>
    </w:p>
    <w:bookmarkStart w:id="117" w:name="page118"/>
    <w:bookmarkEnd w:id="117"/>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64"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Schedule I – Condensed Financial Information of</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The Registrant (Parent Company)</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Condensed Balance Sheets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6840" w:type="dxa"/>
            <w:vAlign w:val="bottom"/>
            <w:gridSpan w:val="2"/>
          </w:tcPr>
          <w:p>
            <w:pPr>
              <w:spacing w:after="0"/>
              <w:rPr>
                <w:sz w:val="20"/>
                <w:szCs w:val="20"/>
                <w:color w:val="auto"/>
              </w:rPr>
            </w:pPr>
            <w:r>
              <w:rPr>
                <w:rFonts w:ascii="Arial" w:cs="Arial" w:eastAsia="Arial" w:hAnsi="Arial"/>
                <w:sz w:val="10"/>
                <w:szCs w:val="10"/>
                <w:color w:val="auto"/>
              </w:rPr>
              <w:t>(Thousands, except par value)</w:t>
            </w: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960" w:type="dxa"/>
            <w:vAlign w:val="bottom"/>
            <w:gridSpan w:val="2"/>
          </w:tcPr>
          <w:p>
            <w:pPr>
              <w:jc w:val="right"/>
              <w:ind w:right="900"/>
              <w:spacing w:after="0"/>
              <w:rPr>
                <w:sz w:val="20"/>
                <w:szCs w:val="20"/>
                <w:color w:val="auto"/>
              </w:rPr>
            </w:pPr>
            <w:r>
              <w:rPr>
                <w:rFonts w:ascii="Arial" w:cs="Arial" w:eastAsia="Arial" w:hAnsi="Arial"/>
                <w:sz w:val="10"/>
                <w:szCs w:val="10"/>
                <w:b w:val="1"/>
                <w:bCs w:val="1"/>
                <w:color w:val="auto"/>
              </w:rPr>
              <w:t>December 31, 2018</w:t>
            </w:r>
          </w:p>
        </w:tc>
        <w:tc>
          <w:tcPr>
            <w:tcW w:w="360" w:type="dxa"/>
            <w:vAlign w:val="bottom"/>
          </w:tcPr>
          <w:p>
            <w:pPr>
              <w:spacing w:after="0"/>
              <w:rPr>
                <w:sz w:val="10"/>
                <w:szCs w:val="10"/>
                <w:color w:val="auto"/>
              </w:rPr>
            </w:pPr>
          </w:p>
        </w:tc>
        <w:tc>
          <w:tcPr>
            <w:tcW w:w="1820" w:type="dxa"/>
            <w:vAlign w:val="bottom"/>
            <w:gridSpan w:val="2"/>
          </w:tcPr>
          <w:p>
            <w:pPr>
              <w:jc w:val="right"/>
              <w:ind w:right="760"/>
              <w:spacing w:after="0"/>
              <w:rPr>
                <w:sz w:val="20"/>
                <w:szCs w:val="20"/>
                <w:color w:val="auto"/>
              </w:rPr>
            </w:pPr>
            <w:r>
              <w:rPr>
                <w:rFonts w:ascii="Arial" w:cs="Arial" w:eastAsia="Arial" w:hAnsi="Arial"/>
                <w:sz w:val="10"/>
                <w:szCs w:val="10"/>
                <w:b w:val="1"/>
                <w:bCs w:val="1"/>
                <w:color w:val="auto"/>
              </w:rPr>
              <w:t>December 31, 2017</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Assets:</w:t>
            </w:r>
          </w:p>
        </w:tc>
        <w:tc>
          <w:tcPr>
            <w:tcW w:w="160" w:type="dxa"/>
            <w:vAlign w:val="bottom"/>
            <w:tcBorders>
              <w:top w:val="single" w:sz="8" w:color="CFF0FC"/>
            </w:tcBorders>
            <w:shd w:val="clear" w:color="auto" w:fill="CFF0FC"/>
          </w:tcPr>
          <w:p>
            <w:pPr>
              <w:spacing w:after="0"/>
              <w:rPr>
                <w:sz w:val="12"/>
                <w:szCs w:val="12"/>
                <w:color w:val="auto"/>
              </w:rPr>
            </w:pPr>
          </w:p>
        </w:tc>
        <w:tc>
          <w:tcPr>
            <w:tcW w:w="340" w:type="dxa"/>
            <w:vAlign w:val="bottom"/>
            <w:tcBorders>
              <w:top w:val="single" w:sz="8" w:color="auto"/>
            </w:tcBorders>
            <w:shd w:val="clear" w:color="auto" w:fill="CFF0FC"/>
          </w:tcPr>
          <w:p>
            <w:pPr>
              <w:spacing w:after="0"/>
              <w:rPr>
                <w:sz w:val="12"/>
                <w:szCs w:val="12"/>
                <w:color w:val="auto"/>
              </w:rPr>
            </w:pPr>
          </w:p>
        </w:tc>
        <w:tc>
          <w:tcPr>
            <w:tcW w:w="172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360" w:type="dxa"/>
            <w:vAlign w:val="bottom"/>
            <w:tcBorders>
              <w:top w:val="single" w:sz="8" w:color="auto"/>
            </w:tcBorders>
            <w:shd w:val="clear" w:color="auto" w:fill="CFF0FC"/>
          </w:tcPr>
          <w:p>
            <w:pPr>
              <w:spacing w:after="0"/>
              <w:rPr>
                <w:sz w:val="12"/>
                <w:szCs w:val="12"/>
                <w:color w:val="auto"/>
              </w:rPr>
            </w:pPr>
          </w:p>
        </w:tc>
        <w:tc>
          <w:tcPr>
            <w:tcW w:w="17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Pr>
          <w:p>
            <w:pPr>
              <w:ind w:left="140"/>
              <w:spacing w:after="0"/>
              <w:rPr>
                <w:sz w:val="20"/>
                <w:szCs w:val="20"/>
                <w:color w:val="auto"/>
              </w:rPr>
            </w:pPr>
            <w:r>
              <w:rPr>
                <w:rFonts w:ascii="Arial" w:cs="Arial" w:eastAsia="Arial" w:hAnsi="Arial"/>
                <w:sz w:val="12"/>
                <w:szCs w:val="12"/>
                <w:color w:val="auto"/>
              </w:rPr>
              <w:t>Cash and cash equivalents</w:t>
            </w:r>
          </w:p>
        </w:tc>
        <w:tc>
          <w:tcPr>
            <w:tcW w:w="50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720" w:type="dxa"/>
            <w:vAlign w:val="bottom"/>
          </w:tcPr>
          <w:p>
            <w:pPr>
              <w:jc w:val="right"/>
              <w:spacing w:after="0"/>
              <w:rPr>
                <w:sz w:val="20"/>
                <w:szCs w:val="20"/>
                <w:color w:val="auto"/>
              </w:rPr>
            </w:pPr>
            <w:r>
              <w:rPr>
                <w:rFonts w:ascii="Arial" w:cs="Arial" w:eastAsia="Arial" w:hAnsi="Arial"/>
                <w:sz w:val="12"/>
                <w:szCs w:val="12"/>
                <w:color w:val="auto"/>
              </w:rPr>
              <w:t>261</w:t>
            </w:r>
          </w:p>
        </w:tc>
        <w:tc>
          <w:tcPr>
            <w:tcW w:w="240" w:type="dxa"/>
            <w:vAlign w:val="bottom"/>
          </w:tcPr>
          <w:p>
            <w:pPr>
              <w:spacing w:after="0"/>
              <w:rPr>
                <w:sz w:val="13"/>
                <w:szCs w:val="13"/>
                <w:color w:val="auto"/>
              </w:rPr>
            </w:pPr>
          </w:p>
        </w:tc>
        <w:tc>
          <w:tcPr>
            <w:tcW w:w="360" w:type="dxa"/>
            <w:vAlign w:val="bottom"/>
          </w:tcPr>
          <w:p>
            <w:pPr>
              <w:jc w:val="right"/>
              <w:ind w:right="250"/>
              <w:spacing w:after="0"/>
              <w:rPr>
                <w:sz w:val="20"/>
                <w:szCs w:val="20"/>
                <w:color w:val="auto"/>
              </w:rPr>
            </w:pPr>
            <w:r>
              <w:rPr>
                <w:rFonts w:ascii="Arial" w:cs="Arial" w:eastAsia="Arial" w:hAnsi="Arial"/>
                <w:sz w:val="10"/>
                <w:szCs w:val="10"/>
                <w:color w:val="auto"/>
                <w:w w:val="71"/>
              </w:rPr>
              <w:t>$</w:t>
            </w:r>
          </w:p>
        </w:tc>
        <w:tc>
          <w:tcPr>
            <w:tcW w:w="1700" w:type="dxa"/>
            <w:vAlign w:val="bottom"/>
          </w:tcPr>
          <w:p>
            <w:pPr>
              <w:jc w:val="right"/>
              <w:spacing w:after="0"/>
              <w:rPr>
                <w:sz w:val="20"/>
                <w:szCs w:val="20"/>
                <w:color w:val="auto"/>
              </w:rPr>
            </w:pPr>
            <w:r>
              <w:rPr>
                <w:rFonts w:ascii="Arial" w:cs="Arial" w:eastAsia="Arial" w:hAnsi="Arial"/>
                <w:sz w:val="12"/>
                <w:szCs w:val="12"/>
                <w:color w:val="auto"/>
              </w:rPr>
              <w:t>2,188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shd w:val="clear" w:color="auto" w:fill="CFF0FC"/>
          </w:tcPr>
          <w:p>
            <w:pPr>
              <w:ind w:left="140"/>
              <w:spacing w:after="0"/>
              <w:rPr>
                <w:sz w:val="20"/>
                <w:szCs w:val="20"/>
                <w:color w:val="auto"/>
              </w:rPr>
            </w:pPr>
            <w:r>
              <w:rPr>
                <w:rFonts w:ascii="Arial" w:cs="Arial" w:eastAsia="Arial" w:hAnsi="Arial"/>
                <w:sz w:val="12"/>
                <w:szCs w:val="12"/>
                <w:color w:val="auto"/>
              </w:rPr>
              <w:t>Accounts receivable, net</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Borders>
              <w:bottom w:val="single" w:sz="8" w:color="CFF0FC"/>
            </w:tcBorders>
          </w:tcPr>
          <w:p>
            <w:pPr>
              <w:ind w:left="140"/>
              <w:spacing w:after="0"/>
              <w:rPr>
                <w:sz w:val="20"/>
                <w:szCs w:val="20"/>
                <w:color w:val="auto"/>
              </w:rPr>
            </w:pPr>
            <w:r>
              <w:rPr>
                <w:rFonts w:ascii="Arial" w:cs="Arial" w:eastAsia="Arial" w:hAnsi="Arial"/>
                <w:sz w:val="12"/>
                <w:szCs w:val="12"/>
                <w:color w:val="auto"/>
              </w:rPr>
              <w:t>Other assets</w:t>
            </w:r>
          </w:p>
        </w:tc>
        <w:tc>
          <w:tcPr>
            <w:tcW w:w="16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4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8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Total Assets</w:t>
            </w:r>
          </w:p>
        </w:tc>
        <w:tc>
          <w:tcPr>
            <w:tcW w:w="500" w:type="dxa"/>
            <w:vAlign w:val="bottom"/>
            <w:gridSpan w:val="2"/>
            <w:shd w:val="clear" w:color="auto" w:fill="CFF0FC"/>
          </w:tcPr>
          <w:p>
            <w:pPr>
              <w:jc w:val="right"/>
              <w:ind w:right="280"/>
              <w:spacing w:after="0"/>
              <w:rPr>
                <w:sz w:val="20"/>
                <w:szCs w:val="20"/>
                <w:color w:val="auto"/>
              </w:rPr>
            </w:pPr>
            <w:r>
              <w:rPr>
                <w:rFonts w:ascii="Arial" w:cs="Arial" w:eastAsia="Arial" w:hAnsi="Arial"/>
                <w:sz w:val="12"/>
                <w:szCs w:val="12"/>
                <w:color w:val="auto"/>
              </w:rPr>
              <w:t>$</w:t>
            </w: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261</w:t>
            </w:r>
          </w:p>
        </w:tc>
        <w:tc>
          <w:tcPr>
            <w:tcW w:w="240" w:type="dxa"/>
            <w:vAlign w:val="bottom"/>
            <w:shd w:val="clear" w:color="auto" w:fill="CFF0FC"/>
          </w:tcPr>
          <w:p>
            <w:pPr>
              <w:spacing w:after="0"/>
              <w:rPr>
                <w:sz w:val="12"/>
                <w:szCs w:val="12"/>
                <w:color w:val="auto"/>
              </w:rPr>
            </w:pPr>
          </w:p>
        </w:tc>
        <w:tc>
          <w:tcPr>
            <w:tcW w:w="360" w:type="dxa"/>
            <w:vAlign w:val="bottom"/>
            <w:shd w:val="clear" w:color="auto" w:fill="CFF0FC"/>
          </w:tcPr>
          <w:p>
            <w:pPr>
              <w:jc w:val="right"/>
              <w:ind w:right="250"/>
              <w:spacing w:after="0"/>
              <w:rPr>
                <w:sz w:val="20"/>
                <w:szCs w:val="20"/>
                <w:color w:val="auto"/>
              </w:rPr>
            </w:pPr>
            <w:r>
              <w:rPr>
                <w:rFonts w:ascii="Arial" w:cs="Arial" w:eastAsia="Arial" w:hAnsi="Arial"/>
                <w:sz w:val="10"/>
                <w:szCs w:val="10"/>
                <w:color w:val="auto"/>
                <w:w w:val="71"/>
              </w:rPr>
              <w:t>$</w:t>
            </w: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2,188</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6820" w:type="dxa"/>
            <w:vAlign w:val="bottom"/>
            <w:tcBorders>
              <w:top w:val="single" w:sz="8" w:color="CFF0FC"/>
            </w:tcBorders>
          </w:tcPr>
          <w:p>
            <w:pPr>
              <w:spacing w:after="0"/>
              <w:rPr>
                <w:sz w:val="13"/>
                <w:szCs w:val="13"/>
                <w:color w:val="auto"/>
              </w:rPr>
            </w:pPr>
          </w:p>
        </w:tc>
        <w:tc>
          <w:tcPr>
            <w:tcW w:w="160" w:type="dxa"/>
            <w:vAlign w:val="bottom"/>
            <w:tcBorders>
              <w:top w:val="single" w:sz="8" w:color="CFF0FC"/>
            </w:tcBorders>
          </w:tcPr>
          <w:p>
            <w:pPr>
              <w:spacing w:after="0"/>
              <w:rPr>
                <w:sz w:val="13"/>
                <w:szCs w:val="13"/>
                <w:color w:val="auto"/>
              </w:rPr>
            </w:pPr>
          </w:p>
        </w:tc>
        <w:tc>
          <w:tcPr>
            <w:tcW w:w="340" w:type="dxa"/>
            <w:vAlign w:val="bottom"/>
            <w:tcBorders>
              <w:top w:val="single" w:sz="8" w:color="auto"/>
            </w:tcBorders>
          </w:tcPr>
          <w:p>
            <w:pPr>
              <w:spacing w:after="0"/>
              <w:rPr>
                <w:sz w:val="13"/>
                <w:szCs w:val="13"/>
                <w:color w:val="auto"/>
              </w:rPr>
            </w:pPr>
          </w:p>
        </w:tc>
        <w:tc>
          <w:tcPr>
            <w:tcW w:w="1720" w:type="dxa"/>
            <w:vAlign w:val="bottom"/>
            <w:tcBorders>
              <w:top w:val="single" w:sz="8" w:color="auto"/>
            </w:tcBorders>
          </w:tcPr>
          <w:p>
            <w:pPr>
              <w:spacing w:after="0"/>
              <w:rPr>
                <w:sz w:val="13"/>
                <w:szCs w:val="13"/>
                <w:color w:val="auto"/>
              </w:rPr>
            </w:pPr>
          </w:p>
        </w:tc>
        <w:tc>
          <w:tcPr>
            <w:tcW w:w="240" w:type="dxa"/>
            <w:vAlign w:val="bottom"/>
            <w:tcBorders>
              <w:top w:val="single" w:sz="8" w:color="CFF0FC"/>
            </w:tcBorders>
          </w:tcPr>
          <w:p>
            <w:pPr>
              <w:spacing w:after="0"/>
              <w:rPr>
                <w:sz w:val="13"/>
                <w:szCs w:val="13"/>
                <w:color w:val="auto"/>
              </w:rPr>
            </w:pPr>
          </w:p>
        </w:tc>
        <w:tc>
          <w:tcPr>
            <w:tcW w:w="360" w:type="dxa"/>
            <w:vAlign w:val="bottom"/>
            <w:tcBorders>
              <w:top w:val="single" w:sz="8" w:color="auto"/>
            </w:tcBorders>
          </w:tcPr>
          <w:p>
            <w:pPr>
              <w:spacing w:after="0"/>
              <w:rPr>
                <w:sz w:val="13"/>
                <w:szCs w:val="13"/>
                <w:color w:val="auto"/>
              </w:rPr>
            </w:pPr>
          </w:p>
        </w:tc>
        <w:tc>
          <w:tcPr>
            <w:tcW w:w="1700" w:type="dxa"/>
            <w:vAlign w:val="bottom"/>
            <w:tcBorders>
              <w:top w:val="single" w:sz="8" w:color="auto"/>
            </w:tcBorders>
          </w:tcPr>
          <w:p>
            <w:pPr>
              <w:spacing w:after="0"/>
              <w:rPr>
                <w:sz w:val="13"/>
                <w:szCs w:val="13"/>
                <w:color w:val="auto"/>
              </w:rPr>
            </w:pPr>
          </w:p>
        </w:tc>
        <w:tc>
          <w:tcPr>
            <w:tcW w:w="120" w:type="dxa"/>
            <w:vAlign w:val="bottom"/>
            <w:tcBorders>
              <w:top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68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Liabilities:</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Pr>
          <w:p>
            <w:pPr>
              <w:ind w:left="140"/>
              <w:spacing w:after="0"/>
              <w:rPr>
                <w:sz w:val="20"/>
                <w:szCs w:val="20"/>
                <w:color w:val="auto"/>
              </w:rPr>
            </w:pPr>
            <w:r>
              <w:rPr>
                <w:rFonts w:ascii="Arial" w:cs="Arial" w:eastAsia="Arial" w:hAnsi="Arial"/>
                <w:sz w:val="12"/>
                <w:szCs w:val="12"/>
                <w:color w:val="auto"/>
              </w:rPr>
              <w:t>Accrued other liabilities</w:t>
            </w:r>
          </w:p>
        </w:tc>
        <w:tc>
          <w:tcPr>
            <w:tcW w:w="50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720" w:type="dxa"/>
            <w:vAlign w:val="bottom"/>
          </w:tcPr>
          <w:p>
            <w:pPr>
              <w:jc w:val="right"/>
              <w:spacing w:after="0"/>
              <w:rPr>
                <w:sz w:val="20"/>
                <w:szCs w:val="20"/>
                <w:color w:val="auto"/>
              </w:rPr>
            </w:pPr>
            <w:r>
              <w:rPr>
                <w:rFonts w:ascii="Arial" w:cs="Arial" w:eastAsia="Arial" w:hAnsi="Arial"/>
                <w:sz w:val="12"/>
                <w:szCs w:val="12"/>
                <w:color w:val="auto"/>
              </w:rPr>
              <w:t>30</w:t>
            </w:r>
          </w:p>
        </w:tc>
        <w:tc>
          <w:tcPr>
            <w:tcW w:w="240" w:type="dxa"/>
            <w:vAlign w:val="bottom"/>
          </w:tcPr>
          <w:p>
            <w:pPr>
              <w:spacing w:after="0"/>
              <w:rPr>
                <w:sz w:val="13"/>
                <w:szCs w:val="13"/>
                <w:color w:val="auto"/>
              </w:rPr>
            </w:pPr>
          </w:p>
        </w:tc>
        <w:tc>
          <w:tcPr>
            <w:tcW w:w="360" w:type="dxa"/>
            <w:vAlign w:val="bottom"/>
          </w:tcPr>
          <w:p>
            <w:pPr>
              <w:jc w:val="right"/>
              <w:ind w:right="250"/>
              <w:spacing w:after="0"/>
              <w:rPr>
                <w:sz w:val="20"/>
                <w:szCs w:val="20"/>
                <w:color w:val="auto"/>
              </w:rPr>
            </w:pPr>
            <w:r>
              <w:rPr>
                <w:rFonts w:ascii="Arial" w:cs="Arial" w:eastAsia="Arial" w:hAnsi="Arial"/>
                <w:sz w:val="10"/>
                <w:szCs w:val="10"/>
                <w:color w:val="auto"/>
                <w:w w:val="71"/>
              </w:rPr>
              <w:t>$</w:t>
            </w:r>
          </w:p>
        </w:tc>
        <w:tc>
          <w:tcPr>
            <w:tcW w:w="1700" w:type="dxa"/>
            <w:vAlign w:val="bottom"/>
          </w:tcPr>
          <w:p>
            <w:pPr>
              <w:jc w:val="right"/>
              <w:spacing w:after="0"/>
              <w:rPr>
                <w:sz w:val="20"/>
                <w:szCs w:val="20"/>
                <w:color w:val="auto"/>
              </w:rPr>
            </w:pPr>
            <w:r>
              <w:rPr>
                <w:rFonts w:ascii="Arial" w:cs="Arial" w:eastAsia="Arial" w:hAnsi="Arial"/>
                <w:sz w:val="12"/>
                <w:szCs w:val="12"/>
                <w:color w:val="auto"/>
              </w:rPr>
              <w:t>9</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shd w:val="clear" w:color="auto" w:fill="CFF0FC"/>
          </w:tcPr>
          <w:p>
            <w:pPr>
              <w:ind w:left="140"/>
              <w:spacing w:after="0"/>
              <w:rPr>
                <w:sz w:val="20"/>
                <w:szCs w:val="20"/>
                <w:color w:val="auto"/>
              </w:rPr>
            </w:pPr>
            <w:r>
              <w:rPr>
                <w:rFonts w:ascii="Arial" w:cs="Arial" w:eastAsia="Arial" w:hAnsi="Arial"/>
                <w:sz w:val="12"/>
                <w:szCs w:val="12"/>
                <w:color w:val="auto"/>
              </w:rPr>
              <w:t>Dividends payable</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111,265</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107,078</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Pr>
          <w:p>
            <w:pPr>
              <w:ind w:left="140"/>
              <w:spacing w:after="0"/>
              <w:rPr>
                <w:sz w:val="20"/>
                <w:szCs w:val="20"/>
                <w:color w:val="auto"/>
              </w:rPr>
            </w:pPr>
            <w:r>
              <w:rPr>
                <w:rFonts w:ascii="Arial" w:cs="Arial" w:eastAsia="Arial" w:hAnsi="Arial"/>
                <w:sz w:val="12"/>
                <w:szCs w:val="12"/>
                <w:color w:val="auto"/>
              </w:rPr>
              <w:t>Cash distributions and losses in excess of investments in consolidated subsidiaries</w:t>
            </w: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720" w:type="dxa"/>
            <w:vAlign w:val="bottom"/>
          </w:tcPr>
          <w:p>
            <w:pPr>
              <w:jc w:val="right"/>
              <w:spacing w:after="0"/>
              <w:rPr>
                <w:sz w:val="20"/>
                <w:szCs w:val="20"/>
                <w:color w:val="auto"/>
              </w:rPr>
            </w:pPr>
            <w:r>
              <w:rPr>
                <w:rFonts w:ascii="Arial" w:cs="Arial" w:eastAsia="Arial" w:hAnsi="Arial"/>
                <w:sz w:val="12"/>
                <w:szCs w:val="12"/>
                <w:color w:val="auto"/>
              </w:rPr>
              <w:t>1,388,036</w:t>
            </w: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1,120,120</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shd w:val="clear" w:color="auto" w:fill="CFF0FC"/>
          </w:tcPr>
          <w:p>
            <w:pPr>
              <w:ind w:left="140"/>
              <w:spacing w:after="0"/>
              <w:rPr>
                <w:sz w:val="20"/>
                <w:szCs w:val="20"/>
                <w:color w:val="auto"/>
              </w:rPr>
            </w:pPr>
            <w:r>
              <w:rPr>
                <w:rFonts w:ascii="Arial" w:cs="Arial" w:eastAsia="Arial" w:hAnsi="Arial"/>
                <w:sz w:val="12"/>
                <w:szCs w:val="12"/>
                <w:color w:val="auto"/>
              </w:rPr>
              <w:t>Contingent consideration</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Borders>
              <w:bottom w:val="single" w:sz="8" w:color="CFF0FC"/>
            </w:tcBorders>
          </w:tcPr>
          <w:p>
            <w:pPr>
              <w:ind w:left="140"/>
              <w:spacing w:after="0"/>
              <w:rPr>
                <w:sz w:val="20"/>
                <w:szCs w:val="20"/>
                <w:color w:val="auto"/>
              </w:rPr>
            </w:pPr>
            <w:r>
              <w:rPr>
                <w:rFonts w:ascii="Arial" w:cs="Arial" w:eastAsia="Arial" w:hAnsi="Arial"/>
                <w:sz w:val="12"/>
                <w:szCs w:val="12"/>
                <w:color w:val="auto"/>
              </w:rPr>
              <w:t>Notes and other debt, net</w:t>
            </w:r>
          </w:p>
        </w:tc>
        <w:tc>
          <w:tcPr>
            <w:tcW w:w="16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4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20" w:type="dxa"/>
            <w:vAlign w:val="bottom"/>
            <w:shd w:val="clear" w:color="auto" w:fill="CFF0FC"/>
          </w:tcPr>
          <w:p>
            <w:pPr>
              <w:ind w:left="300"/>
              <w:spacing w:after="0"/>
              <w:rPr>
                <w:sz w:val="20"/>
                <w:szCs w:val="20"/>
                <w:color w:val="auto"/>
              </w:rPr>
            </w:pPr>
            <w:r>
              <w:rPr>
                <w:rFonts w:ascii="Arial" w:cs="Arial" w:eastAsia="Arial" w:hAnsi="Arial"/>
                <w:sz w:val="12"/>
                <w:szCs w:val="12"/>
                <w:color w:val="auto"/>
              </w:rPr>
              <w:t>Total liabilities</w:t>
            </w:r>
          </w:p>
        </w:tc>
        <w:tc>
          <w:tcPr>
            <w:tcW w:w="160" w:type="dxa"/>
            <w:vAlign w:val="bottom"/>
            <w:shd w:val="clear" w:color="auto" w:fill="CFF0FC"/>
          </w:tcPr>
          <w:p>
            <w:pPr>
              <w:spacing w:after="0"/>
              <w:rPr>
                <w:sz w:val="12"/>
                <w:szCs w:val="12"/>
                <w:color w:val="auto"/>
              </w:rPr>
            </w:pPr>
          </w:p>
        </w:tc>
        <w:tc>
          <w:tcPr>
            <w:tcW w:w="340" w:type="dxa"/>
            <w:vAlign w:val="bottom"/>
            <w:tcBorders>
              <w:bottom w:val="single" w:sz="8" w:color="auto"/>
            </w:tcBorders>
            <w:shd w:val="clear" w:color="auto" w:fill="CFF0FC"/>
          </w:tcPr>
          <w:p>
            <w:pPr>
              <w:spacing w:after="0"/>
              <w:rPr>
                <w:sz w:val="12"/>
                <w:szCs w:val="12"/>
                <w:color w:val="auto"/>
              </w:rPr>
            </w:pPr>
          </w:p>
        </w:tc>
        <w:tc>
          <w:tcPr>
            <w:tcW w:w="1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1,499,331</w:t>
            </w:r>
          </w:p>
        </w:tc>
        <w:tc>
          <w:tcPr>
            <w:tcW w:w="240" w:type="dxa"/>
            <w:vAlign w:val="bottom"/>
            <w:shd w:val="clear" w:color="auto" w:fill="CFF0FC"/>
          </w:tcPr>
          <w:p>
            <w:pPr>
              <w:spacing w:after="0"/>
              <w:rPr>
                <w:sz w:val="12"/>
                <w:szCs w:val="12"/>
                <w:color w:val="auto"/>
              </w:rPr>
            </w:pPr>
          </w:p>
        </w:tc>
        <w:tc>
          <w:tcPr>
            <w:tcW w:w="360" w:type="dxa"/>
            <w:vAlign w:val="bottom"/>
            <w:tcBorders>
              <w:bottom w:val="single" w:sz="8" w:color="auto"/>
            </w:tcBorders>
            <w:shd w:val="clear" w:color="auto" w:fill="CFF0FC"/>
          </w:tcPr>
          <w:p>
            <w:pPr>
              <w:spacing w:after="0"/>
              <w:rPr>
                <w:sz w:val="12"/>
                <w:szCs w:val="12"/>
                <w:color w:val="auto"/>
              </w:rPr>
            </w:pPr>
          </w:p>
        </w:tc>
        <w:tc>
          <w:tcPr>
            <w:tcW w:w="1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1,227,207</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6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68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w w:val="96"/>
              </w:rPr>
              <w:t>Convertible Preferred Stock</w:t>
            </w:r>
            <w:r>
              <w:rPr>
                <w:rFonts w:ascii="Arial" w:cs="Arial" w:eastAsia="Arial" w:hAnsi="Arial"/>
                <w:sz w:val="12"/>
                <w:szCs w:val="12"/>
                <w:color w:val="auto"/>
                <w:w w:val="96"/>
              </w:rPr>
              <w:t>, Series A, $0.0001 par value, 88 shares authorized, issued and outstanding, $87,500 liquidation value</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86,508</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83,530</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6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68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Shareholders' Deficit:</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Pr>
          <w:p>
            <w:pPr>
              <w:ind w:left="140"/>
              <w:spacing w:after="0"/>
              <w:rPr>
                <w:sz w:val="20"/>
                <w:szCs w:val="20"/>
                <w:color w:val="auto"/>
              </w:rPr>
            </w:pPr>
            <w:r>
              <w:rPr>
                <w:rFonts w:ascii="Arial" w:cs="Arial" w:eastAsia="Arial" w:hAnsi="Arial"/>
                <w:sz w:val="12"/>
                <w:szCs w:val="12"/>
                <w:color w:val="auto"/>
              </w:rPr>
              <w:t>Preferred stock, $0.0001 par value, 50,000 shares authorized, no shares issued and outstanding</w:t>
            </w: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720" w:type="dxa"/>
            <w:vAlign w:val="bottom"/>
          </w:tcPr>
          <w:p>
            <w:pPr>
              <w:jc w:val="right"/>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6820" w:type="dxa"/>
            <w:vAlign w:val="bottom"/>
            <w:shd w:val="clear" w:color="auto" w:fill="CFF0FC"/>
          </w:tcPr>
          <w:p>
            <w:pPr>
              <w:ind w:left="140"/>
              <w:spacing w:after="0"/>
              <w:rPr>
                <w:sz w:val="20"/>
                <w:szCs w:val="20"/>
                <w:color w:val="auto"/>
              </w:rPr>
            </w:pPr>
            <w:r>
              <w:rPr>
                <w:rFonts w:ascii="Arial" w:cs="Arial" w:eastAsia="Arial" w:hAnsi="Arial"/>
                <w:sz w:val="12"/>
                <w:szCs w:val="12"/>
                <w:color w:val="auto"/>
                <w:w w:val="89"/>
              </w:rPr>
              <w:t>Common stock, $0.0001 par value, 500,000 shares authorized, issued and outstanding: 180,536 shares at December 31, 2018 and 174,852</w:t>
            </w: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7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360" w:type="dxa"/>
            <w:vAlign w:val="bottom"/>
            <w:shd w:val="clear" w:color="auto" w:fill="CFF0FC"/>
          </w:tcPr>
          <w:p>
            <w:pPr>
              <w:spacing w:after="0"/>
              <w:rPr>
                <w:sz w:val="12"/>
                <w:szCs w:val="12"/>
                <w:color w:val="auto"/>
              </w:rPr>
            </w:pPr>
          </w:p>
        </w:tc>
        <w:tc>
          <w:tcPr>
            <w:tcW w:w="17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shd w:val="clear" w:color="auto" w:fill="CFF0FC"/>
          </w:tcPr>
          <w:p>
            <w:pPr>
              <w:ind w:left="140"/>
              <w:spacing w:after="0"/>
              <w:rPr>
                <w:sz w:val="20"/>
                <w:szCs w:val="20"/>
                <w:color w:val="auto"/>
              </w:rPr>
            </w:pPr>
            <w:r>
              <w:rPr>
                <w:rFonts w:ascii="Arial" w:cs="Arial" w:eastAsia="Arial" w:hAnsi="Arial"/>
                <w:sz w:val="12"/>
                <w:szCs w:val="12"/>
                <w:color w:val="auto"/>
              </w:rPr>
              <w:t>at December 31, 2017</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18</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17</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Pr>
          <w:p>
            <w:pPr>
              <w:ind w:left="140"/>
              <w:spacing w:after="0"/>
              <w:rPr>
                <w:sz w:val="20"/>
                <w:szCs w:val="20"/>
                <w:color w:val="auto"/>
              </w:rPr>
            </w:pPr>
            <w:r>
              <w:rPr>
                <w:rFonts w:ascii="Arial" w:cs="Arial" w:eastAsia="Arial" w:hAnsi="Arial"/>
                <w:sz w:val="12"/>
                <w:szCs w:val="12"/>
                <w:color w:val="auto"/>
              </w:rPr>
              <w:t>Additional paid-in capital</w:t>
            </w: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720" w:type="dxa"/>
            <w:vAlign w:val="bottom"/>
          </w:tcPr>
          <w:p>
            <w:pPr>
              <w:jc w:val="right"/>
              <w:spacing w:after="0"/>
              <w:rPr>
                <w:sz w:val="20"/>
                <w:szCs w:val="20"/>
                <w:color w:val="auto"/>
              </w:rPr>
            </w:pPr>
            <w:r>
              <w:rPr>
                <w:rFonts w:ascii="Arial" w:cs="Arial" w:eastAsia="Arial" w:hAnsi="Arial"/>
                <w:sz w:val="12"/>
                <w:szCs w:val="12"/>
                <w:color w:val="auto"/>
              </w:rPr>
              <w:t>757,517</w:t>
            </w: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700" w:type="dxa"/>
            <w:vAlign w:val="bottom"/>
          </w:tcPr>
          <w:p>
            <w:pPr>
              <w:jc w:val="right"/>
              <w:spacing w:after="0"/>
              <w:rPr>
                <w:sz w:val="20"/>
                <w:szCs w:val="20"/>
                <w:color w:val="auto"/>
              </w:rPr>
            </w:pPr>
            <w:r>
              <w:rPr>
                <w:rFonts w:ascii="Arial" w:cs="Arial" w:eastAsia="Arial" w:hAnsi="Arial"/>
                <w:sz w:val="12"/>
                <w:szCs w:val="12"/>
                <w:color w:val="auto"/>
              </w:rPr>
              <w:t>644,328</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shd w:val="clear" w:color="auto" w:fill="CFF0FC"/>
          </w:tcPr>
          <w:p>
            <w:pPr>
              <w:ind w:left="140"/>
              <w:spacing w:after="0"/>
              <w:rPr>
                <w:sz w:val="20"/>
                <w:szCs w:val="20"/>
                <w:color w:val="auto"/>
              </w:rPr>
            </w:pPr>
            <w:r>
              <w:rPr>
                <w:rFonts w:ascii="Arial" w:cs="Arial" w:eastAsia="Arial" w:hAnsi="Arial"/>
                <w:sz w:val="12"/>
                <w:szCs w:val="12"/>
                <w:color w:val="auto"/>
              </w:rPr>
              <w:t>Accumulated other comprehensive income</w:t>
            </w:r>
          </w:p>
        </w:tc>
        <w:tc>
          <w:tcPr>
            <w:tcW w:w="1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30,105</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7,821</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20" w:type="dxa"/>
            <w:vAlign w:val="bottom"/>
          </w:tcPr>
          <w:p>
            <w:pPr>
              <w:ind w:left="140"/>
              <w:spacing w:after="0"/>
              <w:rPr>
                <w:sz w:val="20"/>
                <w:szCs w:val="20"/>
                <w:color w:val="auto"/>
              </w:rPr>
            </w:pPr>
            <w:r>
              <w:rPr>
                <w:rFonts w:ascii="Arial" w:cs="Arial" w:eastAsia="Arial" w:hAnsi="Arial"/>
                <w:sz w:val="12"/>
                <w:szCs w:val="12"/>
                <w:color w:val="auto"/>
              </w:rPr>
              <w:t>Distributions in excess of accumulated earnings</w:t>
            </w: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960" w:type="dxa"/>
            <w:vAlign w:val="bottom"/>
            <w:gridSpan w:val="2"/>
          </w:tcPr>
          <w:p>
            <w:pPr>
              <w:jc w:val="right"/>
              <w:ind w:right="200"/>
              <w:spacing w:after="0"/>
              <w:rPr>
                <w:sz w:val="20"/>
                <w:szCs w:val="20"/>
                <w:color w:val="auto"/>
              </w:rPr>
            </w:pPr>
            <w:r>
              <w:rPr>
                <w:rFonts w:ascii="Arial" w:cs="Arial" w:eastAsia="Arial" w:hAnsi="Arial"/>
                <w:sz w:val="12"/>
                <w:szCs w:val="12"/>
                <w:color w:val="auto"/>
              </w:rPr>
              <w:t>(2,373,218)</w:t>
            </w:r>
          </w:p>
        </w:tc>
        <w:tc>
          <w:tcPr>
            <w:tcW w:w="360" w:type="dxa"/>
            <w:vAlign w:val="bottom"/>
          </w:tcPr>
          <w:p>
            <w:pPr>
              <w:spacing w:after="0"/>
              <w:rPr>
                <w:sz w:val="13"/>
                <w:szCs w:val="13"/>
                <w:color w:val="auto"/>
              </w:rPr>
            </w:pPr>
          </w:p>
        </w:tc>
        <w:tc>
          <w:tcPr>
            <w:tcW w:w="1820" w:type="dxa"/>
            <w:vAlign w:val="bottom"/>
            <w:gridSpan w:val="2"/>
          </w:tcPr>
          <w:p>
            <w:pPr>
              <w:jc w:val="right"/>
              <w:ind w:right="80"/>
              <w:spacing w:after="0"/>
              <w:rPr>
                <w:sz w:val="20"/>
                <w:szCs w:val="20"/>
                <w:color w:val="auto"/>
              </w:rPr>
            </w:pPr>
            <w:r>
              <w:rPr>
                <w:rFonts w:ascii="Arial" w:cs="Arial" w:eastAsia="Arial" w:hAnsi="Arial"/>
                <w:sz w:val="12"/>
                <w:szCs w:val="12"/>
                <w:color w:val="auto"/>
              </w:rPr>
              <w:t>(1,960,715)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20" w:type="dxa"/>
            <w:vAlign w:val="bottom"/>
            <w:vMerge w:val="restart"/>
            <w:shd w:val="clear" w:color="auto" w:fill="CFF0FC"/>
          </w:tcPr>
          <w:p>
            <w:pPr>
              <w:ind w:left="300"/>
              <w:spacing w:after="0"/>
              <w:rPr>
                <w:sz w:val="20"/>
                <w:szCs w:val="20"/>
                <w:color w:val="auto"/>
              </w:rPr>
            </w:pPr>
            <w:r>
              <w:rPr>
                <w:rFonts w:ascii="Arial" w:cs="Arial" w:eastAsia="Arial" w:hAnsi="Arial"/>
                <w:sz w:val="12"/>
                <w:szCs w:val="12"/>
                <w:color w:val="auto"/>
              </w:rPr>
              <w:t>Total Uniti shareholders' deficit</w:t>
            </w:r>
          </w:p>
        </w:tc>
        <w:tc>
          <w:tcPr>
            <w:tcW w:w="1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6820" w:type="dxa"/>
            <w:vAlign w:val="bottom"/>
            <w:vMerge w:val="continue"/>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196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(1,585,578)</w:t>
            </w:r>
          </w:p>
        </w:tc>
        <w:tc>
          <w:tcPr>
            <w:tcW w:w="360" w:type="dxa"/>
            <w:vAlign w:val="bottom"/>
            <w:shd w:val="clear" w:color="auto" w:fill="CFF0FC"/>
          </w:tcPr>
          <w:p>
            <w:pPr>
              <w:spacing w:after="0"/>
              <w:rPr>
                <w:sz w:val="12"/>
                <w:szCs w:val="12"/>
                <w:color w:val="auto"/>
              </w:rPr>
            </w:pPr>
          </w:p>
        </w:tc>
        <w:tc>
          <w:tcPr>
            <w:tcW w:w="18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(1,308,549)</w:t>
            </w:r>
          </w:p>
        </w:tc>
        <w:tc>
          <w:tcPr>
            <w:tcW w:w="0" w:type="dxa"/>
            <w:vAlign w:val="bottom"/>
          </w:tcPr>
          <w:p>
            <w:pPr>
              <w:spacing w:after="0"/>
              <w:rPr>
                <w:sz w:val="1"/>
                <w:szCs w:val="1"/>
                <w:color w:val="auto"/>
              </w:rPr>
            </w:pPr>
          </w:p>
        </w:tc>
      </w:tr>
      <w:tr>
        <w:trPr>
          <w:trHeight w:val="20"/>
        </w:trPr>
        <w:tc>
          <w:tcPr>
            <w:tcW w:w="68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Total Liabilities, Convertible Preferred Stock, and Shareholders' Deficit</w:t>
            </w: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840" w:type="dxa"/>
            <w:vAlign w:val="bottom"/>
            <w:gridSpan w:val="2"/>
            <w:vMerge w:val="continue"/>
          </w:tcPr>
          <w:p>
            <w:pPr>
              <w:spacing w:after="0"/>
              <w:rPr>
                <w:sz w:val="12"/>
                <w:szCs w:val="12"/>
                <w:color w:val="auto"/>
              </w:rPr>
            </w:pPr>
          </w:p>
        </w:tc>
        <w:tc>
          <w:tcPr>
            <w:tcW w:w="50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720" w:type="dxa"/>
            <w:vAlign w:val="bottom"/>
          </w:tcPr>
          <w:p>
            <w:pPr>
              <w:jc w:val="right"/>
              <w:spacing w:after="0"/>
              <w:rPr>
                <w:sz w:val="20"/>
                <w:szCs w:val="20"/>
                <w:color w:val="auto"/>
              </w:rPr>
            </w:pPr>
            <w:r>
              <w:rPr>
                <w:rFonts w:ascii="Arial" w:cs="Arial" w:eastAsia="Arial" w:hAnsi="Arial"/>
                <w:sz w:val="12"/>
                <w:szCs w:val="12"/>
                <w:color w:val="auto"/>
              </w:rPr>
              <w:t>261</w:t>
            </w:r>
          </w:p>
        </w:tc>
        <w:tc>
          <w:tcPr>
            <w:tcW w:w="240" w:type="dxa"/>
            <w:vAlign w:val="bottom"/>
          </w:tcPr>
          <w:p>
            <w:pPr>
              <w:spacing w:after="0"/>
              <w:rPr>
                <w:sz w:val="12"/>
                <w:szCs w:val="12"/>
                <w:color w:val="auto"/>
              </w:rPr>
            </w:pPr>
          </w:p>
        </w:tc>
        <w:tc>
          <w:tcPr>
            <w:tcW w:w="360" w:type="dxa"/>
            <w:vAlign w:val="bottom"/>
          </w:tcPr>
          <w:p>
            <w:pPr>
              <w:jc w:val="right"/>
              <w:ind w:right="250"/>
              <w:spacing w:after="0"/>
              <w:rPr>
                <w:sz w:val="20"/>
                <w:szCs w:val="20"/>
                <w:color w:val="auto"/>
              </w:rPr>
            </w:pPr>
            <w:r>
              <w:rPr>
                <w:rFonts w:ascii="Arial" w:cs="Arial" w:eastAsia="Arial" w:hAnsi="Arial"/>
                <w:sz w:val="10"/>
                <w:szCs w:val="10"/>
                <w:color w:val="auto"/>
                <w:w w:val="71"/>
              </w:rPr>
              <w:t>$</w:t>
            </w:r>
          </w:p>
        </w:tc>
        <w:tc>
          <w:tcPr>
            <w:tcW w:w="1700" w:type="dxa"/>
            <w:vAlign w:val="bottom"/>
          </w:tcPr>
          <w:p>
            <w:pPr>
              <w:jc w:val="right"/>
              <w:spacing w:after="0"/>
              <w:rPr>
                <w:sz w:val="20"/>
                <w:szCs w:val="20"/>
                <w:color w:val="auto"/>
              </w:rPr>
            </w:pPr>
            <w:r>
              <w:rPr>
                <w:rFonts w:ascii="Arial" w:cs="Arial" w:eastAsia="Arial" w:hAnsi="Arial"/>
                <w:sz w:val="12"/>
                <w:szCs w:val="12"/>
                <w:color w:val="auto"/>
              </w:rPr>
              <w:t>2,188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8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7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See notes to Consolidated Financial Statements of Uniti Group Inc. included in Financial Statements and Supplementary Data.</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18" w:name="page119"/>
    <w:bookmarkEnd w:id="118"/>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64"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Schedule I – Condensed Financial Information of</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The Registrant (Parent Company)</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Condensed Statements of Comprehensive Income</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5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74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0"/>
                <w:szCs w:val="10"/>
                <w:b w:val="1"/>
                <w:bCs w:val="1"/>
                <w:color w:val="auto"/>
                <w:w w:val="96"/>
              </w:rPr>
              <w:t>Year Ended December 31,</w:t>
            </w:r>
          </w:p>
        </w:tc>
        <w:tc>
          <w:tcPr>
            <w:tcW w:w="42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5820" w:type="dxa"/>
            <w:vAlign w:val="bottom"/>
            <w:gridSpan w:val="2"/>
          </w:tcPr>
          <w:p>
            <w:pPr>
              <w:spacing w:after="0"/>
              <w:rPr>
                <w:sz w:val="20"/>
                <w:szCs w:val="20"/>
                <w:color w:val="auto"/>
              </w:rPr>
            </w:pPr>
            <w:r>
              <w:rPr>
                <w:rFonts w:ascii="Arial" w:cs="Arial" w:eastAsia="Arial" w:hAnsi="Arial"/>
                <w:sz w:val="10"/>
                <w:szCs w:val="10"/>
                <w:color w:val="auto"/>
              </w:rPr>
              <w:t>(Thousands)</w:t>
            </w:r>
          </w:p>
        </w:tc>
        <w:tc>
          <w:tcPr>
            <w:tcW w:w="400" w:type="dxa"/>
            <w:vAlign w:val="bottom"/>
          </w:tcPr>
          <w:p>
            <w:pPr>
              <w:spacing w:after="0"/>
              <w:rPr>
                <w:sz w:val="13"/>
                <w:szCs w:val="13"/>
                <w:color w:val="auto"/>
              </w:rPr>
            </w:pPr>
          </w:p>
        </w:tc>
        <w:tc>
          <w:tcPr>
            <w:tcW w:w="1300" w:type="dxa"/>
            <w:vAlign w:val="bottom"/>
          </w:tcPr>
          <w:p>
            <w:pPr>
              <w:jc w:val="right"/>
              <w:ind w:right="701"/>
              <w:spacing w:after="0"/>
              <w:rPr>
                <w:sz w:val="20"/>
                <w:szCs w:val="20"/>
                <w:color w:val="auto"/>
              </w:rPr>
            </w:pPr>
            <w:r>
              <w:rPr>
                <w:rFonts w:ascii="Arial" w:cs="Arial" w:eastAsia="Arial" w:hAnsi="Arial"/>
                <w:sz w:val="10"/>
                <w:szCs w:val="10"/>
                <w:b w:val="1"/>
                <w:bCs w:val="1"/>
                <w:color w:val="auto"/>
              </w:rPr>
              <w:t>2018</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jc w:val="right"/>
              <w:ind w:right="702"/>
              <w:spacing w:after="0"/>
              <w:rPr>
                <w:sz w:val="20"/>
                <w:szCs w:val="20"/>
                <w:color w:val="auto"/>
              </w:rPr>
            </w:pPr>
            <w:r>
              <w:rPr>
                <w:rFonts w:ascii="Arial" w:cs="Arial" w:eastAsia="Arial" w:hAnsi="Arial"/>
                <w:sz w:val="10"/>
                <w:szCs w:val="10"/>
                <w:b w:val="1"/>
                <w:bCs w:val="1"/>
                <w:color w:val="auto"/>
              </w:rPr>
              <w:t>2017</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jc w:val="right"/>
              <w:ind w:right="701"/>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7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Costs and Expenses:</w:t>
            </w:r>
          </w:p>
        </w:tc>
        <w:tc>
          <w:tcPr>
            <w:tcW w:w="1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13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15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420" w:type="dxa"/>
            <w:vAlign w:val="bottom"/>
            <w:tcBorders>
              <w:top w:val="single" w:sz="8" w:color="auto"/>
            </w:tcBorders>
            <w:shd w:val="clear" w:color="auto" w:fill="CFF0FC"/>
          </w:tcPr>
          <w:p>
            <w:pPr>
              <w:spacing w:after="0"/>
              <w:rPr>
                <w:sz w:val="12"/>
                <w:szCs w:val="12"/>
                <w:color w:val="auto"/>
              </w:rPr>
            </w:pPr>
          </w:p>
        </w:tc>
        <w:tc>
          <w:tcPr>
            <w:tcW w:w="128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820" w:type="dxa"/>
            <w:vAlign w:val="bottom"/>
            <w:gridSpan w:val="2"/>
          </w:tcPr>
          <w:p>
            <w:pPr>
              <w:ind w:left="160"/>
              <w:spacing w:after="0"/>
              <w:rPr>
                <w:sz w:val="20"/>
                <w:szCs w:val="20"/>
                <w:color w:val="auto"/>
              </w:rPr>
            </w:pPr>
            <w:r>
              <w:rPr>
                <w:rFonts w:ascii="Arial" w:cs="Arial" w:eastAsia="Arial" w:hAnsi="Arial"/>
                <w:sz w:val="12"/>
                <w:szCs w:val="12"/>
                <w:color w:val="auto"/>
              </w:rPr>
              <w:t>Interest expense</w:t>
            </w:r>
          </w:p>
        </w:tc>
        <w:tc>
          <w:tcPr>
            <w:tcW w:w="400" w:type="dxa"/>
            <w:vAlign w:val="bottom"/>
          </w:tcPr>
          <w:p>
            <w:pPr>
              <w:jc w:val="right"/>
              <w:ind w:right="290"/>
              <w:spacing w:after="0"/>
              <w:rPr>
                <w:sz w:val="20"/>
                <w:szCs w:val="20"/>
                <w:color w:val="auto"/>
              </w:rPr>
            </w:pPr>
            <w:r>
              <w:rPr>
                <w:rFonts w:ascii="Arial" w:cs="Arial" w:eastAsia="Arial" w:hAnsi="Arial"/>
                <w:sz w:val="10"/>
                <w:szCs w:val="10"/>
                <w:color w:val="auto"/>
                <w:w w:val="71"/>
              </w:rPr>
              <w:t>$</w:t>
            </w: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280" w:type="dxa"/>
            <w:vAlign w:val="bottom"/>
            <w:gridSpan w:val="2"/>
          </w:tcPr>
          <w:p>
            <w:pPr>
              <w:jc w:val="right"/>
              <w:ind w:right="120"/>
              <w:spacing w:after="0"/>
              <w:rPr>
                <w:sz w:val="20"/>
                <w:szCs w:val="20"/>
                <w:color w:val="auto"/>
              </w:rPr>
            </w:pPr>
            <w:r>
              <w:rPr>
                <w:rFonts w:ascii="Arial" w:cs="Arial" w:eastAsia="Arial" w:hAnsi="Arial"/>
                <w:sz w:val="12"/>
                <w:szCs w:val="12"/>
                <w:color w:val="auto"/>
              </w:rPr>
              <w:t>$</w:t>
            </w:r>
          </w:p>
        </w:tc>
        <w:tc>
          <w:tcPr>
            <w:tcW w:w="1520" w:type="dxa"/>
            <w:vAlign w:val="bottom"/>
          </w:tcPr>
          <w:p>
            <w:pPr>
              <w:jc w:val="right"/>
              <w:spacing w:after="0"/>
              <w:rPr>
                <w:sz w:val="20"/>
                <w:szCs w:val="20"/>
                <w:color w:val="auto"/>
              </w:rPr>
            </w:pPr>
            <w:r>
              <w:rPr>
                <w:rFonts w:ascii="Arial" w:cs="Arial" w:eastAsia="Arial" w:hAnsi="Arial"/>
                <w:sz w:val="12"/>
                <w:szCs w:val="12"/>
                <w:color w:val="auto"/>
              </w:rPr>
              <w:t>119,702</w:t>
            </w:r>
          </w:p>
        </w:tc>
        <w:tc>
          <w:tcPr>
            <w:tcW w:w="220" w:type="dxa"/>
            <w:vAlign w:val="bottom"/>
          </w:tcPr>
          <w:p>
            <w:pPr>
              <w:spacing w:after="0"/>
              <w:rPr>
                <w:sz w:val="13"/>
                <w:szCs w:val="13"/>
                <w:color w:val="auto"/>
              </w:rPr>
            </w:pPr>
          </w:p>
        </w:tc>
        <w:tc>
          <w:tcPr>
            <w:tcW w:w="420" w:type="dxa"/>
            <w:vAlign w:val="bottom"/>
          </w:tcPr>
          <w:p>
            <w:pPr>
              <w:jc w:val="right"/>
              <w:ind w:right="310"/>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rPr>
                <w:sz w:val="20"/>
                <w:szCs w:val="20"/>
                <w:color w:val="auto"/>
              </w:rPr>
            </w:pPr>
            <w:r>
              <w:rPr>
                <w:rFonts w:ascii="Arial" w:cs="Arial" w:eastAsia="Arial" w:hAnsi="Arial"/>
                <w:sz w:val="12"/>
                <w:szCs w:val="12"/>
                <w:color w:val="auto"/>
              </w:rPr>
              <w:t>267,959</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82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General and administrative expense</w:t>
            </w: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40</w:t>
            </w:r>
          </w:p>
        </w:tc>
        <w:tc>
          <w:tcPr>
            <w:tcW w:w="2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4,829</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820" w:type="dxa"/>
            <w:vAlign w:val="bottom"/>
            <w:gridSpan w:val="2"/>
          </w:tcPr>
          <w:p>
            <w:pPr>
              <w:ind w:left="160"/>
              <w:spacing w:after="0"/>
              <w:rPr>
                <w:sz w:val="20"/>
                <w:szCs w:val="20"/>
                <w:color w:val="auto"/>
              </w:rPr>
            </w:pPr>
            <w:r>
              <w:rPr>
                <w:rFonts w:ascii="Arial" w:cs="Arial" w:eastAsia="Arial" w:hAnsi="Arial"/>
                <w:sz w:val="12"/>
                <w:szCs w:val="12"/>
                <w:color w:val="auto"/>
              </w:rPr>
              <w:t>Transaction related costs</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3,945</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5820" w:type="dxa"/>
            <w:vAlign w:val="bottom"/>
            <w:gridSpan w:val="2"/>
            <w:shd w:val="clear" w:color="auto" w:fill="CFF0FC"/>
          </w:tcPr>
          <w:p>
            <w:pPr>
              <w:ind w:left="160"/>
              <w:spacing w:after="0"/>
              <w:rPr>
                <w:sz w:val="20"/>
                <w:szCs w:val="20"/>
                <w:color w:val="auto"/>
              </w:rPr>
            </w:pPr>
            <w:r>
              <w:rPr>
                <w:rFonts w:ascii="Arial" w:cs="Arial" w:eastAsia="Arial" w:hAnsi="Arial"/>
                <w:sz w:val="12"/>
                <w:szCs w:val="12"/>
                <w:color w:val="auto"/>
              </w:rPr>
              <w:t>Other expense</w:t>
            </w:r>
          </w:p>
        </w:tc>
        <w:tc>
          <w:tcPr>
            <w:tcW w:w="400" w:type="dxa"/>
            <w:vAlign w:val="bottom"/>
            <w:tcBorders>
              <w:bottom w:val="single" w:sz="8" w:color="auto"/>
            </w:tcBorders>
            <w:shd w:val="clear" w:color="auto" w:fill="CFF0FC"/>
          </w:tcPr>
          <w:p>
            <w:pPr>
              <w:spacing w:after="0"/>
              <w:rPr>
                <w:sz w:val="13"/>
                <w:szCs w:val="13"/>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tcBorders>
              <w:bottom w:val="single" w:sz="8" w:color="auto"/>
            </w:tcBorders>
            <w:shd w:val="clear" w:color="auto" w:fill="CFF0FC"/>
          </w:tcPr>
          <w:p>
            <w:pPr>
              <w:spacing w:after="0"/>
              <w:rPr>
                <w:sz w:val="13"/>
                <w:szCs w:val="13"/>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9,253</w:t>
            </w:r>
          </w:p>
        </w:tc>
        <w:tc>
          <w:tcPr>
            <w:tcW w:w="220" w:type="dxa"/>
            <w:vAlign w:val="bottom"/>
            <w:shd w:val="clear" w:color="auto" w:fill="CFF0FC"/>
          </w:tcPr>
          <w:p>
            <w:pPr>
              <w:spacing w:after="0"/>
              <w:rPr>
                <w:sz w:val="13"/>
                <w:szCs w:val="13"/>
                <w:color w:val="auto"/>
              </w:rPr>
            </w:pPr>
          </w:p>
        </w:tc>
        <w:tc>
          <w:tcPr>
            <w:tcW w:w="420" w:type="dxa"/>
            <w:vAlign w:val="bottom"/>
            <w:tcBorders>
              <w:bottom w:val="single" w:sz="8" w:color="auto"/>
            </w:tcBorders>
            <w:shd w:val="clear" w:color="auto" w:fill="CFF0FC"/>
          </w:tcPr>
          <w:p>
            <w:pPr>
              <w:spacing w:after="0"/>
              <w:rPr>
                <w:sz w:val="13"/>
                <w:szCs w:val="13"/>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820" w:type="dxa"/>
            <w:vAlign w:val="bottom"/>
            <w:tcBorders>
              <w:bottom w:val="single" w:sz="8" w:color="CFF0FC"/>
            </w:tcBorders>
            <w:gridSpan w:val="2"/>
          </w:tcPr>
          <w:p>
            <w:pPr>
              <w:spacing w:after="0"/>
              <w:rPr>
                <w:sz w:val="20"/>
                <w:szCs w:val="20"/>
                <w:color w:val="auto"/>
              </w:rPr>
            </w:pPr>
            <w:r>
              <w:rPr>
                <w:rFonts w:ascii="Arial" w:cs="Arial" w:eastAsia="Arial" w:hAnsi="Arial"/>
                <w:sz w:val="12"/>
                <w:szCs w:val="12"/>
                <w:color w:val="auto"/>
              </w:rPr>
              <w:t>Total costs and expenses</w:t>
            </w:r>
          </w:p>
        </w:tc>
        <w:tc>
          <w:tcPr>
            <w:tcW w:w="40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22</w:t>
            </w:r>
          </w:p>
        </w:tc>
        <w:tc>
          <w:tcPr>
            <w:tcW w:w="120" w:type="dxa"/>
            <w:vAlign w:val="bottom"/>
            <w:tcBorders>
              <w:bottom w:val="single" w:sz="8" w:color="CFF0FC"/>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128,995</w:t>
            </w:r>
          </w:p>
        </w:tc>
        <w:tc>
          <w:tcPr>
            <w:tcW w:w="220" w:type="dxa"/>
            <w:vAlign w:val="bottom"/>
            <w:tcBorders>
              <w:bottom w:val="single" w:sz="8" w:color="CFF0FC"/>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276,733</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820" w:type="dxa"/>
            <w:vAlign w:val="bottom"/>
            <w:gridSpan w:val="2"/>
            <w:shd w:val="clear" w:color="auto" w:fill="CFF0FC"/>
          </w:tcPr>
          <w:p>
            <w:pPr>
              <w:spacing w:after="0"/>
              <w:rPr>
                <w:sz w:val="20"/>
                <w:szCs w:val="20"/>
                <w:color w:val="auto"/>
              </w:rPr>
            </w:pPr>
            <w:r>
              <w:rPr>
                <w:rFonts w:ascii="Arial" w:cs="Arial" w:eastAsia="Arial" w:hAnsi="Arial"/>
                <w:sz w:val="12"/>
                <w:szCs w:val="12"/>
                <w:b w:val="1"/>
                <w:bCs w:val="1"/>
                <w:color w:val="auto"/>
              </w:rPr>
              <w:t>Operating loss</w:t>
            </w:r>
          </w:p>
        </w:tc>
        <w:tc>
          <w:tcPr>
            <w:tcW w:w="400" w:type="dxa"/>
            <w:vAlign w:val="bottom"/>
            <w:shd w:val="clear" w:color="auto" w:fill="CFF0FC"/>
          </w:tcPr>
          <w:p>
            <w:pPr>
              <w:spacing w:after="0"/>
              <w:rPr>
                <w:sz w:val="12"/>
                <w:szCs w:val="12"/>
                <w:color w:val="auto"/>
              </w:rPr>
            </w:pPr>
          </w:p>
        </w:tc>
        <w:tc>
          <w:tcPr>
            <w:tcW w:w="14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(22)</w:t>
            </w:r>
          </w:p>
        </w:tc>
        <w:tc>
          <w:tcPr>
            <w:tcW w:w="10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7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(128,995)</w:t>
            </w:r>
          </w:p>
        </w:tc>
        <w:tc>
          <w:tcPr>
            <w:tcW w:w="420" w:type="dxa"/>
            <w:vAlign w:val="bottom"/>
            <w:shd w:val="clear" w:color="auto" w:fill="CFF0FC"/>
          </w:tcPr>
          <w:p>
            <w:pPr>
              <w:spacing w:after="0"/>
              <w:rPr>
                <w:sz w:val="12"/>
                <w:szCs w:val="12"/>
                <w:color w:val="auto"/>
              </w:rPr>
            </w:pPr>
          </w:p>
        </w:tc>
        <w:tc>
          <w:tcPr>
            <w:tcW w:w="1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(276,733)</w:t>
            </w:r>
          </w:p>
        </w:tc>
        <w:tc>
          <w:tcPr>
            <w:tcW w:w="0" w:type="dxa"/>
            <w:vAlign w:val="bottom"/>
          </w:tcPr>
          <w:p>
            <w:pPr>
              <w:spacing w:after="0"/>
              <w:rPr>
                <w:sz w:val="1"/>
                <w:szCs w:val="1"/>
                <w:color w:val="auto"/>
              </w:rPr>
            </w:pPr>
          </w:p>
        </w:tc>
      </w:tr>
      <w:tr>
        <w:trPr>
          <w:trHeight w:val="153"/>
        </w:trPr>
        <w:tc>
          <w:tcPr>
            <w:tcW w:w="5820" w:type="dxa"/>
            <w:vAlign w:val="bottom"/>
            <w:tcBorders>
              <w:bottom w:val="single" w:sz="8" w:color="CFF0FC"/>
            </w:tcBorders>
            <w:gridSpan w:val="2"/>
          </w:tcPr>
          <w:p>
            <w:pPr>
              <w:spacing w:after="0"/>
              <w:rPr>
                <w:sz w:val="20"/>
                <w:szCs w:val="20"/>
                <w:color w:val="auto"/>
              </w:rPr>
            </w:pPr>
            <w:r>
              <w:rPr>
                <w:rFonts w:ascii="Arial" w:cs="Arial" w:eastAsia="Arial" w:hAnsi="Arial"/>
                <w:sz w:val="12"/>
                <w:szCs w:val="12"/>
                <w:color w:val="auto"/>
              </w:rPr>
              <w:t>Earnings from consolidated subsidiaries</w:t>
            </w:r>
          </w:p>
        </w:tc>
        <w:tc>
          <w:tcPr>
            <w:tcW w:w="400" w:type="dxa"/>
            <w:vAlign w:val="bottom"/>
            <w:tcBorders>
              <w:bottom w:val="single" w:sz="8" w:color="auto"/>
            </w:tcBorders>
          </w:tcPr>
          <w:p>
            <w:pPr>
              <w:spacing w:after="0"/>
              <w:rPr>
                <w:sz w:val="13"/>
                <w:szCs w:val="13"/>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16,209</w:t>
            </w:r>
          </w:p>
        </w:tc>
        <w:tc>
          <w:tcPr>
            <w:tcW w:w="12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119,556</w:t>
            </w:r>
          </w:p>
        </w:tc>
        <w:tc>
          <w:tcPr>
            <w:tcW w:w="220" w:type="dxa"/>
            <w:vAlign w:val="bottom"/>
            <w:tcBorders>
              <w:bottom w:val="single" w:sz="8" w:color="CFF0FC"/>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276,521</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82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Income (loss) before income taxes</w:t>
            </w:r>
          </w:p>
        </w:tc>
        <w:tc>
          <w:tcPr>
            <w:tcW w:w="400" w:type="dxa"/>
            <w:vAlign w:val="bottom"/>
            <w:shd w:val="clear" w:color="auto" w:fill="CFF0FC"/>
          </w:tcPr>
          <w:p>
            <w:pPr>
              <w:spacing w:after="0"/>
              <w:rPr>
                <w:sz w:val="12"/>
                <w:szCs w:val="12"/>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16,187</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7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(9,439)</w:t>
            </w:r>
          </w:p>
        </w:tc>
        <w:tc>
          <w:tcPr>
            <w:tcW w:w="420" w:type="dxa"/>
            <w:vAlign w:val="bottom"/>
            <w:shd w:val="clear" w:color="auto" w:fill="CFF0FC"/>
          </w:tcPr>
          <w:p>
            <w:pPr>
              <w:spacing w:after="0"/>
              <w:rPr>
                <w:sz w:val="12"/>
                <w:szCs w:val="12"/>
                <w:color w:val="auto"/>
              </w:rPr>
            </w:pPr>
          </w:p>
        </w:tc>
        <w:tc>
          <w:tcPr>
            <w:tcW w:w="1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153"/>
        </w:trPr>
        <w:tc>
          <w:tcPr>
            <w:tcW w:w="5820" w:type="dxa"/>
            <w:vAlign w:val="bottom"/>
            <w:gridSpan w:val="2"/>
          </w:tcPr>
          <w:p>
            <w:pPr>
              <w:spacing w:after="0"/>
              <w:rPr>
                <w:sz w:val="20"/>
                <w:szCs w:val="20"/>
                <w:color w:val="auto"/>
              </w:rPr>
            </w:pPr>
            <w:r>
              <w:rPr>
                <w:rFonts w:ascii="Arial" w:cs="Arial" w:eastAsia="Arial" w:hAnsi="Arial"/>
                <w:sz w:val="12"/>
                <w:szCs w:val="12"/>
                <w:color w:val="auto"/>
              </w:rPr>
              <w:t>Net income (loss)</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16,187</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2"/>
                <w:szCs w:val="12"/>
                <w:color w:val="auto"/>
              </w:rPr>
              <w:t>(9,439)</w:t>
            </w:r>
          </w:p>
        </w:tc>
        <w:tc>
          <w:tcPr>
            <w:tcW w:w="420" w:type="dxa"/>
            <w:vAlign w:val="bottom"/>
          </w:tcPr>
          <w:p>
            <w:pPr>
              <w:spacing w:after="0"/>
              <w:rPr>
                <w:sz w:val="13"/>
                <w:szCs w:val="1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2"/>
                <w:szCs w:val="12"/>
                <w:color w:val="auto"/>
              </w:rPr>
              <w:t>(212)</w:t>
            </w:r>
          </w:p>
        </w:tc>
        <w:tc>
          <w:tcPr>
            <w:tcW w:w="0" w:type="dxa"/>
            <w:vAlign w:val="bottom"/>
          </w:tcPr>
          <w:p>
            <w:pPr>
              <w:spacing w:after="0"/>
              <w:rPr>
                <w:sz w:val="1"/>
                <w:szCs w:val="1"/>
                <w:color w:val="auto"/>
              </w:rPr>
            </w:pPr>
          </w:p>
        </w:tc>
      </w:tr>
      <w:tr>
        <w:trPr>
          <w:trHeight w:val="20"/>
        </w:trPr>
        <w:tc>
          <w:tcPr>
            <w:tcW w:w="5820" w:type="dxa"/>
            <w:vAlign w:val="bottom"/>
            <w:gridSpan w:val="2"/>
            <w:vMerge w:val="restart"/>
            <w:shd w:val="clear" w:color="auto" w:fill="CFF0FC"/>
          </w:tcPr>
          <w:p>
            <w:pPr>
              <w:spacing w:after="0"/>
              <w:rPr>
                <w:sz w:val="20"/>
                <w:szCs w:val="20"/>
                <w:color w:val="auto"/>
              </w:rPr>
            </w:pPr>
            <w:r>
              <w:rPr>
                <w:rFonts w:ascii="Arial" w:cs="Arial" w:eastAsia="Arial" w:hAnsi="Arial"/>
                <w:sz w:val="12"/>
                <w:szCs w:val="12"/>
                <w:b w:val="1"/>
                <w:bCs w:val="1"/>
                <w:color w:val="auto"/>
              </w:rPr>
              <w:t>Comprehensive income (loss)</w:t>
            </w:r>
          </w:p>
        </w:tc>
        <w:tc>
          <w:tcPr>
            <w:tcW w:w="4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820" w:type="dxa"/>
            <w:vAlign w:val="bottom"/>
            <w:gridSpan w:val="2"/>
            <w:vMerge w:val="continue"/>
            <w:shd w:val="clear" w:color="auto" w:fill="CFF0FC"/>
          </w:tcPr>
          <w:p>
            <w:pPr>
              <w:spacing w:after="0"/>
              <w:rPr>
                <w:sz w:val="12"/>
                <w:szCs w:val="12"/>
                <w:color w:val="auto"/>
              </w:rPr>
            </w:pPr>
          </w:p>
        </w:tc>
        <w:tc>
          <w:tcPr>
            <w:tcW w:w="400" w:type="dxa"/>
            <w:vAlign w:val="bottom"/>
            <w:shd w:val="clear" w:color="auto" w:fill="CFF0FC"/>
          </w:tcPr>
          <w:p>
            <w:pPr>
              <w:jc w:val="right"/>
              <w:ind w:right="290"/>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38,472</w:t>
            </w:r>
          </w:p>
        </w:tc>
        <w:tc>
          <w:tcPr>
            <w:tcW w:w="120" w:type="dxa"/>
            <w:vAlign w:val="bottom"/>
            <w:shd w:val="clear" w:color="auto" w:fill="CFF0FC"/>
          </w:tcPr>
          <w:p>
            <w:pPr>
              <w:spacing w:after="0"/>
              <w:rPr>
                <w:sz w:val="12"/>
                <w:szCs w:val="12"/>
                <w:color w:val="auto"/>
              </w:rPr>
            </w:pPr>
          </w:p>
        </w:tc>
        <w:tc>
          <w:tcPr>
            <w:tcW w:w="280" w:type="dxa"/>
            <w:vAlign w:val="bottom"/>
            <w:gridSpan w:val="2"/>
            <w:shd w:val="clear" w:color="auto" w:fill="CFF0FC"/>
          </w:tcPr>
          <w:p>
            <w:pPr>
              <w:jc w:val="right"/>
              <w:ind w:right="120"/>
              <w:spacing w:after="0"/>
              <w:rPr>
                <w:sz w:val="20"/>
                <w:szCs w:val="20"/>
                <w:color w:val="auto"/>
              </w:rPr>
            </w:pPr>
            <w:r>
              <w:rPr>
                <w:rFonts w:ascii="Arial" w:cs="Arial" w:eastAsia="Arial" w:hAnsi="Arial"/>
                <w:sz w:val="12"/>
                <w:szCs w:val="12"/>
                <w:color w:val="auto"/>
              </w:rPr>
              <w:t>$</w:t>
            </w:r>
          </w:p>
        </w:tc>
        <w:tc>
          <w:tcPr>
            <w:tcW w:w="15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4,751</w:t>
            </w:r>
          </w:p>
        </w:tc>
        <w:tc>
          <w:tcPr>
            <w:tcW w:w="220" w:type="dxa"/>
            <w:vAlign w:val="bottom"/>
            <w:shd w:val="clear" w:color="auto" w:fill="CFF0FC"/>
          </w:tcPr>
          <w:p>
            <w:pPr>
              <w:spacing w:after="0"/>
              <w:rPr>
                <w:sz w:val="12"/>
                <w:szCs w:val="12"/>
                <w:color w:val="auto"/>
              </w:rPr>
            </w:pPr>
          </w:p>
        </w:tc>
        <w:tc>
          <w:tcPr>
            <w:tcW w:w="420" w:type="dxa"/>
            <w:vAlign w:val="bottom"/>
            <w:shd w:val="clear" w:color="auto" w:fill="CFF0FC"/>
          </w:tcPr>
          <w:p>
            <w:pPr>
              <w:jc w:val="right"/>
              <w:ind w:right="310"/>
              <w:spacing w:after="0"/>
              <w:rPr>
                <w:sz w:val="20"/>
                <w:szCs w:val="20"/>
                <w:color w:val="auto"/>
              </w:rPr>
            </w:pPr>
            <w:r>
              <w:rPr>
                <w:rFonts w:ascii="Arial" w:cs="Arial" w:eastAsia="Arial" w:hAnsi="Arial"/>
                <w:sz w:val="10"/>
                <w:szCs w:val="10"/>
                <w:color w:val="auto"/>
                <w:w w:val="71"/>
              </w:rPr>
              <w:t>$</w:t>
            </w:r>
          </w:p>
        </w:tc>
        <w:tc>
          <w:tcPr>
            <w:tcW w:w="1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(1,154)</w:t>
            </w:r>
          </w:p>
        </w:tc>
        <w:tc>
          <w:tcPr>
            <w:tcW w:w="0" w:type="dxa"/>
            <w:vAlign w:val="bottom"/>
          </w:tcPr>
          <w:p>
            <w:pPr>
              <w:spacing w:after="0"/>
              <w:rPr>
                <w:sz w:val="1"/>
                <w:szCs w:val="1"/>
                <w:color w:val="auto"/>
              </w:rPr>
            </w:pPr>
          </w:p>
        </w:tc>
      </w:tr>
      <w:tr>
        <w:trPr>
          <w:trHeight w:val="27"/>
        </w:trPr>
        <w:tc>
          <w:tcPr>
            <w:tcW w:w="570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220" w:type="dxa"/>
            <w:vAlign w:val="bottom"/>
            <w:shd w:val="clear" w:color="auto" w:fill="CFF0FC"/>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80" w:type="dxa"/>
            <w:vAlign w:val="bottom"/>
            <w:shd w:val="clear" w:color="auto" w:fill="000000"/>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See notes to Consolidated Financial Statements of Uniti Group Inc. included in Financial Statements and Supplementary Data.</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19" w:name="page120"/>
    <w:bookmarkEnd w:id="119"/>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64"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Schedule I – Condensed Financial Information of</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The Registrant (Parent Company)</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Condensed Statements of Cash Flows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20" w:type="dxa"/>
            <w:vAlign w:val="bottom"/>
          </w:tcPr>
          <w:p>
            <w:pPr>
              <w:spacing w:after="0"/>
              <w:rPr>
                <w:sz w:val="10"/>
                <w:szCs w:val="10"/>
                <w:color w:val="auto"/>
              </w:rPr>
            </w:pPr>
          </w:p>
        </w:tc>
        <w:tc>
          <w:tcPr>
            <w:tcW w:w="5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74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0"/>
                <w:szCs w:val="10"/>
                <w:b w:val="1"/>
                <w:bCs w:val="1"/>
                <w:color w:val="auto"/>
                <w:w w:val="96"/>
              </w:rPr>
              <w:t>Year Ended December 31,</w:t>
            </w:r>
          </w:p>
        </w:tc>
        <w:tc>
          <w:tcPr>
            <w:tcW w:w="42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5820" w:type="dxa"/>
            <w:vAlign w:val="bottom"/>
            <w:gridSpan w:val="3"/>
          </w:tcPr>
          <w:p>
            <w:pPr>
              <w:spacing w:after="0"/>
              <w:rPr>
                <w:sz w:val="20"/>
                <w:szCs w:val="20"/>
                <w:color w:val="auto"/>
              </w:rPr>
            </w:pPr>
            <w:r>
              <w:rPr>
                <w:rFonts w:ascii="Arial" w:cs="Arial" w:eastAsia="Arial" w:hAnsi="Arial"/>
                <w:sz w:val="10"/>
                <w:szCs w:val="10"/>
                <w:color w:val="auto"/>
              </w:rPr>
              <w:t>(Thousands)</w:t>
            </w:r>
          </w:p>
        </w:tc>
        <w:tc>
          <w:tcPr>
            <w:tcW w:w="400" w:type="dxa"/>
            <w:vAlign w:val="bottom"/>
          </w:tcPr>
          <w:p>
            <w:pPr>
              <w:spacing w:after="0"/>
              <w:rPr>
                <w:sz w:val="13"/>
                <w:szCs w:val="13"/>
                <w:color w:val="auto"/>
              </w:rPr>
            </w:pPr>
          </w:p>
        </w:tc>
        <w:tc>
          <w:tcPr>
            <w:tcW w:w="1300" w:type="dxa"/>
            <w:vAlign w:val="bottom"/>
          </w:tcPr>
          <w:p>
            <w:pPr>
              <w:jc w:val="right"/>
              <w:ind w:right="701"/>
              <w:spacing w:after="0"/>
              <w:rPr>
                <w:sz w:val="20"/>
                <w:szCs w:val="20"/>
                <w:color w:val="auto"/>
              </w:rPr>
            </w:pPr>
            <w:r>
              <w:rPr>
                <w:rFonts w:ascii="Arial" w:cs="Arial" w:eastAsia="Arial" w:hAnsi="Arial"/>
                <w:sz w:val="10"/>
                <w:szCs w:val="10"/>
                <w:b w:val="1"/>
                <w:bCs w:val="1"/>
                <w:color w:val="auto"/>
              </w:rPr>
              <w:t>2018</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jc w:val="right"/>
              <w:ind w:right="701"/>
              <w:spacing w:after="0"/>
              <w:rPr>
                <w:sz w:val="20"/>
                <w:szCs w:val="20"/>
                <w:color w:val="auto"/>
              </w:rPr>
            </w:pPr>
            <w:r>
              <w:rPr>
                <w:rFonts w:ascii="Arial" w:cs="Arial" w:eastAsia="Arial" w:hAnsi="Arial"/>
                <w:sz w:val="10"/>
                <w:szCs w:val="10"/>
                <w:b w:val="1"/>
                <w:bCs w:val="1"/>
                <w:color w:val="auto"/>
              </w:rPr>
              <w:t>2017</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jc w:val="right"/>
              <w:ind w:right="701"/>
              <w:spacing w:after="0"/>
              <w:rPr>
                <w:sz w:val="20"/>
                <w:szCs w:val="20"/>
                <w:color w:val="auto"/>
              </w:rPr>
            </w:pPr>
            <w:r>
              <w:rPr>
                <w:rFonts w:ascii="Arial" w:cs="Arial" w:eastAsia="Arial" w:hAnsi="Arial"/>
                <w:sz w:val="10"/>
                <w:szCs w:val="10"/>
                <w:b w:val="1"/>
                <w:bCs w:val="1"/>
                <w:color w:val="auto"/>
              </w:rPr>
              <w:t>2016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6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2"/>
                <w:szCs w:val="12"/>
                <w:b w:val="1"/>
                <w:bCs w:val="1"/>
                <w:color w:val="auto"/>
              </w:rPr>
              <w:t>Cash flow from operating activities</w:t>
            </w:r>
          </w:p>
        </w:tc>
        <w:tc>
          <w:tcPr>
            <w:tcW w:w="1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13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15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420" w:type="dxa"/>
            <w:vAlign w:val="bottom"/>
            <w:tcBorders>
              <w:top w:val="single" w:sz="8" w:color="auto"/>
            </w:tcBorders>
            <w:shd w:val="clear" w:color="auto" w:fill="CFF0FC"/>
          </w:tcPr>
          <w:p>
            <w:pPr>
              <w:spacing w:after="0"/>
              <w:rPr>
                <w:sz w:val="12"/>
                <w:szCs w:val="12"/>
                <w:color w:val="auto"/>
              </w:rPr>
            </w:pPr>
          </w:p>
        </w:tc>
        <w:tc>
          <w:tcPr>
            <w:tcW w:w="128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820" w:type="dxa"/>
            <w:vAlign w:val="bottom"/>
            <w:gridSpan w:val="3"/>
          </w:tcPr>
          <w:p>
            <w:pPr>
              <w:spacing w:after="0"/>
              <w:rPr>
                <w:sz w:val="20"/>
                <w:szCs w:val="20"/>
                <w:color w:val="auto"/>
              </w:rPr>
            </w:pPr>
            <w:r>
              <w:rPr>
                <w:rFonts w:ascii="Arial" w:cs="Arial" w:eastAsia="Arial" w:hAnsi="Arial"/>
                <w:sz w:val="12"/>
                <w:szCs w:val="12"/>
                <w:color w:val="auto"/>
              </w:rPr>
              <w:t>Net cash provided by (used in) operating activities</w:t>
            </w:r>
          </w:p>
        </w:tc>
        <w:tc>
          <w:tcPr>
            <w:tcW w:w="400" w:type="dxa"/>
            <w:vAlign w:val="bottom"/>
          </w:tcPr>
          <w:p>
            <w:pPr>
              <w:jc w:val="right"/>
              <w:ind w:right="290"/>
              <w:spacing w:after="0"/>
              <w:rPr>
                <w:sz w:val="20"/>
                <w:szCs w:val="20"/>
                <w:color w:val="auto"/>
              </w:rPr>
            </w:pPr>
            <w:r>
              <w:rPr>
                <w:rFonts w:ascii="Arial" w:cs="Arial" w:eastAsia="Arial" w:hAnsi="Arial"/>
                <w:sz w:val="10"/>
                <w:szCs w:val="10"/>
                <w:color w:val="auto"/>
                <w:w w:val="71"/>
              </w:rPr>
              <w:t>$</w:t>
            </w:r>
          </w:p>
        </w:tc>
        <w:tc>
          <w:tcPr>
            <w:tcW w:w="1300" w:type="dxa"/>
            <w:vAlign w:val="bottom"/>
          </w:tcPr>
          <w:p>
            <w:pPr>
              <w:jc w:val="right"/>
              <w:spacing w:after="0"/>
              <w:rPr>
                <w:sz w:val="20"/>
                <w:szCs w:val="20"/>
                <w:color w:val="auto"/>
              </w:rPr>
            </w:pPr>
            <w:r>
              <w:rPr>
                <w:rFonts w:ascii="Arial" w:cs="Arial" w:eastAsia="Arial" w:hAnsi="Arial"/>
                <w:sz w:val="12"/>
                <w:szCs w:val="12"/>
                <w:color w:val="auto"/>
              </w:rPr>
              <w:t>425,771</w:t>
            </w:r>
          </w:p>
        </w:tc>
        <w:tc>
          <w:tcPr>
            <w:tcW w:w="120" w:type="dxa"/>
            <w:vAlign w:val="bottom"/>
          </w:tcPr>
          <w:p>
            <w:pPr>
              <w:spacing w:after="0"/>
              <w:rPr>
                <w:sz w:val="13"/>
                <w:szCs w:val="13"/>
                <w:color w:val="auto"/>
              </w:rPr>
            </w:pPr>
          </w:p>
        </w:tc>
        <w:tc>
          <w:tcPr>
            <w:tcW w:w="280" w:type="dxa"/>
            <w:vAlign w:val="bottom"/>
            <w:gridSpan w:val="2"/>
          </w:tcPr>
          <w:p>
            <w:pPr>
              <w:jc w:val="right"/>
              <w:ind w:right="120"/>
              <w:spacing w:after="0"/>
              <w:rPr>
                <w:sz w:val="20"/>
                <w:szCs w:val="20"/>
                <w:color w:val="auto"/>
              </w:rPr>
            </w:pPr>
            <w:r>
              <w:rPr>
                <w:rFonts w:ascii="Arial" w:cs="Arial" w:eastAsia="Arial" w:hAnsi="Arial"/>
                <w:sz w:val="12"/>
                <w:szCs w:val="12"/>
                <w:color w:val="auto"/>
              </w:rPr>
              <w:t>$</w:t>
            </w:r>
          </w:p>
        </w:tc>
        <w:tc>
          <w:tcPr>
            <w:tcW w:w="1740" w:type="dxa"/>
            <w:vAlign w:val="bottom"/>
            <w:gridSpan w:val="2"/>
          </w:tcPr>
          <w:p>
            <w:pPr>
              <w:jc w:val="right"/>
              <w:ind w:right="180"/>
              <w:spacing w:after="0"/>
              <w:rPr>
                <w:sz w:val="20"/>
                <w:szCs w:val="20"/>
                <w:color w:val="auto"/>
              </w:rPr>
            </w:pPr>
            <w:r>
              <w:rPr>
                <w:rFonts w:ascii="Arial" w:cs="Arial" w:eastAsia="Arial" w:hAnsi="Arial"/>
                <w:sz w:val="12"/>
                <w:szCs w:val="12"/>
                <w:color w:val="auto"/>
              </w:rPr>
              <w:t>(602,530)</w:t>
            </w:r>
          </w:p>
        </w:tc>
        <w:tc>
          <w:tcPr>
            <w:tcW w:w="420" w:type="dxa"/>
            <w:vAlign w:val="bottom"/>
          </w:tcPr>
          <w:p>
            <w:pPr>
              <w:jc w:val="right"/>
              <w:ind w:right="310"/>
              <w:spacing w:after="0"/>
              <w:rPr>
                <w:sz w:val="20"/>
                <w:szCs w:val="20"/>
                <w:color w:val="auto"/>
              </w:rPr>
            </w:pPr>
            <w:r>
              <w:rPr>
                <w:rFonts w:ascii="Arial" w:cs="Arial" w:eastAsia="Arial" w:hAnsi="Arial"/>
                <w:sz w:val="10"/>
                <w:szCs w:val="10"/>
                <w:color w:val="auto"/>
                <w:w w:val="71"/>
              </w:rPr>
              <w:t>$</w:t>
            </w:r>
          </w:p>
        </w:tc>
        <w:tc>
          <w:tcPr>
            <w:tcW w:w="1400" w:type="dxa"/>
            <w:vAlign w:val="bottom"/>
            <w:gridSpan w:val="2"/>
          </w:tcPr>
          <w:p>
            <w:pPr>
              <w:jc w:val="right"/>
              <w:ind w:right="80"/>
              <w:spacing w:after="0"/>
              <w:rPr>
                <w:sz w:val="20"/>
                <w:szCs w:val="20"/>
                <w:color w:val="auto"/>
              </w:rPr>
            </w:pPr>
            <w:r>
              <w:rPr>
                <w:rFonts w:ascii="Arial" w:cs="Arial" w:eastAsia="Arial" w:hAnsi="Arial"/>
                <w:sz w:val="12"/>
                <w:szCs w:val="12"/>
                <w:color w:val="auto"/>
              </w:rPr>
              <w:t>(59,076)</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68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400" w:type="dxa"/>
            <w:vAlign w:val="bottom"/>
            <w:tcBorders>
              <w:top w:val="single" w:sz="8" w:color="auto"/>
            </w:tcBorders>
            <w:shd w:val="clear" w:color="auto" w:fill="CFF0FC"/>
          </w:tcPr>
          <w:p>
            <w:pPr>
              <w:spacing w:after="0"/>
              <w:rPr>
                <w:sz w:val="12"/>
                <w:szCs w:val="12"/>
                <w:color w:val="auto"/>
              </w:rPr>
            </w:pPr>
          </w:p>
        </w:tc>
        <w:tc>
          <w:tcPr>
            <w:tcW w:w="13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180" w:type="dxa"/>
            <w:vAlign w:val="bottom"/>
            <w:tcBorders>
              <w:top w:val="single" w:sz="8" w:color="auto"/>
            </w:tcBorders>
            <w:shd w:val="clear" w:color="auto" w:fill="CFF0FC"/>
          </w:tcPr>
          <w:p>
            <w:pPr>
              <w:spacing w:after="0"/>
              <w:rPr>
                <w:sz w:val="12"/>
                <w:szCs w:val="12"/>
                <w:color w:val="auto"/>
              </w:rPr>
            </w:pPr>
          </w:p>
        </w:tc>
        <w:tc>
          <w:tcPr>
            <w:tcW w:w="152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420" w:type="dxa"/>
            <w:vAlign w:val="bottom"/>
            <w:tcBorders>
              <w:top w:val="single" w:sz="8" w:color="auto"/>
            </w:tcBorders>
            <w:shd w:val="clear" w:color="auto" w:fill="CFF0FC"/>
          </w:tcPr>
          <w:p>
            <w:pPr>
              <w:spacing w:after="0"/>
              <w:rPr>
                <w:sz w:val="12"/>
                <w:szCs w:val="12"/>
                <w:color w:val="auto"/>
              </w:rPr>
            </w:pPr>
          </w:p>
        </w:tc>
        <w:tc>
          <w:tcPr>
            <w:tcW w:w="128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5800" w:type="dxa"/>
            <w:vAlign w:val="bottom"/>
            <w:gridSpan w:val="2"/>
          </w:tcPr>
          <w:p>
            <w:pPr>
              <w:spacing w:after="0"/>
              <w:rPr>
                <w:sz w:val="20"/>
                <w:szCs w:val="20"/>
                <w:color w:val="auto"/>
              </w:rPr>
            </w:pPr>
            <w:r>
              <w:rPr>
                <w:rFonts w:ascii="Arial" w:cs="Arial" w:eastAsia="Arial" w:hAnsi="Arial"/>
                <w:sz w:val="12"/>
                <w:szCs w:val="12"/>
                <w:b w:val="1"/>
                <w:bCs w:val="1"/>
                <w:color w:val="auto"/>
              </w:rPr>
              <w:t>Cash flow from investing activities</w:t>
            </w:r>
          </w:p>
        </w:tc>
        <w:tc>
          <w:tcPr>
            <w:tcW w:w="4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Consideration paid to Windstream Services</w:t>
            </w:r>
          </w:p>
        </w:tc>
        <w:tc>
          <w:tcPr>
            <w:tcW w:w="400" w:type="dxa"/>
            <w:vAlign w:val="bottom"/>
            <w:tcBorders>
              <w:bottom w:val="single" w:sz="8" w:color="auto"/>
            </w:tcBorders>
            <w:shd w:val="clear" w:color="auto" w:fill="CFF0FC"/>
          </w:tcPr>
          <w:p>
            <w:pPr>
              <w:spacing w:after="0"/>
              <w:rPr>
                <w:sz w:val="13"/>
                <w:szCs w:val="13"/>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tcBorders>
              <w:bottom w:val="single" w:sz="8" w:color="auto"/>
            </w:tcBorders>
            <w:shd w:val="clear" w:color="auto" w:fill="CFF0FC"/>
          </w:tcPr>
          <w:p>
            <w:pPr>
              <w:spacing w:after="0"/>
              <w:rPr>
                <w:sz w:val="13"/>
                <w:szCs w:val="13"/>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420" w:type="dxa"/>
            <w:vAlign w:val="bottom"/>
            <w:tcBorders>
              <w:bottom w:val="single" w:sz="8" w:color="auto"/>
            </w:tcBorders>
            <w:shd w:val="clear" w:color="auto" w:fill="CFF0FC"/>
          </w:tcPr>
          <w:p>
            <w:pPr>
              <w:spacing w:after="0"/>
              <w:rPr>
                <w:sz w:val="13"/>
                <w:szCs w:val="13"/>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820" w:type="dxa"/>
            <w:vAlign w:val="bottom"/>
            <w:gridSpan w:val="3"/>
          </w:tcPr>
          <w:p>
            <w:pPr>
              <w:spacing w:after="0"/>
              <w:rPr>
                <w:sz w:val="20"/>
                <w:szCs w:val="20"/>
                <w:color w:val="auto"/>
              </w:rPr>
            </w:pPr>
            <w:r>
              <w:rPr>
                <w:rFonts w:ascii="Arial" w:cs="Arial" w:eastAsia="Arial" w:hAnsi="Arial"/>
                <w:sz w:val="12"/>
                <w:szCs w:val="12"/>
                <w:color w:val="auto"/>
              </w:rPr>
              <w:t>Net cash used in investing activities</w:t>
            </w:r>
          </w:p>
        </w:tc>
        <w:tc>
          <w:tcPr>
            <w:tcW w:w="400" w:type="dxa"/>
            <w:vAlign w:val="bottom"/>
          </w:tcPr>
          <w:p>
            <w:pPr>
              <w:spacing w:after="0"/>
              <w:rPr>
                <w:sz w:val="12"/>
                <w:szCs w:val="12"/>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2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0" w:type="dxa"/>
            <w:vAlign w:val="bottom"/>
            <w:vMerge w:val="restart"/>
          </w:tcPr>
          <w:p>
            <w:pPr>
              <w:spacing w:after="0"/>
              <w:rPr>
                <w:sz w:val="13"/>
                <w:szCs w:val="13"/>
                <w:color w:val="auto"/>
              </w:rPr>
            </w:pPr>
          </w:p>
        </w:tc>
        <w:tc>
          <w:tcPr>
            <w:tcW w:w="56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520" w:type="dxa"/>
            <w:vAlign w:val="bottom"/>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12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vMerge w:val="continue"/>
          </w:tcPr>
          <w:p>
            <w:pPr>
              <w:spacing w:after="0"/>
              <w:rPr>
                <w:sz w:val="13"/>
                <w:szCs w:val="13"/>
                <w:color w:val="auto"/>
              </w:rPr>
            </w:pPr>
          </w:p>
        </w:tc>
        <w:tc>
          <w:tcPr>
            <w:tcW w:w="5800" w:type="dxa"/>
            <w:vAlign w:val="bottom"/>
            <w:gridSpan w:val="2"/>
          </w:tcPr>
          <w:p>
            <w:pPr>
              <w:spacing w:after="0"/>
              <w:rPr>
                <w:sz w:val="20"/>
                <w:szCs w:val="20"/>
                <w:color w:val="auto"/>
              </w:rPr>
            </w:pPr>
            <w:r>
              <w:rPr>
                <w:rFonts w:ascii="Arial" w:cs="Arial" w:eastAsia="Arial" w:hAnsi="Arial"/>
                <w:sz w:val="12"/>
                <w:szCs w:val="12"/>
                <w:b w:val="1"/>
                <w:bCs w:val="1"/>
                <w:color w:val="auto"/>
              </w:rPr>
              <w:t>Cash flow from financing activities</w:t>
            </w:r>
          </w:p>
        </w:tc>
        <w:tc>
          <w:tcPr>
            <w:tcW w:w="4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Principal payment on debt</w:t>
            </w: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7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(5,270)</w:t>
            </w:r>
          </w:p>
        </w:tc>
        <w:tc>
          <w:tcPr>
            <w:tcW w:w="420" w:type="dxa"/>
            <w:vAlign w:val="bottom"/>
            <w:shd w:val="clear" w:color="auto" w:fill="CFF0FC"/>
          </w:tcPr>
          <w:p>
            <w:pPr>
              <w:spacing w:after="0"/>
              <w:rPr>
                <w:sz w:val="13"/>
                <w:szCs w:val="13"/>
                <w:color w:val="auto"/>
              </w:rPr>
            </w:pPr>
          </w:p>
        </w:tc>
        <w:tc>
          <w:tcPr>
            <w:tcW w:w="1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(22,027)</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tcPr>
          <w:p>
            <w:pPr>
              <w:ind w:left="140"/>
              <w:spacing w:after="0"/>
              <w:rPr>
                <w:sz w:val="20"/>
                <w:szCs w:val="20"/>
                <w:color w:val="auto"/>
              </w:rPr>
            </w:pPr>
            <w:r>
              <w:rPr>
                <w:rFonts w:ascii="Arial" w:cs="Arial" w:eastAsia="Arial" w:hAnsi="Arial"/>
                <w:sz w:val="12"/>
                <w:szCs w:val="12"/>
                <w:color w:val="auto"/>
              </w:rPr>
              <w:t>Dividends paid</w:t>
            </w:r>
          </w:p>
        </w:tc>
        <w:tc>
          <w:tcPr>
            <w:tcW w:w="400" w:type="dxa"/>
            <w:vAlign w:val="bottom"/>
          </w:tcPr>
          <w:p>
            <w:pPr>
              <w:spacing w:after="0"/>
              <w:rPr>
                <w:sz w:val="13"/>
                <w:szCs w:val="13"/>
                <w:color w:val="auto"/>
              </w:rPr>
            </w:pPr>
          </w:p>
        </w:tc>
        <w:tc>
          <w:tcPr>
            <w:tcW w:w="1420" w:type="dxa"/>
            <w:vAlign w:val="bottom"/>
            <w:gridSpan w:val="2"/>
          </w:tcPr>
          <w:p>
            <w:pPr>
              <w:jc w:val="right"/>
              <w:ind w:right="80"/>
              <w:spacing w:after="0"/>
              <w:rPr>
                <w:sz w:val="20"/>
                <w:szCs w:val="20"/>
                <w:color w:val="auto"/>
              </w:rPr>
            </w:pPr>
            <w:r>
              <w:rPr>
                <w:rFonts w:ascii="Arial" w:cs="Arial" w:eastAsia="Arial" w:hAnsi="Arial"/>
                <w:sz w:val="12"/>
                <w:szCs w:val="12"/>
                <w:color w:val="auto"/>
              </w:rPr>
              <w:t>(426,094)</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2"/>
                <w:szCs w:val="12"/>
                <w:color w:val="auto"/>
              </w:rPr>
              <w:t>(400,210)</w:t>
            </w:r>
          </w:p>
        </w:tc>
        <w:tc>
          <w:tcPr>
            <w:tcW w:w="420" w:type="dxa"/>
            <w:vAlign w:val="bottom"/>
          </w:tcPr>
          <w:p>
            <w:pPr>
              <w:spacing w:after="0"/>
              <w:rPr>
                <w:sz w:val="13"/>
                <w:szCs w:val="1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2"/>
                <w:szCs w:val="12"/>
                <w:color w:val="auto"/>
              </w:rPr>
              <w:t>(367,830)</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Proceeds from issuance of Notes</w:t>
            </w: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201,000</w:t>
            </w:r>
          </w:p>
        </w:tc>
        <w:tc>
          <w:tcPr>
            <w:tcW w:w="2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548,875</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tcPr>
          <w:p>
            <w:pPr>
              <w:ind w:left="140"/>
              <w:spacing w:after="0"/>
              <w:rPr>
                <w:sz w:val="20"/>
                <w:szCs w:val="20"/>
                <w:color w:val="auto"/>
              </w:rPr>
            </w:pPr>
            <w:r>
              <w:rPr>
                <w:rFonts w:ascii="Arial" w:cs="Arial" w:eastAsia="Arial" w:hAnsi="Arial"/>
                <w:sz w:val="12"/>
                <w:szCs w:val="12"/>
                <w:color w:val="auto"/>
              </w:rPr>
              <w:t>Borrowings under revolving credit facility</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jc w:val="right"/>
              <w:spacing w:after="0"/>
              <w:rPr>
                <w:sz w:val="20"/>
                <w:szCs w:val="20"/>
                <w:color w:val="auto"/>
              </w:rPr>
            </w:pPr>
            <w:r>
              <w:rPr>
                <w:rFonts w:ascii="Arial" w:cs="Arial" w:eastAsia="Arial" w:hAnsi="Arial"/>
                <w:sz w:val="12"/>
                <w:szCs w:val="12"/>
                <w:color w:val="auto"/>
              </w:rPr>
              <w:t>350,000</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641,000</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Payments under revolving credit facility</w:t>
            </w: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7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(125,000)</w:t>
            </w:r>
          </w:p>
        </w:tc>
        <w:tc>
          <w:tcPr>
            <w:tcW w:w="420" w:type="dxa"/>
            <w:vAlign w:val="bottom"/>
            <w:shd w:val="clear" w:color="auto" w:fill="CFF0FC"/>
          </w:tcPr>
          <w:p>
            <w:pPr>
              <w:spacing w:after="0"/>
              <w:rPr>
                <w:sz w:val="13"/>
                <w:szCs w:val="13"/>
                <w:color w:val="auto"/>
              </w:rPr>
            </w:pPr>
          </w:p>
        </w:tc>
        <w:tc>
          <w:tcPr>
            <w:tcW w:w="1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(641,000)</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tcPr>
          <w:p>
            <w:pPr>
              <w:ind w:left="140"/>
              <w:spacing w:after="0"/>
              <w:rPr>
                <w:sz w:val="20"/>
                <w:szCs w:val="20"/>
                <w:color w:val="auto"/>
              </w:rPr>
            </w:pPr>
            <w:r>
              <w:rPr>
                <w:rFonts w:ascii="Arial" w:cs="Arial" w:eastAsia="Arial" w:hAnsi="Arial"/>
                <w:sz w:val="12"/>
                <w:szCs w:val="12"/>
                <w:color w:val="auto"/>
              </w:rPr>
              <w:t>Payments of contingent consideration</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2"/>
                <w:szCs w:val="12"/>
                <w:color w:val="auto"/>
              </w:rPr>
              <w:t>(18,791)</w:t>
            </w:r>
          </w:p>
        </w:tc>
        <w:tc>
          <w:tcPr>
            <w:tcW w:w="4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Purchase of noncontrolling interests</w:t>
            </w: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7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(560)</w:t>
            </w:r>
          </w:p>
        </w:tc>
        <w:tc>
          <w:tcPr>
            <w:tcW w:w="4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tcPr>
          <w:p>
            <w:pPr>
              <w:ind w:left="140"/>
              <w:spacing w:after="0"/>
              <w:rPr>
                <w:sz w:val="20"/>
                <w:szCs w:val="20"/>
                <w:color w:val="auto"/>
              </w:rPr>
            </w:pPr>
            <w:r>
              <w:rPr>
                <w:rFonts w:ascii="Arial" w:cs="Arial" w:eastAsia="Arial" w:hAnsi="Arial"/>
                <w:sz w:val="12"/>
                <w:szCs w:val="12"/>
                <w:color w:val="auto"/>
              </w:rPr>
              <w:t>Deferred financing costs</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2"/>
                <w:szCs w:val="12"/>
                <w:color w:val="auto"/>
              </w:rPr>
              <w:t>(24,686)</w:t>
            </w:r>
          </w:p>
        </w:tc>
        <w:tc>
          <w:tcPr>
            <w:tcW w:w="420" w:type="dxa"/>
            <w:vAlign w:val="bottom"/>
          </w:tcPr>
          <w:p>
            <w:pPr>
              <w:spacing w:after="0"/>
              <w:rPr>
                <w:sz w:val="13"/>
                <w:szCs w:val="1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2"/>
                <w:szCs w:val="12"/>
                <w:color w:val="auto"/>
              </w:rPr>
              <w:t>(20,557)</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Common stock issuance, net of costs</w:t>
            </w:r>
          </w:p>
        </w:tc>
        <w:tc>
          <w:tcPr>
            <w:tcW w:w="400" w:type="dxa"/>
            <w:vAlign w:val="bottom"/>
            <w:shd w:val="clear" w:color="auto" w:fill="CFF0FC"/>
          </w:tcPr>
          <w:p>
            <w:pPr>
              <w:spacing w:after="0"/>
              <w:rPr>
                <w:sz w:val="13"/>
                <w:szCs w:val="13"/>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109,441</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498,926</w:t>
            </w:r>
          </w:p>
        </w:tc>
        <w:tc>
          <w:tcPr>
            <w:tcW w:w="2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54,213</w:t>
            </w:r>
          </w:p>
        </w:tc>
        <w:tc>
          <w:tcPr>
            <w:tcW w:w="12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tcPr>
          <w:p>
            <w:pPr>
              <w:ind w:left="140"/>
              <w:spacing w:after="0"/>
              <w:rPr>
                <w:sz w:val="20"/>
                <w:szCs w:val="20"/>
                <w:color w:val="auto"/>
              </w:rPr>
            </w:pPr>
            <w:r>
              <w:rPr>
                <w:rFonts w:ascii="Arial" w:cs="Arial" w:eastAsia="Arial" w:hAnsi="Arial"/>
                <w:sz w:val="12"/>
                <w:szCs w:val="12"/>
                <w:color w:val="auto"/>
              </w:rPr>
              <w:t>Net share settlement</w:t>
            </w:r>
          </w:p>
        </w:tc>
        <w:tc>
          <w:tcPr>
            <w:tcW w:w="400" w:type="dxa"/>
            <w:vAlign w:val="bottom"/>
          </w:tcPr>
          <w:p>
            <w:pPr>
              <w:spacing w:after="0"/>
              <w:rPr>
                <w:sz w:val="13"/>
                <w:szCs w:val="13"/>
                <w:color w:val="auto"/>
              </w:rPr>
            </w:pPr>
          </w:p>
        </w:tc>
        <w:tc>
          <w:tcPr>
            <w:tcW w:w="1420" w:type="dxa"/>
            <w:vAlign w:val="bottom"/>
            <w:gridSpan w:val="2"/>
          </w:tcPr>
          <w:p>
            <w:pPr>
              <w:jc w:val="right"/>
              <w:ind w:right="80"/>
              <w:spacing w:after="0"/>
              <w:rPr>
                <w:sz w:val="20"/>
                <w:szCs w:val="20"/>
                <w:color w:val="auto"/>
              </w:rPr>
            </w:pPr>
            <w:r>
              <w:rPr>
                <w:rFonts w:ascii="Arial" w:cs="Arial" w:eastAsia="Arial" w:hAnsi="Arial"/>
                <w:sz w:val="12"/>
                <w:szCs w:val="12"/>
                <w:color w:val="auto"/>
              </w:rPr>
              <w:t>(1,604)</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2"/>
                <w:szCs w:val="12"/>
                <w:color w:val="auto"/>
              </w:rPr>
              <w:t>(1,836)</w:t>
            </w:r>
          </w:p>
        </w:tc>
        <w:tc>
          <w:tcPr>
            <w:tcW w:w="420" w:type="dxa"/>
            <w:vAlign w:val="bottom"/>
          </w:tcPr>
          <w:p>
            <w:pPr>
              <w:spacing w:after="0"/>
              <w:rPr>
                <w:sz w:val="13"/>
                <w:szCs w:val="1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2"/>
                <w:szCs w:val="12"/>
                <w:color w:val="auto"/>
              </w:rPr>
              <w:t>(2,359)</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gridSpan w:val="2"/>
            <w:shd w:val="clear" w:color="auto" w:fill="CFF0FC"/>
          </w:tcPr>
          <w:p>
            <w:pPr>
              <w:ind w:left="140"/>
              <w:spacing w:after="0"/>
              <w:rPr>
                <w:sz w:val="20"/>
                <w:szCs w:val="20"/>
                <w:color w:val="auto"/>
              </w:rPr>
            </w:pPr>
            <w:r>
              <w:rPr>
                <w:rFonts w:ascii="Arial" w:cs="Arial" w:eastAsia="Arial" w:hAnsi="Arial"/>
                <w:sz w:val="12"/>
                <w:szCs w:val="12"/>
                <w:color w:val="auto"/>
              </w:rPr>
              <w:t>Intercompany transactions, net</w:t>
            </w:r>
          </w:p>
        </w:tc>
        <w:tc>
          <w:tcPr>
            <w:tcW w:w="400" w:type="dxa"/>
            <w:vAlign w:val="bottom"/>
            <w:shd w:val="clear" w:color="auto" w:fill="CFF0FC"/>
          </w:tcPr>
          <w:p>
            <w:pPr>
              <w:spacing w:after="0"/>
              <w:rPr>
                <w:sz w:val="13"/>
                <w:szCs w:val="13"/>
                <w:color w:val="auto"/>
              </w:rPr>
            </w:pPr>
          </w:p>
        </w:tc>
        <w:tc>
          <w:tcPr>
            <w:tcW w:w="14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(109,441)</w:t>
            </w:r>
          </w:p>
        </w:tc>
        <w:tc>
          <w:tcPr>
            <w:tcW w:w="1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20" w:type="dxa"/>
            <w:vAlign w:val="bottom"/>
            <w:shd w:val="clear" w:color="auto" w:fill="CFF0FC"/>
          </w:tcPr>
          <w:p>
            <w:pPr>
              <w:spacing w:after="0"/>
              <w:rPr>
                <w:sz w:val="13"/>
                <w:szCs w:val="13"/>
                <w:color w:val="auto"/>
              </w:rPr>
            </w:pPr>
          </w:p>
        </w:tc>
        <w:tc>
          <w:tcPr>
            <w:tcW w:w="420" w:type="dxa"/>
            <w:vAlign w:val="bottom"/>
            <w:shd w:val="clear" w:color="auto" w:fill="CFF0FC"/>
          </w:tcPr>
          <w:p>
            <w:pPr>
              <w:spacing w:after="0"/>
              <w:rPr>
                <w:sz w:val="13"/>
                <w:szCs w:val="13"/>
                <w:color w:val="auto"/>
              </w:rPr>
            </w:pPr>
          </w:p>
        </w:tc>
        <w:tc>
          <w:tcPr>
            <w:tcW w:w="140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(111)</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5800" w:type="dxa"/>
            <w:vAlign w:val="bottom"/>
            <w:tcBorders>
              <w:bottom w:val="single" w:sz="8" w:color="CFF0FC"/>
            </w:tcBorders>
            <w:gridSpan w:val="2"/>
          </w:tcPr>
          <w:p>
            <w:pPr>
              <w:ind w:left="140"/>
              <w:spacing w:after="0"/>
              <w:rPr>
                <w:sz w:val="20"/>
                <w:szCs w:val="20"/>
                <w:color w:val="auto"/>
              </w:rPr>
            </w:pPr>
            <w:r>
              <w:rPr>
                <w:rFonts w:ascii="Arial" w:cs="Arial" w:eastAsia="Arial" w:hAnsi="Arial"/>
                <w:sz w:val="12"/>
                <w:szCs w:val="12"/>
                <w:color w:val="auto"/>
              </w:rPr>
              <w:t>Cash in-lieu of fractional shares</w:t>
            </w:r>
          </w:p>
        </w:tc>
        <w:tc>
          <w:tcPr>
            <w:tcW w:w="400" w:type="dxa"/>
            <w:vAlign w:val="bottom"/>
            <w:tcBorders>
              <w:bottom w:val="single" w:sz="8" w:color="auto"/>
            </w:tcBorders>
          </w:tcPr>
          <w:p>
            <w:pPr>
              <w:spacing w:after="0"/>
              <w:rPr>
                <w:sz w:val="13"/>
                <w:szCs w:val="13"/>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20" w:type="dxa"/>
            <w:vAlign w:val="bottom"/>
            <w:tcBorders>
              <w:bottom w:val="single" w:sz="8" w:color="CFF0FC"/>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8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Net cash (used in) provided by financing activities</w:t>
            </w:r>
          </w:p>
        </w:tc>
        <w:tc>
          <w:tcPr>
            <w:tcW w:w="400" w:type="dxa"/>
            <w:vAlign w:val="bottom"/>
            <w:shd w:val="clear" w:color="auto" w:fill="CFF0FC"/>
          </w:tcPr>
          <w:p>
            <w:pPr>
              <w:spacing w:after="0"/>
              <w:rPr>
                <w:sz w:val="12"/>
                <w:szCs w:val="12"/>
                <w:color w:val="auto"/>
              </w:rPr>
            </w:pPr>
          </w:p>
        </w:tc>
        <w:tc>
          <w:tcPr>
            <w:tcW w:w="14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(427,698)</w:t>
            </w:r>
          </w:p>
        </w:tc>
        <w:tc>
          <w:tcPr>
            <w:tcW w:w="10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473,573</w:t>
            </w:r>
          </w:p>
        </w:tc>
        <w:tc>
          <w:tcPr>
            <w:tcW w:w="2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190,204</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820" w:type="dxa"/>
            <w:vAlign w:val="bottom"/>
            <w:gridSpan w:val="3"/>
          </w:tcPr>
          <w:p>
            <w:pPr>
              <w:spacing w:after="0"/>
              <w:rPr>
                <w:sz w:val="20"/>
                <w:szCs w:val="20"/>
                <w:color w:val="auto"/>
              </w:rPr>
            </w:pPr>
            <w:r>
              <w:rPr>
                <w:rFonts w:ascii="Arial" w:cs="Arial" w:eastAsia="Arial" w:hAnsi="Arial"/>
                <w:sz w:val="12"/>
                <w:szCs w:val="12"/>
                <w:color w:val="auto"/>
              </w:rPr>
              <w:t>Effect of exchange rates on cash and cash equivalents</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jc w:val="right"/>
              <w:spacing w:after="0"/>
              <w:rPr>
                <w:sz w:val="20"/>
                <w:szCs w:val="20"/>
                <w:color w:val="auto"/>
              </w:rPr>
            </w:pPr>
            <w:r>
              <w:rPr>
                <w:rFonts w:ascii="Arial" w:cs="Arial" w:eastAsia="Arial" w:hAnsi="Arial"/>
                <w:sz w:val="12"/>
                <w:szCs w:val="12"/>
                <w:color w:val="auto"/>
              </w:rPr>
              <w:t>-</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0" w:type="dxa"/>
            <w:vAlign w:val="bottom"/>
            <w:gridSpan w:val="2"/>
            <w:vMerge w:val="restart"/>
            <w:shd w:val="clear" w:color="auto" w:fill="CFF0FC"/>
          </w:tcPr>
          <w:p>
            <w:pPr>
              <w:spacing w:after="0"/>
              <w:rPr>
                <w:sz w:val="20"/>
                <w:szCs w:val="20"/>
                <w:color w:val="auto"/>
              </w:rPr>
            </w:pPr>
            <w:r>
              <w:rPr>
                <w:rFonts w:ascii="Arial" w:cs="Arial" w:eastAsia="Arial" w:hAnsi="Arial"/>
                <w:sz w:val="12"/>
                <w:szCs w:val="12"/>
                <w:color w:val="auto"/>
              </w:rPr>
              <w:t>Net (decrease) increase in cash and cash equivalents</w:t>
            </w:r>
          </w:p>
        </w:tc>
        <w:tc>
          <w:tcPr>
            <w:tcW w:w="4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5800" w:type="dxa"/>
            <w:vAlign w:val="bottom"/>
            <w:gridSpan w:val="2"/>
            <w:vMerge w:val="continue"/>
            <w:shd w:val="clear" w:color="auto" w:fill="CFF0FC"/>
          </w:tcPr>
          <w:p>
            <w:pPr>
              <w:spacing w:after="0"/>
              <w:rPr>
                <w:sz w:val="12"/>
                <w:szCs w:val="12"/>
                <w:color w:val="auto"/>
              </w:rPr>
            </w:pPr>
          </w:p>
        </w:tc>
        <w:tc>
          <w:tcPr>
            <w:tcW w:w="400" w:type="dxa"/>
            <w:vAlign w:val="bottom"/>
            <w:shd w:val="clear" w:color="auto" w:fill="CFF0FC"/>
          </w:tcPr>
          <w:p>
            <w:pPr>
              <w:spacing w:after="0"/>
              <w:rPr>
                <w:sz w:val="12"/>
                <w:szCs w:val="12"/>
                <w:color w:val="auto"/>
              </w:rPr>
            </w:pPr>
          </w:p>
        </w:tc>
        <w:tc>
          <w:tcPr>
            <w:tcW w:w="1420" w:type="dxa"/>
            <w:vAlign w:val="bottom"/>
            <w:gridSpan w:val="2"/>
            <w:shd w:val="clear" w:color="auto" w:fill="CFF0FC"/>
          </w:tcPr>
          <w:p>
            <w:pPr>
              <w:jc w:val="right"/>
              <w:ind w:right="80"/>
              <w:spacing w:after="0"/>
              <w:rPr>
                <w:sz w:val="20"/>
                <w:szCs w:val="20"/>
                <w:color w:val="auto"/>
              </w:rPr>
            </w:pPr>
            <w:r>
              <w:rPr>
                <w:rFonts w:ascii="Arial" w:cs="Arial" w:eastAsia="Arial" w:hAnsi="Arial"/>
                <w:sz w:val="12"/>
                <w:szCs w:val="12"/>
                <w:color w:val="auto"/>
              </w:rPr>
              <w:t>(1,927)</w:t>
            </w:r>
          </w:p>
        </w:tc>
        <w:tc>
          <w:tcPr>
            <w:tcW w:w="10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740" w:type="dxa"/>
            <w:vAlign w:val="bottom"/>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(128,957)</w:t>
            </w:r>
          </w:p>
        </w:tc>
        <w:tc>
          <w:tcPr>
            <w:tcW w:w="420" w:type="dxa"/>
            <w:vAlign w:val="bottom"/>
            <w:shd w:val="clear" w:color="auto" w:fill="CFF0FC"/>
          </w:tcPr>
          <w:p>
            <w:pPr>
              <w:spacing w:after="0"/>
              <w:rPr>
                <w:sz w:val="12"/>
                <w:szCs w:val="12"/>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131,128</w:t>
            </w: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5820" w:type="dxa"/>
            <w:vAlign w:val="bottom"/>
            <w:gridSpan w:val="3"/>
          </w:tcPr>
          <w:p>
            <w:pPr>
              <w:spacing w:after="0"/>
              <w:rPr>
                <w:sz w:val="20"/>
                <w:szCs w:val="20"/>
                <w:color w:val="auto"/>
              </w:rPr>
            </w:pPr>
            <w:r>
              <w:rPr>
                <w:rFonts w:ascii="Arial" w:cs="Arial" w:eastAsia="Arial" w:hAnsi="Arial"/>
                <w:sz w:val="12"/>
                <w:szCs w:val="12"/>
                <w:color w:val="auto"/>
              </w:rPr>
              <w:t>Cash and cash equivalents at beginning of period</w:t>
            </w:r>
          </w:p>
        </w:tc>
        <w:tc>
          <w:tcPr>
            <w:tcW w:w="40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2"/>
                <w:szCs w:val="12"/>
                <w:color w:val="auto"/>
              </w:rPr>
              <w:t>2,188</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jc w:val="right"/>
              <w:spacing w:after="0"/>
              <w:rPr>
                <w:sz w:val="20"/>
                <w:szCs w:val="20"/>
                <w:color w:val="auto"/>
              </w:rPr>
            </w:pPr>
            <w:r>
              <w:rPr>
                <w:rFonts w:ascii="Arial" w:cs="Arial" w:eastAsia="Arial" w:hAnsi="Arial"/>
                <w:sz w:val="12"/>
                <w:szCs w:val="12"/>
                <w:color w:val="auto"/>
              </w:rPr>
              <w:t>131,145</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Arial" w:cs="Arial" w:eastAsia="Arial" w:hAnsi="Arial"/>
                <w:sz w:val="12"/>
                <w:szCs w:val="12"/>
                <w:color w:val="auto"/>
              </w:rPr>
              <w:t>17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2"/>
                <w:szCs w:val="12"/>
                <w:color w:val="auto"/>
              </w:rPr>
              <w:t>Cash and cash equivalents at end of period</w:t>
            </w:r>
          </w:p>
        </w:tc>
        <w:tc>
          <w:tcPr>
            <w:tcW w:w="400" w:type="dxa"/>
            <w:vAlign w:val="bottom"/>
            <w:tcBorders>
              <w:top w:val="single" w:sz="8" w:color="auto"/>
              <w:bottom w:val="single" w:sz="8" w:color="auto"/>
            </w:tcBorders>
            <w:shd w:val="clear" w:color="auto" w:fill="CFF0FC"/>
          </w:tcPr>
          <w:p>
            <w:pPr>
              <w:spacing w:after="0"/>
              <w:rPr>
                <w:sz w:val="12"/>
                <w:szCs w:val="12"/>
                <w:color w:val="auto"/>
              </w:rPr>
            </w:pPr>
          </w:p>
        </w:tc>
        <w:tc>
          <w:tcPr>
            <w:tcW w:w="13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261</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c>
          <w:tcPr>
            <w:tcW w:w="100" w:type="dxa"/>
            <w:vAlign w:val="bottom"/>
            <w:tcBorders>
              <w:top w:val="single" w:sz="8" w:color="CFF0FC"/>
              <w:bottom w:val="single" w:sz="8" w:color="CFF0FC"/>
            </w:tcBorders>
            <w:shd w:val="clear" w:color="auto" w:fill="CFF0FC"/>
          </w:tcPr>
          <w:p>
            <w:pPr>
              <w:spacing w:after="0"/>
              <w:rPr>
                <w:sz w:val="12"/>
                <w:szCs w:val="12"/>
                <w:color w:val="auto"/>
              </w:rPr>
            </w:pPr>
          </w:p>
        </w:tc>
        <w:tc>
          <w:tcPr>
            <w:tcW w:w="180" w:type="dxa"/>
            <w:vAlign w:val="bottom"/>
            <w:tcBorders>
              <w:top w:val="single" w:sz="8" w:color="auto"/>
              <w:bottom w:val="single" w:sz="8" w:color="auto"/>
            </w:tcBorders>
            <w:shd w:val="clear" w:color="auto" w:fill="CFF0FC"/>
          </w:tcPr>
          <w:p>
            <w:pPr>
              <w:spacing w:after="0"/>
              <w:rPr>
                <w:sz w:val="12"/>
                <w:szCs w:val="12"/>
                <w:color w:val="auto"/>
              </w:rPr>
            </w:pPr>
          </w:p>
        </w:tc>
        <w:tc>
          <w:tcPr>
            <w:tcW w:w="15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2,188</w:t>
            </w:r>
          </w:p>
        </w:tc>
        <w:tc>
          <w:tcPr>
            <w:tcW w:w="220" w:type="dxa"/>
            <w:vAlign w:val="bottom"/>
            <w:tcBorders>
              <w:top w:val="single" w:sz="8" w:color="CFF0FC"/>
              <w:bottom w:val="single" w:sz="8" w:color="CFF0FC"/>
            </w:tcBorders>
            <w:shd w:val="clear" w:color="auto" w:fill="CFF0FC"/>
          </w:tcPr>
          <w:p>
            <w:pPr>
              <w:spacing w:after="0"/>
              <w:rPr>
                <w:sz w:val="12"/>
                <w:szCs w:val="12"/>
                <w:color w:val="auto"/>
              </w:rPr>
            </w:pPr>
          </w:p>
        </w:tc>
        <w:tc>
          <w:tcPr>
            <w:tcW w:w="420" w:type="dxa"/>
            <w:vAlign w:val="bottom"/>
            <w:tcBorders>
              <w:top w:val="single" w:sz="8" w:color="auto"/>
              <w:bottom w:val="single" w:sz="8" w:color="auto"/>
            </w:tcBorders>
            <w:shd w:val="clear" w:color="auto" w:fill="CFF0FC"/>
          </w:tcPr>
          <w:p>
            <w:pPr>
              <w:spacing w:after="0"/>
              <w:rPr>
                <w:sz w:val="12"/>
                <w:szCs w:val="12"/>
                <w:color w:val="auto"/>
              </w:rPr>
            </w:pP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131,145</w:t>
            </w:r>
          </w:p>
        </w:tc>
        <w:tc>
          <w:tcPr>
            <w:tcW w:w="120" w:type="dxa"/>
            <w:vAlign w:val="bottom"/>
            <w:tcBorders>
              <w:top w:val="single" w:sz="8" w:color="CFF0FC"/>
              <w:bottom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bl>
    <w:p>
      <w:pPr>
        <w:spacing w:after="0" w:line="27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See notes to Consolidated Financial Statements of Uniti Group Inc. included in Financial Statements and Supplementary Data.</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31" w:right="199" w:bottom="1440" w:gutter="0" w:footer="0" w:header="0"/>
        </w:sectPr>
      </w:pPr>
    </w:p>
    <w:bookmarkStart w:id="120" w:name="page121"/>
    <w:bookmarkEnd w:id="120"/>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164" w:lineRule="exact"/>
        <w:rPr>
          <w:sz w:val="20"/>
          <w:szCs w:val="20"/>
          <w:color w:val="auto"/>
        </w:rPr>
      </w:pPr>
    </w:p>
    <w:p>
      <w:pPr>
        <w:ind w:left="3960"/>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ind w:left="4480"/>
        <w:spacing w:after="0"/>
        <w:rPr>
          <w:sz w:val="20"/>
          <w:szCs w:val="20"/>
          <w:color w:val="auto"/>
        </w:rPr>
      </w:pPr>
      <w:r>
        <w:rPr>
          <w:rFonts w:ascii="Arial" w:cs="Arial" w:eastAsia="Arial" w:hAnsi="Arial"/>
          <w:sz w:val="12"/>
          <w:szCs w:val="12"/>
          <w:b w:val="1"/>
          <w:bCs w:val="1"/>
          <w:color w:val="auto"/>
        </w:rPr>
        <w:t>Schedule I – Condensed Financial Information of</w:t>
      </w:r>
    </w:p>
    <w:p>
      <w:pPr>
        <w:spacing w:after="0" w:line="6" w:lineRule="exact"/>
        <w:rPr>
          <w:sz w:val="20"/>
          <w:szCs w:val="20"/>
          <w:color w:val="auto"/>
        </w:rPr>
      </w:pPr>
    </w:p>
    <w:p>
      <w:pPr>
        <w:ind w:left="4860"/>
        <w:spacing w:after="0"/>
        <w:rPr>
          <w:sz w:val="20"/>
          <w:szCs w:val="20"/>
          <w:color w:val="auto"/>
        </w:rPr>
      </w:pPr>
      <w:r>
        <w:rPr>
          <w:rFonts w:ascii="Arial" w:cs="Arial" w:eastAsia="Arial" w:hAnsi="Arial"/>
          <w:sz w:val="12"/>
          <w:szCs w:val="12"/>
          <w:b w:val="1"/>
          <w:bCs w:val="1"/>
          <w:color w:val="auto"/>
        </w:rPr>
        <w:t>The Registrant (Parent Company)</w:t>
      </w:r>
    </w:p>
    <w:p>
      <w:pPr>
        <w:spacing w:after="0" w:line="6" w:lineRule="exact"/>
        <w:rPr>
          <w:sz w:val="20"/>
          <w:szCs w:val="20"/>
          <w:color w:val="auto"/>
        </w:rPr>
      </w:pPr>
    </w:p>
    <w:p>
      <w:pPr>
        <w:ind w:left="4680"/>
        <w:spacing w:after="0"/>
        <w:rPr>
          <w:sz w:val="20"/>
          <w:szCs w:val="20"/>
          <w:color w:val="auto"/>
        </w:rPr>
      </w:pPr>
      <w:r>
        <w:rPr>
          <w:rFonts w:ascii="Arial" w:cs="Arial" w:eastAsia="Arial" w:hAnsi="Arial"/>
          <w:sz w:val="12"/>
          <w:szCs w:val="12"/>
          <w:b w:val="1"/>
          <w:bCs w:val="1"/>
          <w:color w:val="auto"/>
        </w:rPr>
        <w:t>Notes to Condensed Financial Statements</w:t>
      </w:r>
    </w:p>
    <w:p>
      <w:pPr>
        <w:spacing w:after="0" w:line="155"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1. Background and Basis of Presentation</w:t>
      </w:r>
    </w:p>
    <w:p>
      <w:pPr>
        <w:spacing w:after="0" w:line="82"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Uniti Group Inc.’s parent company financial information has been derived from its consolidated financial statements and should be read in conjunction with the consolidated financial statements and notes of Uniti and its subsidiaries included in Item 8 Financial Statements and Supplementary Data in this Annual Report on Form 10-K.</w:t>
      </w:r>
    </w:p>
    <w:p>
      <w:pPr>
        <w:spacing w:after="0" w:line="111"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Note 2. Subsidiary Transactions</w:t>
      </w:r>
    </w:p>
    <w:p>
      <w:pPr>
        <w:spacing w:after="0" w:line="82"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Investment in Subsidiaries</w:t>
      </w:r>
    </w:p>
    <w:p>
      <w:pPr>
        <w:spacing w:after="0" w:line="78" w:lineRule="exact"/>
        <w:rPr>
          <w:sz w:val="20"/>
          <w:szCs w:val="20"/>
          <w:color w:val="auto"/>
        </w:rPr>
      </w:pPr>
    </w:p>
    <w:p>
      <w:pPr>
        <w:spacing w:after="0" w:line="286" w:lineRule="auto"/>
        <w:rPr>
          <w:sz w:val="20"/>
          <w:szCs w:val="20"/>
          <w:color w:val="auto"/>
        </w:rPr>
      </w:pPr>
      <w:r>
        <w:rPr>
          <w:rFonts w:ascii="Arial" w:cs="Arial" w:eastAsia="Arial" w:hAnsi="Arial"/>
          <w:sz w:val="11"/>
          <w:szCs w:val="11"/>
          <w:color w:val="auto"/>
        </w:rPr>
        <w:t>During 2017, the parent company completed its reorganization (the “up-REIT Reorganization”) to operate through a customary “up-REIT” structure, pursuant to which we hold substantially all of our assets through a partnership, Uniti Group LP, a Delaware limited partnership (the “Operating Partnership”), that we control as general partner, with the only significant difference between the financial position and results of operations of the Operating Partnership and its subsidiaries compared to the consolidated financial position and consolidated results of operations of Uniti is that the results for the Operating Partnership and its subsidiaries do not include Uniti’s Consumer CLEC segment, which consists of Talk America Services. The up-REIT structure is intended to facilitate future acquisition opportunities by providing the Company with the ability to use common units of the Operating Partnership as a tax-efficient acquisition currency. As of December 31, 2018, we are the sole general partner of the Operating Partnership and own approximately 97.7% of the partnership interests in the Operating Partnership.</w:t>
      </w:r>
    </w:p>
    <w:p>
      <w:pPr>
        <w:spacing w:after="0" w:line="39" w:lineRule="exact"/>
        <w:rPr>
          <w:sz w:val="20"/>
          <w:szCs w:val="20"/>
          <w:color w:val="auto"/>
        </w:rPr>
      </w:pPr>
    </w:p>
    <w:p>
      <w:pPr>
        <w:spacing w:after="0"/>
        <w:rPr>
          <w:sz w:val="20"/>
          <w:szCs w:val="20"/>
          <w:color w:val="auto"/>
        </w:rPr>
      </w:pPr>
      <w:r>
        <w:rPr>
          <w:rFonts w:ascii="Arial" w:cs="Arial" w:eastAsia="Arial" w:hAnsi="Arial"/>
          <w:sz w:val="12"/>
          <w:szCs w:val="12"/>
          <w:i w:val="1"/>
          <w:iCs w:val="1"/>
          <w:color w:val="auto"/>
        </w:rPr>
        <w:t>Dividends</w:t>
      </w:r>
    </w:p>
    <w:p>
      <w:pPr>
        <w:spacing w:after="0" w:line="78" w:lineRule="exact"/>
        <w:rPr>
          <w:sz w:val="20"/>
          <w:szCs w:val="20"/>
          <w:color w:val="auto"/>
        </w:rPr>
      </w:pPr>
    </w:p>
    <w:p>
      <w:pPr>
        <w:spacing w:after="0"/>
        <w:rPr>
          <w:sz w:val="20"/>
          <w:szCs w:val="20"/>
          <w:color w:val="auto"/>
        </w:rPr>
      </w:pPr>
      <w:r>
        <w:rPr>
          <w:rFonts w:ascii="Arial" w:cs="Arial" w:eastAsia="Arial" w:hAnsi="Arial"/>
          <w:sz w:val="10"/>
          <w:szCs w:val="10"/>
          <w:color w:val="auto"/>
        </w:rPr>
        <w:t>Cash dividends received from subsidiaries and recorded in Cash Flow from Operating Activities in the Condensed Statement of Cash Flows were $426.1 million and $104.9 million for the year ended December 31, 2018 and 2017, respectively.</w:t>
      </w:r>
    </w:p>
    <w:p>
      <w:pPr>
        <w:spacing w:after="0" w:line="38" w:lineRule="exact"/>
        <w:rPr>
          <w:sz w:val="20"/>
          <w:szCs w:val="20"/>
          <w:color w:val="auto"/>
        </w:rPr>
      </w:pPr>
    </w:p>
    <w:p>
      <w:pPr>
        <w:spacing w:after="0"/>
        <w:rPr>
          <w:sz w:val="20"/>
          <w:szCs w:val="20"/>
          <w:color w:val="auto"/>
        </w:rPr>
      </w:pPr>
      <w:r>
        <w:rPr>
          <w:rFonts w:ascii="Arial" w:cs="Arial" w:eastAsia="Arial" w:hAnsi="Arial"/>
          <w:sz w:val="12"/>
          <w:szCs w:val="12"/>
          <w:color w:val="auto"/>
        </w:rPr>
        <w:t>No cash dividends were received for the year ended December 31,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S-4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42545</wp:posOffset>
            </wp:positionV>
            <wp:extent cx="7329170" cy="3683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31" w:right="219" w:bottom="1440" w:gutter="0" w:footer="0" w:header="0"/>
        </w:sectPr>
      </w:pPr>
    </w:p>
    <w:bookmarkStart w:id="121" w:name="page122"/>
    <w:bookmarkEnd w:id="121"/>
    <w:tbl>
      <w:tblPr>
        <w:tblLayout w:type="fixed"/>
        <w:tblInd w:w="0" w:type="dxa"/>
        <w:tblCellMar>
          <w:top w:w="0" w:type="dxa"/>
          <w:left w:w="0" w:type="dxa"/>
          <w:bottom w:w="0" w:type="dxa"/>
          <w:right w:w="0" w:type="dxa"/>
        </w:tblCellMar>
      </w:tblPr>
      <w:tr>
        <w:trPr>
          <w:trHeight w:val="138"/>
        </w:trPr>
        <w:tc>
          <w:tcPr>
            <w:tcW w:w="4300" w:type="dxa"/>
            <w:vAlign w:val="bottom"/>
            <w:gridSpan w:val="3"/>
          </w:tcPr>
          <w:p>
            <w:pPr>
              <w:spacing w:after="0"/>
              <w:rPr>
                <w:rFonts w:ascii="Arial" w:cs="Arial" w:eastAsia="Arial" w:hAnsi="Arial"/>
                <w:sz w:val="12"/>
                <w:szCs w:val="12"/>
                <w:color w:val="0000EE"/>
              </w:rPr>
            </w:pPr>
            <w:hyperlink w:anchor="page2">
              <w:r>
                <w:rPr>
                  <w:rFonts w:ascii="Arial" w:cs="Arial" w:eastAsia="Arial" w:hAnsi="Arial"/>
                  <w:sz w:val="12"/>
                  <w:szCs w:val="12"/>
                  <w:color w:val="0000EE"/>
                </w:rPr>
                <w:t>Table of Contents</w:t>
              </w:r>
            </w:hyperlink>
          </w:p>
        </w:tc>
        <w:tc>
          <w:tcPr>
            <w:tcW w:w="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444"/>
        </w:trPr>
        <w:tc>
          <w:tcPr>
            <w:tcW w:w="840" w:type="dxa"/>
            <w:vAlign w:val="bottom"/>
            <w:tcBorders>
              <w:top w:val="single" w:sz="8" w:color="0000EE"/>
            </w:tcBorders>
          </w:tcPr>
          <w:p>
            <w:pPr>
              <w:spacing w:after="0"/>
              <w:rPr>
                <w:sz w:val="24"/>
                <w:szCs w:val="24"/>
                <w:color w:val="auto"/>
              </w:rPr>
            </w:pPr>
          </w:p>
        </w:tc>
        <w:tc>
          <w:tcPr>
            <w:tcW w:w="3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4"/>
          </w:tcPr>
          <w:p>
            <w:pPr>
              <w:jc w:val="center"/>
              <w:ind w:left="841"/>
              <w:spacing w:after="0"/>
              <w:rPr>
                <w:sz w:val="20"/>
                <w:szCs w:val="20"/>
                <w:color w:val="auto"/>
              </w:rPr>
            </w:pPr>
            <w:r>
              <w:rPr>
                <w:rFonts w:ascii="Arial" w:cs="Arial" w:eastAsia="Arial" w:hAnsi="Arial"/>
                <w:sz w:val="12"/>
                <w:szCs w:val="12"/>
                <w:b w:val="1"/>
                <w:bCs w:val="1"/>
                <w:color w:val="auto"/>
                <w:w w:val="95"/>
              </w:rPr>
              <w:t>Uniti Group Inc.</w:t>
            </w: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44"/>
        </w:trPr>
        <w:tc>
          <w:tcPr>
            <w:tcW w:w="84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960" w:type="dxa"/>
            <w:vAlign w:val="bottom"/>
            <w:gridSpan w:val="6"/>
          </w:tcPr>
          <w:p>
            <w:pPr>
              <w:jc w:val="center"/>
              <w:ind w:right="260"/>
              <w:spacing w:after="0"/>
              <w:rPr>
                <w:sz w:val="20"/>
                <w:szCs w:val="20"/>
                <w:color w:val="auto"/>
              </w:rPr>
            </w:pPr>
            <w:r>
              <w:rPr>
                <w:rFonts w:ascii="Arial" w:cs="Arial" w:eastAsia="Arial" w:hAnsi="Arial"/>
                <w:sz w:val="12"/>
                <w:szCs w:val="12"/>
                <w:b w:val="1"/>
                <w:bCs w:val="1"/>
                <w:color w:val="auto"/>
                <w:w w:val="90"/>
              </w:rPr>
              <w:t>Schedule II – Valuation and Qualifying Accounts</w:t>
            </w:r>
          </w:p>
        </w:tc>
        <w:tc>
          <w:tcPr>
            <w:tcW w:w="4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7"/>
        </w:trPr>
        <w:tc>
          <w:tcPr>
            <w:tcW w:w="840" w:type="dxa"/>
            <w:vAlign w:val="bottom"/>
          </w:tcPr>
          <w:p>
            <w:pPr>
              <w:spacing w:after="0"/>
              <w:rPr>
                <w:sz w:val="13"/>
                <w:szCs w:val="13"/>
                <w:color w:val="auto"/>
              </w:rPr>
            </w:pPr>
          </w:p>
        </w:tc>
        <w:tc>
          <w:tcPr>
            <w:tcW w:w="3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60" w:type="dxa"/>
            <w:vAlign w:val="bottom"/>
            <w:gridSpan w:val="6"/>
          </w:tcPr>
          <w:p>
            <w:pPr>
              <w:jc w:val="center"/>
              <w:ind w:right="240"/>
              <w:spacing w:after="0"/>
              <w:rPr>
                <w:sz w:val="20"/>
                <w:szCs w:val="20"/>
                <w:color w:val="auto"/>
              </w:rPr>
            </w:pPr>
            <w:r>
              <w:rPr>
                <w:rFonts w:ascii="Arial" w:cs="Arial" w:eastAsia="Arial" w:hAnsi="Arial"/>
                <w:sz w:val="12"/>
                <w:szCs w:val="12"/>
                <w:b w:val="1"/>
                <w:bCs w:val="1"/>
                <w:color w:val="auto"/>
                <w:w w:val="89"/>
              </w:rPr>
              <w:t>(dollars in thousands)</w:t>
            </w:r>
          </w:p>
        </w:tc>
        <w:tc>
          <w:tcPr>
            <w:tcW w:w="4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306"/>
        </w:trPr>
        <w:tc>
          <w:tcPr>
            <w:tcW w:w="840" w:type="dxa"/>
            <w:vAlign w:val="bottom"/>
          </w:tcPr>
          <w:p>
            <w:pPr>
              <w:spacing w:after="0"/>
              <w:rPr>
                <w:sz w:val="24"/>
                <w:szCs w:val="24"/>
                <w:color w:val="auto"/>
              </w:rPr>
            </w:pPr>
          </w:p>
        </w:tc>
        <w:tc>
          <w:tcPr>
            <w:tcW w:w="3460" w:type="dxa"/>
            <w:vAlign w:val="bottom"/>
            <w:gridSpan w:val="2"/>
          </w:tcPr>
          <w:p>
            <w:pPr>
              <w:jc w:val="center"/>
              <w:ind w:right="1000"/>
              <w:spacing w:after="0"/>
              <w:rPr>
                <w:sz w:val="20"/>
                <w:szCs w:val="20"/>
                <w:color w:val="auto"/>
              </w:rPr>
            </w:pPr>
            <w:r>
              <w:rPr>
                <w:rFonts w:ascii="Arial" w:cs="Arial" w:eastAsia="Arial" w:hAnsi="Arial"/>
                <w:sz w:val="12"/>
                <w:szCs w:val="12"/>
                <w:color w:val="auto"/>
                <w:w w:val="94"/>
              </w:rPr>
              <w:t>Column A</w:t>
            </w:r>
          </w:p>
        </w:tc>
        <w:tc>
          <w:tcPr>
            <w:tcW w:w="80" w:type="dxa"/>
            <w:vAlign w:val="bottom"/>
          </w:tcPr>
          <w:p>
            <w:pPr>
              <w:spacing w:after="0"/>
              <w:rPr>
                <w:sz w:val="24"/>
                <w:szCs w:val="24"/>
                <w:color w:val="auto"/>
              </w:rPr>
            </w:pPr>
          </w:p>
        </w:tc>
        <w:tc>
          <w:tcPr>
            <w:tcW w:w="1520" w:type="dxa"/>
            <w:vAlign w:val="bottom"/>
            <w:gridSpan w:val="2"/>
          </w:tcPr>
          <w:p>
            <w:pPr>
              <w:ind w:left="380"/>
              <w:spacing w:after="0"/>
              <w:rPr>
                <w:sz w:val="20"/>
                <w:szCs w:val="20"/>
                <w:color w:val="auto"/>
              </w:rPr>
            </w:pPr>
            <w:r>
              <w:rPr>
                <w:rFonts w:ascii="Arial" w:cs="Arial" w:eastAsia="Arial" w:hAnsi="Arial"/>
                <w:sz w:val="12"/>
                <w:szCs w:val="12"/>
                <w:color w:val="auto"/>
              </w:rPr>
              <w:t>Column B</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0" w:type="dxa"/>
            <w:vAlign w:val="bottom"/>
            <w:gridSpan w:val="3"/>
          </w:tcPr>
          <w:p>
            <w:pPr>
              <w:jc w:val="center"/>
              <w:ind w:left="364"/>
              <w:spacing w:after="0"/>
              <w:rPr>
                <w:sz w:val="20"/>
                <w:szCs w:val="20"/>
                <w:color w:val="auto"/>
              </w:rPr>
            </w:pPr>
            <w:r>
              <w:rPr>
                <w:rFonts w:ascii="Arial" w:cs="Arial" w:eastAsia="Arial" w:hAnsi="Arial"/>
                <w:sz w:val="12"/>
                <w:szCs w:val="12"/>
                <w:color w:val="auto"/>
                <w:w w:val="93"/>
              </w:rPr>
              <w:t>Column C</w:t>
            </w: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gridSpan w:val="2"/>
          </w:tcPr>
          <w:p>
            <w:pPr>
              <w:jc w:val="right"/>
              <w:ind w:right="580"/>
              <w:spacing w:after="0"/>
              <w:rPr>
                <w:sz w:val="20"/>
                <w:szCs w:val="20"/>
                <w:color w:val="auto"/>
              </w:rPr>
            </w:pPr>
            <w:r>
              <w:rPr>
                <w:rFonts w:ascii="Arial" w:cs="Arial" w:eastAsia="Arial" w:hAnsi="Arial"/>
                <w:sz w:val="12"/>
                <w:szCs w:val="12"/>
                <w:color w:val="auto"/>
              </w:rPr>
              <w:t>Column D</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0" w:type="dxa"/>
            <w:vAlign w:val="bottom"/>
            <w:gridSpan w:val="2"/>
          </w:tcPr>
          <w:p>
            <w:pPr>
              <w:jc w:val="center"/>
              <w:ind w:right="300"/>
              <w:spacing w:after="0"/>
              <w:rPr>
                <w:sz w:val="20"/>
                <w:szCs w:val="20"/>
                <w:color w:val="auto"/>
              </w:rPr>
            </w:pPr>
            <w:r>
              <w:rPr>
                <w:rFonts w:ascii="Arial" w:cs="Arial" w:eastAsia="Arial" w:hAnsi="Arial"/>
                <w:sz w:val="12"/>
                <w:szCs w:val="12"/>
                <w:color w:val="auto"/>
                <w:w w:val="94"/>
              </w:rPr>
              <w:t>Column E</w:t>
            </w:r>
          </w:p>
        </w:tc>
        <w:tc>
          <w:tcPr>
            <w:tcW w:w="20" w:type="dxa"/>
            <w:vAlign w:val="bottom"/>
          </w:tcPr>
          <w:p>
            <w:pPr>
              <w:spacing w:after="0"/>
              <w:rPr>
                <w:sz w:val="24"/>
                <w:szCs w:val="24"/>
                <w:color w:val="auto"/>
              </w:rPr>
            </w:pPr>
          </w:p>
        </w:tc>
      </w:tr>
      <w:tr>
        <w:trPr>
          <w:trHeight w:val="151"/>
        </w:trPr>
        <w:tc>
          <w:tcPr>
            <w:tcW w:w="840" w:type="dxa"/>
            <w:vAlign w:val="bottom"/>
            <w:tcBorders>
              <w:top w:val="single" w:sz="8" w:color="auto"/>
            </w:tcBorders>
          </w:tcPr>
          <w:p>
            <w:pPr>
              <w:spacing w:after="0"/>
              <w:rPr>
                <w:sz w:val="13"/>
                <w:szCs w:val="13"/>
                <w:color w:val="auto"/>
              </w:rPr>
            </w:pPr>
          </w:p>
        </w:tc>
        <w:tc>
          <w:tcPr>
            <w:tcW w:w="3300" w:type="dxa"/>
            <w:vAlign w:val="bottom"/>
            <w:tcBorders>
              <w:top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340" w:type="dxa"/>
            <w:vAlign w:val="bottom"/>
            <w:tcBorders>
              <w:top w:val="single" w:sz="8" w:color="auto"/>
            </w:tcBorders>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1600" w:type="dxa"/>
            <w:vAlign w:val="bottom"/>
            <w:tcBorders>
              <w:top w:val="single" w:sz="8" w:color="auto"/>
              <w:bottom w:val="single" w:sz="8" w:color="auto"/>
            </w:tcBorders>
            <w:gridSpan w:val="3"/>
          </w:tcPr>
          <w:p>
            <w:pPr>
              <w:jc w:val="center"/>
              <w:ind w:left="364"/>
              <w:spacing w:after="0"/>
              <w:rPr>
                <w:sz w:val="20"/>
                <w:szCs w:val="20"/>
                <w:color w:val="auto"/>
              </w:rPr>
            </w:pPr>
            <w:r>
              <w:rPr>
                <w:rFonts w:ascii="Arial" w:cs="Arial" w:eastAsia="Arial" w:hAnsi="Arial"/>
                <w:sz w:val="10"/>
                <w:szCs w:val="10"/>
                <w:color w:val="auto"/>
                <w:w w:val="92"/>
              </w:rPr>
              <w:t>Additions</w:t>
            </w:r>
          </w:p>
        </w:tc>
        <w:tc>
          <w:tcPr>
            <w:tcW w:w="640" w:type="dxa"/>
            <w:vAlign w:val="bottom"/>
            <w:tcBorders>
              <w:top w:val="single" w:sz="8" w:color="auto"/>
              <w:bottom w:val="single" w:sz="8" w:color="auto"/>
            </w:tcBorders>
          </w:tcPr>
          <w:p>
            <w:pPr>
              <w:spacing w:after="0"/>
              <w:rPr>
                <w:sz w:val="13"/>
                <w:szCs w:val="13"/>
                <w:color w:val="auto"/>
              </w:rPr>
            </w:pPr>
          </w:p>
        </w:tc>
        <w:tc>
          <w:tcPr>
            <w:tcW w:w="260" w:type="dxa"/>
            <w:vAlign w:val="bottom"/>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1120" w:type="dxa"/>
            <w:vAlign w:val="bottom"/>
            <w:tcBorders>
              <w:top w:val="single" w:sz="8" w:color="auto"/>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85"/>
        </w:trPr>
        <w:tc>
          <w:tcPr>
            <w:tcW w:w="840" w:type="dxa"/>
            <w:vAlign w:val="bottom"/>
          </w:tcPr>
          <w:p>
            <w:pPr>
              <w:spacing w:after="0"/>
              <w:rPr>
                <w:sz w:val="7"/>
                <w:szCs w:val="7"/>
                <w:color w:val="auto"/>
              </w:rPr>
            </w:pPr>
          </w:p>
        </w:tc>
        <w:tc>
          <w:tcPr>
            <w:tcW w:w="330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160" w:type="dxa"/>
            <w:vAlign w:val="bottom"/>
            <w:gridSpan w:val="2"/>
          </w:tcPr>
          <w:p>
            <w:pPr>
              <w:jc w:val="right"/>
              <w:ind w:right="500"/>
              <w:spacing w:after="0" w:line="85" w:lineRule="exact"/>
              <w:rPr>
                <w:sz w:val="20"/>
                <w:szCs w:val="20"/>
                <w:color w:val="auto"/>
              </w:rPr>
            </w:pPr>
            <w:r>
              <w:rPr>
                <w:rFonts w:ascii="Arial" w:cs="Arial" w:eastAsia="Arial" w:hAnsi="Arial"/>
                <w:sz w:val="8"/>
                <w:szCs w:val="8"/>
                <w:color w:val="auto"/>
              </w:rPr>
              <w:t>Charged to Cost</w:t>
            </w: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112"/>
        </w:trPr>
        <w:tc>
          <w:tcPr>
            <w:tcW w:w="840" w:type="dxa"/>
            <w:vAlign w:val="bottom"/>
            <w:tcBorders>
              <w:bottom w:val="single" w:sz="8" w:color="auto"/>
            </w:tcBorders>
          </w:tcPr>
          <w:p>
            <w:pPr>
              <w:spacing w:after="0"/>
              <w:rPr>
                <w:sz w:val="9"/>
                <w:szCs w:val="9"/>
                <w:color w:val="auto"/>
              </w:rPr>
            </w:pPr>
          </w:p>
        </w:tc>
        <w:tc>
          <w:tcPr>
            <w:tcW w:w="3300" w:type="dxa"/>
            <w:vAlign w:val="bottom"/>
            <w:tcBorders>
              <w:bottom w:val="single" w:sz="8" w:color="auto"/>
            </w:tcBorders>
          </w:tcPr>
          <w:p>
            <w:pPr>
              <w:jc w:val="center"/>
              <w:ind w:right="806"/>
              <w:spacing w:after="0" w:line="112" w:lineRule="exact"/>
              <w:rPr>
                <w:sz w:val="20"/>
                <w:szCs w:val="20"/>
                <w:color w:val="auto"/>
              </w:rPr>
            </w:pPr>
            <w:r>
              <w:rPr>
                <w:rFonts w:ascii="Arial" w:cs="Arial" w:eastAsia="Arial" w:hAnsi="Arial"/>
                <w:sz w:val="10"/>
                <w:szCs w:val="10"/>
                <w:color w:val="auto"/>
                <w:w w:val="87"/>
              </w:rPr>
              <w:t>Description</w:t>
            </w:r>
          </w:p>
        </w:tc>
        <w:tc>
          <w:tcPr>
            <w:tcW w:w="160" w:type="dxa"/>
            <w:vAlign w:val="bottom"/>
            <w:tcBorders>
              <w:bottom w:val="single" w:sz="8" w:color="CFF0FC"/>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340" w:type="dxa"/>
            <w:vAlign w:val="bottom"/>
            <w:tcBorders>
              <w:bottom w:val="single" w:sz="8" w:color="auto"/>
            </w:tcBorders>
          </w:tcPr>
          <w:p>
            <w:pPr>
              <w:jc w:val="right"/>
              <w:ind w:right="61"/>
              <w:spacing w:after="0" w:line="112" w:lineRule="exact"/>
              <w:rPr>
                <w:sz w:val="20"/>
                <w:szCs w:val="20"/>
                <w:color w:val="auto"/>
              </w:rPr>
            </w:pPr>
            <w:r>
              <w:rPr>
                <w:rFonts w:ascii="Arial" w:cs="Arial" w:eastAsia="Arial" w:hAnsi="Arial"/>
                <w:sz w:val="10"/>
                <w:szCs w:val="10"/>
                <w:color w:val="auto"/>
                <w:w w:val="87"/>
              </w:rPr>
              <w:t>Balance at Beginning of Period</w:t>
            </w:r>
          </w:p>
        </w:tc>
        <w:tc>
          <w:tcPr>
            <w:tcW w:w="180" w:type="dxa"/>
            <w:vAlign w:val="bottom"/>
            <w:tcBorders>
              <w:bottom w:val="single" w:sz="8" w:color="CFF0FC"/>
            </w:tcBorders>
          </w:tcPr>
          <w:p>
            <w:pPr>
              <w:spacing w:after="0"/>
              <w:rPr>
                <w:sz w:val="9"/>
                <w:szCs w:val="9"/>
                <w:color w:val="auto"/>
              </w:rPr>
            </w:pPr>
          </w:p>
        </w:tc>
        <w:tc>
          <w:tcPr>
            <w:tcW w:w="80" w:type="dxa"/>
            <w:vAlign w:val="bottom"/>
            <w:tcBorders>
              <w:bottom w:val="single" w:sz="8" w:color="CFF0FC"/>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900" w:type="dxa"/>
            <w:vAlign w:val="bottom"/>
            <w:tcBorders>
              <w:bottom w:val="single" w:sz="8" w:color="auto"/>
            </w:tcBorders>
          </w:tcPr>
          <w:p>
            <w:pPr>
              <w:jc w:val="right"/>
              <w:ind w:right="244"/>
              <w:spacing w:after="0" w:line="112" w:lineRule="exact"/>
              <w:rPr>
                <w:sz w:val="20"/>
                <w:szCs w:val="20"/>
                <w:color w:val="auto"/>
              </w:rPr>
            </w:pPr>
            <w:r>
              <w:rPr>
                <w:rFonts w:ascii="Arial" w:cs="Arial" w:eastAsia="Arial" w:hAnsi="Arial"/>
                <w:sz w:val="10"/>
                <w:szCs w:val="10"/>
                <w:color w:val="auto"/>
                <w:w w:val="91"/>
              </w:rPr>
              <w:t>and Expenses</w:t>
            </w:r>
          </w:p>
        </w:tc>
        <w:tc>
          <w:tcPr>
            <w:tcW w:w="260" w:type="dxa"/>
            <w:vAlign w:val="bottom"/>
            <w:tcBorders>
              <w:bottom w:val="single" w:sz="8" w:color="CFF0FC"/>
            </w:tcBorders>
          </w:tcPr>
          <w:p>
            <w:pPr>
              <w:spacing w:after="0"/>
              <w:rPr>
                <w:sz w:val="9"/>
                <w:szCs w:val="9"/>
                <w:color w:val="auto"/>
              </w:rPr>
            </w:pPr>
          </w:p>
        </w:tc>
        <w:tc>
          <w:tcPr>
            <w:tcW w:w="1080" w:type="dxa"/>
            <w:vAlign w:val="bottom"/>
            <w:tcBorders>
              <w:bottom w:val="single" w:sz="8" w:color="auto"/>
            </w:tcBorders>
            <w:gridSpan w:val="2"/>
          </w:tcPr>
          <w:p>
            <w:pPr>
              <w:spacing w:after="0" w:line="112" w:lineRule="exact"/>
              <w:rPr>
                <w:sz w:val="20"/>
                <w:szCs w:val="20"/>
                <w:color w:val="auto"/>
              </w:rPr>
            </w:pPr>
            <w:r>
              <w:rPr>
                <w:rFonts w:ascii="Arial" w:cs="Arial" w:eastAsia="Arial" w:hAnsi="Arial"/>
                <w:sz w:val="10"/>
                <w:szCs w:val="10"/>
                <w:color w:val="auto"/>
                <w:w w:val="87"/>
              </w:rPr>
              <w:t>Charged to Other Accounts</w:t>
            </w:r>
          </w:p>
        </w:tc>
        <w:tc>
          <w:tcPr>
            <w:tcW w:w="260" w:type="dxa"/>
            <w:vAlign w:val="bottom"/>
            <w:tcBorders>
              <w:bottom w:val="single" w:sz="8" w:color="CFF0FC"/>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tcPr>
          <w:p>
            <w:pPr>
              <w:jc w:val="right"/>
              <w:ind w:right="401"/>
              <w:spacing w:after="0" w:line="112" w:lineRule="exact"/>
              <w:rPr>
                <w:sz w:val="20"/>
                <w:szCs w:val="20"/>
                <w:color w:val="auto"/>
              </w:rPr>
            </w:pPr>
            <w:r>
              <w:rPr>
                <w:rFonts w:ascii="Arial" w:cs="Arial" w:eastAsia="Arial" w:hAnsi="Arial"/>
                <w:sz w:val="10"/>
                <w:szCs w:val="10"/>
                <w:color w:val="auto"/>
              </w:rPr>
              <w:t>Deductions</w:t>
            </w:r>
          </w:p>
        </w:tc>
        <w:tc>
          <w:tcPr>
            <w:tcW w:w="140" w:type="dxa"/>
            <w:vAlign w:val="bottom"/>
            <w:tcBorders>
              <w:bottom w:val="single" w:sz="8" w:color="CFF0FC"/>
            </w:tcBorders>
          </w:tcPr>
          <w:p>
            <w:pPr>
              <w:spacing w:after="0"/>
              <w:rPr>
                <w:sz w:val="9"/>
                <w:szCs w:val="9"/>
                <w:color w:val="auto"/>
              </w:rPr>
            </w:pPr>
          </w:p>
        </w:tc>
        <w:tc>
          <w:tcPr>
            <w:tcW w:w="120" w:type="dxa"/>
            <w:vAlign w:val="bottom"/>
            <w:tcBorders>
              <w:bottom w:val="single" w:sz="8" w:color="CFF0FC"/>
            </w:tcBorders>
          </w:tcPr>
          <w:p>
            <w:pPr>
              <w:spacing w:after="0"/>
              <w:rPr>
                <w:sz w:val="9"/>
                <w:szCs w:val="9"/>
                <w:color w:val="auto"/>
              </w:rPr>
            </w:pPr>
          </w:p>
        </w:tc>
        <w:tc>
          <w:tcPr>
            <w:tcW w:w="1060" w:type="dxa"/>
            <w:vAlign w:val="bottom"/>
            <w:tcBorders>
              <w:bottom w:val="single" w:sz="8" w:color="auto"/>
            </w:tcBorders>
            <w:gridSpan w:val="2"/>
          </w:tcPr>
          <w:p>
            <w:pPr>
              <w:jc w:val="center"/>
              <w:spacing w:after="0" w:line="112" w:lineRule="exact"/>
              <w:rPr>
                <w:sz w:val="20"/>
                <w:szCs w:val="20"/>
                <w:color w:val="auto"/>
              </w:rPr>
            </w:pPr>
            <w:r>
              <w:rPr>
                <w:rFonts w:ascii="Arial" w:cs="Arial" w:eastAsia="Arial" w:hAnsi="Arial"/>
                <w:sz w:val="10"/>
                <w:szCs w:val="10"/>
                <w:color w:val="auto"/>
                <w:w w:val="86"/>
              </w:rPr>
              <w:t>Balance at End of Period</w:t>
            </w:r>
          </w:p>
        </w:tc>
        <w:tc>
          <w:tcPr>
            <w:tcW w:w="120" w:type="dxa"/>
            <w:vAlign w:val="bottom"/>
            <w:tcBorders>
              <w:bottom w:val="single" w:sz="8" w:color="CFF0FC"/>
            </w:tcBorders>
          </w:tcPr>
          <w:p>
            <w:pPr>
              <w:spacing w:after="0"/>
              <w:rPr>
                <w:sz w:val="9"/>
                <w:szCs w:val="9"/>
                <w:color w:val="auto"/>
              </w:rPr>
            </w:pPr>
          </w:p>
        </w:tc>
        <w:tc>
          <w:tcPr>
            <w:tcW w:w="20" w:type="dxa"/>
            <w:vAlign w:val="bottom"/>
          </w:tcPr>
          <w:p>
            <w:pPr>
              <w:spacing w:after="0"/>
              <w:rPr>
                <w:sz w:val="9"/>
                <w:szCs w:val="9"/>
                <w:color w:val="auto"/>
              </w:rPr>
            </w:pPr>
          </w:p>
        </w:tc>
      </w:tr>
      <w:tr>
        <w:trPr>
          <w:trHeight w:val="151"/>
        </w:trPr>
        <w:tc>
          <w:tcPr>
            <w:tcW w:w="4300" w:type="dxa"/>
            <w:vAlign w:val="bottom"/>
            <w:gridSpan w:val="3"/>
            <w:shd w:val="clear" w:color="auto" w:fill="CFF0FC"/>
          </w:tcPr>
          <w:p>
            <w:pPr>
              <w:spacing w:after="0"/>
              <w:rPr>
                <w:sz w:val="20"/>
                <w:szCs w:val="20"/>
                <w:color w:val="auto"/>
              </w:rPr>
            </w:pPr>
            <w:r>
              <w:rPr>
                <w:rFonts w:ascii="Arial" w:cs="Arial" w:eastAsia="Arial" w:hAnsi="Arial"/>
                <w:sz w:val="12"/>
                <w:szCs w:val="12"/>
                <w:color w:val="auto"/>
              </w:rPr>
              <w:t>Valuation allowance for deferred tax assets:</w:t>
            </w:r>
          </w:p>
        </w:tc>
        <w:tc>
          <w:tcPr>
            <w:tcW w:w="80" w:type="dxa"/>
            <w:vAlign w:val="bottom"/>
            <w:shd w:val="clear" w:color="auto" w:fill="CFF0FC"/>
          </w:tcPr>
          <w:p>
            <w:pPr>
              <w:spacing w:after="0"/>
              <w:rPr>
                <w:sz w:val="13"/>
                <w:szCs w:val="13"/>
                <w:color w:val="auto"/>
              </w:rPr>
            </w:pPr>
          </w:p>
        </w:tc>
        <w:tc>
          <w:tcPr>
            <w:tcW w:w="134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90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440" w:type="dxa"/>
            <w:vAlign w:val="bottom"/>
            <w:shd w:val="clear" w:color="auto" w:fill="CFF0FC"/>
          </w:tcPr>
          <w:p>
            <w:pPr>
              <w:spacing w:after="0"/>
              <w:rPr>
                <w:sz w:val="13"/>
                <w:szCs w:val="13"/>
                <w:color w:val="auto"/>
              </w:rPr>
            </w:pPr>
          </w:p>
        </w:tc>
        <w:tc>
          <w:tcPr>
            <w:tcW w:w="6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12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8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20" w:type="dxa"/>
            <w:vAlign w:val="bottom"/>
          </w:tcPr>
          <w:p>
            <w:pPr>
              <w:spacing w:after="0"/>
              <w:rPr>
                <w:sz w:val="13"/>
                <w:szCs w:val="13"/>
                <w:color w:val="auto"/>
              </w:rPr>
            </w:pPr>
          </w:p>
        </w:tc>
      </w:tr>
      <w:tr>
        <w:trPr>
          <w:trHeight w:val="162"/>
        </w:trPr>
        <w:tc>
          <w:tcPr>
            <w:tcW w:w="4300" w:type="dxa"/>
            <w:vAlign w:val="bottom"/>
            <w:gridSpan w:val="3"/>
          </w:tcPr>
          <w:p>
            <w:pPr>
              <w:ind w:left="160"/>
              <w:spacing w:after="0"/>
              <w:rPr>
                <w:sz w:val="20"/>
                <w:szCs w:val="20"/>
                <w:color w:val="auto"/>
              </w:rPr>
            </w:pPr>
            <w:r>
              <w:rPr>
                <w:rFonts w:ascii="Arial" w:cs="Arial" w:eastAsia="Arial" w:hAnsi="Arial"/>
                <w:sz w:val="12"/>
                <w:szCs w:val="12"/>
                <w:color w:val="auto"/>
              </w:rPr>
              <w:t>Year Ended December 31, 2018</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tcPr>
          <w:p>
            <w:pPr>
              <w:jc w:val="right"/>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28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90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4"/>
                <w:szCs w:val="14"/>
                <w:color w:val="auto"/>
              </w:rPr>
            </w:pPr>
          </w:p>
        </w:tc>
        <w:tc>
          <w:tcPr>
            <w:tcW w:w="440" w:type="dxa"/>
            <w:vAlign w:val="bottom"/>
          </w:tcPr>
          <w:p>
            <w:pPr>
              <w:spacing w:after="0"/>
              <w:rPr>
                <w:sz w:val="20"/>
                <w:szCs w:val="20"/>
                <w:color w:val="auto"/>
              </w:rPr>
            </w:pPr>
            <w:r>
              <w:rPr>
                <w:rFonts w:ascii="Arial" w:cs="Arial" w:eastAsia="Arial" w:hAnsi="Arial"/>
                <w:sz w:val="12"/>
                <w:szCs w:val="12"/>
                <w:color w:val="auto"/>
              </w:rPr>
              <w:t>$</w:t>
            </w:r>
          </w:p>
        </w:tc>
        <w:tc>
          <w:tcPr>
            <w:tcW w:w="64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4"/>
                <w:szCs w:val="14"/>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12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30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300" w:type="dxa"/>
            <w:vAlign w:val="bottom"/>
            <w:gridSpan w:val="3"/>
            <w:shd w:val="clear" w:color="auto" w:fill="CFF0FC"/>
          </w:tcPr>
          <w:p>
            <w:pPr>
              <w:ind w:left="160"/>
              <w:spacing w:after="0"/>
              <w:rPr>
                <w:sz w:val="20"/>
                <w:szCs w:val="20"/>
                <w:color w:val="auto"/>
              </w:rPr>
            </w:pPr>
            <w:r>
              <w:rPr>
                <w:rFonts w:ascii="Arial" w:cs="Arial" w:eastAsia="Arial" w:hAnsi="Arial"/>
                <w:sz w:val="12"/>
                <w:szCs w:val="12"/>
                <w:color w:val="auto"/>
              </w:rPr>
              <w:t>Year Ended December 31, 2017</w:t>
            </w: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8,176</w:t>
            </w:r>
          </w:p>
        </w:tc>
        <w:tc>
          <w:tcPr>
            <w:tcW w:w="180" w:type="dxa"/>
            <w:vAlign w:val="bottom"/>
            <w:shd w:val="clear" w:color="auto" w:fill="CFF0FC"/>
          </w:tcPr>
          <w:p>
            <w:pPr>
              <w:spacing w:after="0"/>
              <w:rPr>
                <w:sz w:val="14"/>
                <w:szCs w:val="14"/>
                <w:color w:val="auto"/>
              </w:rPr>
            </w:pPr>
          </w:p>
        </w:tc>
        <w:tc>
          <w:tcPr>
            <w:tcW w:w="28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20"/>
                <w:szCs w:val="20"/>
                <w:color w:val="auto"/>
              </w:rPr>
            </w:pPr>
            <w:r>
              <w:rPr>
                <w:rFonts w:ascii="Arial" w:cs="Arial" w:eastAsia="Arial" w:hAnsi="Arial"/>
                <w:sz w:val="12"/>
                <w:szCs w:val="12"/>
                <w:color w:val="auto"/>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260" w:type="dxa"/>
            <w:vAlign w:val="bottom"/>
            <w:shd w:val="clear" w:color="auto" w:fill="CFF0FC"/>
          </w:tcPr>
          <w:p>
            <w:pPr>
              <w:spacing w:after="0"/>
              <w:rPr>
                <w:sz w:val="14"/>
                <w:szCs w:val="14"/>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(8,176)</w:t>
            </w:r>
          </w:p>
        </w:tc>
        <w:tc>
          <w:tcPr>
            <w:tcW w:w="300" w:type="dxa"/>
            <w:vAlign w:val="bottom"/>
            <w:gridSpan w:val="2"/>
            <w:shd w:val="clear" w:color="auto" w:fill="CFF0FC"/>
          </w:tcPr>
          <w:p>
            <w:pPr>
              <w:jc w:val="right"/>
              <w:ind w:right="72"/>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300" w:type="dxa"/>
            <w:vAlign w:val="bottom"/>
            <w:gridSpan w:val="3"/>
          </w:tcPr>
          <w:p>
            <w:pPr>
              <w:ind w:left="160"/>
              <w:spacing w:after="0"/>
              <w:rPr>
                <w:sz w:val="20"/>
                <w:szCs w:val="20"/>
                <w:color w:val="auto"/>
              </w:rPr>
            </w:pPr>
            <w:r>
              <w:rPr>
                <w:rFonts w:ascii="Arial" w:cs="Arial" w:eastAsia="Arial" w:hAnsi="Arial"/>
                <w:sz w:val="12"/>
                <w:szCs w:val="12"/>
                <w:color w:val="auto"/>
              </w:rPr>
              <w:t>Year Ended December 31, 2016</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tcPr>
          <w:p>
            <w:pPr>
              <w:jc w:val="right"/>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28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90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4"/>
                <w:szCs w:val="14"/>
                <w:color w:val="auto"/>
              </w:rPr>
            </w:pPr>
          </w:p>
        </w:tc>
        <w:tc>
          <w:tcPr>
            <w:tcW w:w="440" w:type="dxa"/>
            <w:vAlign w:val="bottom"/>
          </w:tcPr>
          <w:p>
            <w:pPr>
              <w:spacing w:after="0"/>
              <w:rPr>
                <w:sz w:val="20"/>
                <w:szCs w:val="20"/>
                <w:color w:val="auto"/>
              </w:rPr>
            </w:pPr>
            <w:r>
              <w:rPr>
                <w:rFonts w:ascii="Arial" w:cs="Arial" w:eastAsia="Arial" w:hAnsi="Arial"/>
                <w:sz w:val="12"/>
                <w:szCs w:val="12"/>
                <w:color w:val="auto"/>
              </w:rPr>
              <w:t>$</w:t>
            </w:r>
          </w:p>
        </w:tc>
        <w:tc>
          <w:tcPr>
            <w:tcW w:w="640" w:type="dxa"/>
            <w:vAlign w:val="bottom"/>
          </w:tcPr>
          <w:p>
            <w:pPr>
              <w:jc w:val="right"/>
              <w:spacing w:after="0"/>
              <w:rPr>
                <w:sz w:val="20"/>
                <w:szCs w:val="20"/>
                <w:color w:val="auto"/>
              </w:rPr>
            </w:pPr>
            <w:r>
              <w:rPr>
                <w:rFonts w:ascii="Arial" w:cs="Arial" w:eastAsia="Arial" w:hAnsi="Arial"/>
                <w:sz w:val="12"/>
                <w:szCs w:val="12"/>
                <w:color w:val="auto"/>
              </w:rPr>
              <w:t>8,176</w:t>
            </w:r>
          </w:p>
        </w:tc>
        <w:tc>
          <w:tcPr>
            <w:tcW w:w="260" w:type="dxa"/>
            <w:vAlign w:val="bottom"/>
          </w:tcPr>
          <w:p>
            <w:pPr>
              <w:spacing w:after="0"/>
              <w:rPr>
                <w:sz w:val="14"/>
                <w:szCs w:val="14"/>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12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30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8,176</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300" w:type="dxa"/>
            <w:vAlign w:val="bottom"/>
            <w:gridSpan w:val="3"/>
            <w:shd w:val="clear" w:color="auto" w:fill="CFF0FC"/>
          </w:tcPr>
          <w:p>
            <w:pPr>
              <w:spacing w:after="0"/>
              <w:rPr>
                <w:sz w:val="20"/>
                <w:szCs w:val="20"/>
                <w:color w:val="auto"/>
              </w:rPr>
            </w:pPr>
            <w:r>
              <w:rPr>
                <w:rFonts w:ascii="Arial" w:cs="Arial" w:eastAsia="Arial" w:hAnsi="Arial"/>
                <w:sz w:val="12"/>
                <w:szCs w:val="12"/>
                <w:color w:val="auto"/>
              </w:rPr>
              <w:t>Allowance for Doubtful Accounts</w:t>
            </w:r>
          </w:p>
        </w:tc>
        <w:tc>
          <w:tcPr>
            <w:tcW w:w="8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9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64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1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300" w:type="dxa"/>
            <w:vAlign w:val="bottom"/>
            <w:gridSpan w:val="3"/>
          </w:tcPr>
          <w:p>
            <w:pPr>
              <w:ind w:left="160"/>
              <w:spacing w:after="0"/>
              <w:rPr>
                <w:sz w:val="20"/>
                <w:szCs w:val="20"/>
                <w:color w:val="auto"/>
              </w:rPr>
            </w:pPr>
            <w:r>
              <w:rPr>
                <w:rFonts w:ascii="Arial" w:cs="Arial" w:eastAsia="Arial" w:hAnsi="Arial"/>
                <w:sz w:val="12"/>
                <w:szCs w:val="12"/>
                <w:color w:val="auto"/>
              </w:rPr>
              <w:t>Year Ended December 31, 2018</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tcPr>
          <w:p>
            <w:pPr>
              <w:jc w:val="right"/>
              <w:spacing w:after="0"/>
              <w:rPr>
                <w:sz w:val="20"/>
                <w:szCs w:val="20"/>
                <w:color w:val="auto"/>
              </w:rPr>
            </w:pPr>
            <w:r>
              <w:rPr>
                <w:rFonts w:ascii="Arial" w:cs="Arial" w:eastAsia="Arial" w:hAnsi="Arial"/>
                <w:sz w:val="12"/>
                <w:szCs w:val="12"/>
                <w:color w:val="auto"/>
              </w:rPr>
              <w:t>1,011</w:t>
            </w:r>
          </w:p>
        </w:tc>
        <w:tc>
          <w:tcPr>
            <w:tcW w:w="180" w:type="dxa"/>
            <w:vAlign w:val="bottom"/>
          </w:tcPr>
          <w:p>
            <w:pPr>
              <w:spacing w:after="0"/>
              <w:rPr>
                <w:sz w:val="14"/>
                <w:szCs w:val="14"/>
                <w:color w:val="auto"/>
              </w:rPr>
            </w:pPr>
          </w:p>
        </w:tc>
        <w:tc>
          <w:tcPr>
            <w:tcW w:w="28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900" w:type="dxa"/>
            <w:vAlign w:val="bottom"/>
          </w:tcPr>
          <w:p>
            <w:pPr>
              <w:jc w:val="right"/>
              <w:spacing w:after="0"/>
              <w:rPr>
                <w:sz w:val="20"/>
                <w:szCs w:val="20"/>
                <w:color w:val="auto"/>
              </w:rPr>
            </w:pPr>
            <w:r>
              <w:rPr>
                <w:rFonts w:ascii="Arial" w:cs="Arial" w:eastAsia="Arial" w:hAnsi="Arial"/>
                <w:sz w:val="12"/>
                <w:szCs w:val="12"/>
                <w:color w:val="auto"/>
              </w:rPr>
              <w:t>1,333</w:t>
            </w:r>
          </w:p>
        </w:tc>
        <w:tc>
          <w:tcPr>
            <w:tcW w:w="260" w:type="dxa"/>
            <w:vAlign w:val="bottom"/>
          </w:tcPr>
          <w:p>
            <w:pPr>
              <w:spacing w:after="0"/>
              <w:rPr>
                <w:sz w:val="14"/>
                <w:szCs w:val="14"/>
                <w:color w:val="auto"/>
              </w:rPr>
            </w:pPr>
          </w:p>
        </w:tc>
        <w:tc>
          <w:tcPr>
            <w:tcW w:w="440" w:type="dxa"/>
            <w:vAlign w:val="bottom"/>
          </w:tcPr>
          <w:p>
            <w:pPr>
              <w:spacing w:after="0"/>
              <w:rPr>
                <w:sz w:val="20"/>
                <w:szCs w:val="20"/>
                <w:color w:val="auto"/>
              </w:rPr>
            </w:pPr>
            <w:r>
              <w:rPr>
                <w:rFonts w:ascii="Arial" w:cs="Arial" w:eastAsia="Arial" w:hAnsi="Arial"/>
                <w:sz w:val="12"/>
                <w:szCs w:val="12"/>
                <w:color w:val="auto"/>
              </w:rPr>
              <w:t>$</w:t>
            </w:r>
          </w:p>
        </w:tc>
        <w:tc>
          <w:tcPr>
            <w:tcW w:w="64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4"/>
                <w:szCs w:val="14"/>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260" w:type="dxa"/>
            <w:vAlign w:val="bottom"/>
            <w:gridSpan w:val="2"/>
          </w:tcPr>
          <w:p>
            <w:pPr>
              <w:jc w:val="right"/>
              <w:ind w:right="100"/>
              <w:spacing w:after="0"/>
              <w:rPr>
                <w:sz w:val="20"/>
                <w:szCs w:val="20"/>
                <w:color w:val="auto"/>
              </w:rPr>
            </w:pPr>
            <w:r>
              <w:rPr>
                <w:rFonts w:ascii="Arial" w:cs="Arial" w:eastAsia="Arial" w:hAnsi="Arial"/>
                <w:sz w:val="12"/>
                <w:szCs w:val="12"/>
                <w:color w:val="auto"/>
              </w:rPr>
              <w:t>(56)</w:t>
            </w:r>
          </w:p>
        </w:tc>
        <w:tc>
          <w:tcPr>
            <w:tcW w:w="30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2,288</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300" w:type="dxa"/>
            <w:vAlign w:val="bottom"/>
            <w:gridSpan w:val="3"/>
            <w:shd w:val="clear" w:color="auto" w:fill="CFF0FC"/>
          </w:tcPr>
          <w:p>
            <w:pPr>
              <w:ind w:left="160"/>
              <w:spacing w:after="0"/>
              <w:rPr>
                <w:sz w:val="20"/>
                <w:szCs w:val="20"/>
                <w:color w:val="auto"/>
              </w:rPr>
            </w:pPr>
            <w:r>
              <w:rPr>
                <w:rFonts w:ascii="Arial" w:cs="Arial" w:eastAsia="Arial" w:hAnsi="Arial"/>
                <w:sz w:val="12"/>
                <w:szCs w:val="12"/>
                <w:color w:val="auto"/>
              </w:rPr>
              <w:t>Year Ended December 31, 2017</w:t>
            </w: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1,352</w:t>
            </w:r>
          </w:p>
        </w:tc>
        <w:tc>
          <w:tcPr>
            <w:tcW w:w="180" w:type="dxa"/>
            <w:vAlign w:val="bottom"/>
            <w:shd w:val="clear" w:color="auto" w:fill="CFF0FC"/>
          </w:tcPr>
          <w:p>
            <w:pPr>
              <w:spacing w:after="0"/>
              <w:rPr>
                <w:sz w:val="14"/>
                <w:szCs w:val="14"/>
                <w:color w:val="auto"/>
              </w:rPr>
            </w:pPr>
          </w:p>
        </w:tc>
        <w:tc>
          <w:tcPr>
            <w:tcW w:w="280" w:type="dxa"/>
            <w:vAlign w:val="bottom"/>
            <w:gridSpan w:val="2"/>
            <w:shd w:val="clear" w:color="auto" w:fill="CFF0FC"/>
          </w:tcPr>
          <w:p>
            <w:pPr>
              <w:jc w:val="right"/>
              <w:ind w:right="140"/>
              <w:spacing w:after="0"/>
              <w:rPr>
                <w:sz w:val="20"/>
                <w:szCs w:val="20"/>
                <w:color w:val="auto"/>
              </w:rPr>
            </w:pPr>
            <w:r>
              <w:rPr>
                <w:rFonts w:ascii="Arial" w:cs="Arial" w:eastAsia="Arial" w:hAnsi="Arial"/>
                <w:sz w:val="12"/>
                <w:szCs w:val="12"/>
                <w:color w:val="auto"/>
              </w:rPr>
              <w:t>$</w:t>
            </w:r>
          </w:p>
        </w:tc>
        <w:tc>
          <w:tcPr>
            <w:tcW w:w="116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(86)</w:t>
            </w:r>
          </w:p>
        </w:tc>
        <w:tc>
          <w:tcPr>
            <w:tcW w:w="440" w:type="dxa"/>
            <w:vAlign w:val="bottom"/>
            <w:shd w:val="clear" w:color="auto" w:fill="CFF0FC"/>
          </w:tcPr>
          <w:p>
            <w:pPr>
              <w:spacing w:after="0"/>
              <w:rPr>
                <w:sz w:val="20"/>
                <w:szCs w:val="20"/>
                <w:color w:val="auto"/>
              </w:rPr>
            </w:pPr>
            <w:r>
              <w:rPr>
                <w:rFonts w:ascii="Arial" w:cs="Arial" w:eastAsia="Arial" w:hAnsi="Arial"/>
                <w:sz w:val="12"/>
                <w:szCs w:val="12"/>
                <w:color w:val="auto"/>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45</w:t>
            </w:r>
          </w:p>
        </w:tc>
        <w:tc>
          <w:tcPr>
            <w:tcW w:w="260" w:type="dxa"/>
            <w:vAlign w:val="bottom"/>
            <w:shd w:val="clear" w:color="auto" w:fill="CFF0FC"/>
          </w:tcPr>
          <w:p>
            <w:pPr>
              <w:spacing w:after="0"/>
              <w:rPr>
                <w:sz w:val="14"/>
                <w:szCs w:val="14"/>
                <w:color w:val="auto"/>
              </w:rPr>
            </w:pPr>
          </w:p>
        </w:tc>
        <w:tc>
          <w:tcPr>
            <w:tcW w:w="240" w:type="dxa"/>
            <w:vAlign w:val="bottom"/>
            <w:shd w:val="clear" w:color="auto" w:fill="CFF0FC"/>
          </w:tcPr>
          <w:p>
            <w:pPr>
              <w:jc w:val="right"/>
              <w:ind w:right="130"/>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FF0FC"/>
          </w:tcPr>
          <w:p>
            <w:pPr>
              <w:jc w:val="right"/>
              <w:ind w:right="100"/>
              <w:spacing w:after="0"/>
              <w:rPr>
                <w:sz w:val="20"/>
                <w:szCs w:val="20"/>
                <w:color w:val="auto"/>
              </w:rPr>
            </w:pPr>
            <w:r>
              <w:rPr>
                <w:rFonts w:ascii="Arial" w:cs="Arial" w:eastAsia="Arial" w:hAnsi="Arial"/>
                <w:sz w:val="12"/>
                <w:szCs w:val="12"/>
                <w:color w:val="auto"/>
              </w:rPr>
              <w:t>(300)</w:t>
            </w:r>
          </w:p>
        </w:tc>
        <w:tc>
          <w:tcPr>
            <w:tcW w:w="300" w:type="dxa"/>
            <w:vAlign w:val="bottom"/>
            <w:gridSpan w:val="2"/>
            <w:shd w:val="clear" w:color="auto" w:fill="CFF0FC"/>
          </w:tcPr>
          <w:p>
            <w:pPr>
              <w:jc w:val="right"/>
              <w:ind w:right="72"/>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1,011</w:t>
            </w:r>
          </w:p>
        </w:tc>
        <w:tc>
          <w:tcPr>
            <w:tcW w:w="12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r>
      <w:tr>
        <w:trPr>
          <w:trHeight w:val="162"/>
        </w:trPr>
        <w:tc>
          <w:tcPr>
            <w:tcW w:w="4300" w:type="dxa"/>
            <w:vAlign w:val="bottom"/>
            <w:gridSpan w:val="3"/>
          </w:tcPr>
          <w:p>
            <w:pPr>
              <w:ind w:left="160"/>
              <w:spacing w:after="0"/>
              <w:rPr>
                <w:sz w:val="20"/>
                <w:szCs w:val="20"/>
                <w:color w:val="auto"/>
              </w:rPr>
            </w:pPr>
            <w:r>
              <w:rPr>
                <w:rFonts w:ascii="Arial" w:cs="Arial" w:eastAsia="Arial" w:hAnsi="Arial"/>
                <w:sz w:val="12"/>
                <w:szCs w:val="12"/>
                <w:color w:val="auto"/>
              </w:rPr>
              <w:t>Year Ended December 31, 2016</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340" w:type="dxa"/>
            <w:vAlign w:val="bottom"/>
          </w:tcPr>
          <w:p>
            <w:pPr>
              <w:jc w:val="right"/>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28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900" w:type="dxa"/>
            <w:vAlign w:val="bottom"/>
          </w:tcPr>
          <w:p>
            <w:pPr>
              <w:jc w:val="right"/>
              <w:spacing w:after="0"/>
              <w:rPr>
                <w:sz w:val="20"/>
                <w:szCs w:val="20"/>
                <w:color w:val="auto"/>
              </w:rPr>
            </w:pPr>
            <w:r>
              <w:rPr>
                <w:rFonts w:ascii="Arial" w:cs="Arial" w:eastAsia="Arial" w:hAnsi="Arial"/>
                <w:sz w:val="12"/>
                <w:szCs w:val="12"/>
                <w:color w:val="auto"/>
              </w:rPr>
              <w:t>1,352</w:t>
            </w:r>
          </w:p>
        </w:tc>
        <w:tc>
          <w:tcPr>
            <w:tcW w:w="260" w:type="dxa"/>
            <w:vAlign w:val="bottom"/>
          </w:tcPr>
          <w:p>
            <w:pPr>
              <w:spacing w:after="0"/>
              <w:rPr>
                <w:sz w:val="14"/>
                <w:szCs w:val="14"/>
                <w:color w:val="auto"/>
              </w:rPr>
            </w:pPr>
          </w:p>
        </w:tc>
        <w:tc>
          <w:tcPr>
            <w:tcW w:w="440" w:type="dxa"/>
            <w:vAlign w:val="bottom"/>
          </w:tcPr>
          <w:p>
            <w:pPr>
              <w:spacing w:after="0"/>
              <w:rPr>
                <w:sz w:val="20"/>
                <w:szCs w:val="20"/>
                <w:color w:val="auto"/>
              </w:rPr>
            </w:pPr>
            <w:r>
              <w:rPr>
                <w:rFonts w:ascii="Arial" w:cs="Arial" w:eastAsia="Arial" w:hAnsi="Arial"/>
                <w:sz w:val="12"/>
                <w:szCs w:val="12"/>
                <w:color w:val="auto"/>
              </w:rPr>
              <w:t>$</w:t>
            </w:r>
          </w:p>
        </w:tc>
        <w:tc>
          <w:tcPr>
            <w:tcW w:w="640" w:type="dxa"/>
            <w:vAlign w:val="bottom"/>
          </w:tcPr>
          <w:p>
            <w:pPr>
              <w:jc w:val="right"/>
              <w:spacing w:after="0"/>
              <w:rPr>
                <w:sz w:val="20"/>
                <w:szCs w:val="20"/>
                <w:color w:val="auto"/>
              </w:rPr>
            </w:pPr>
            <w:r>
              <w:rPr>
                <w:rFonts w:ascii="Arial" w:cs="Arial" w:eastAsia="Arial" w:hAnsi="Arial"/>
                <w:sz w:val="12"/>
                <w:szCs w:val="12"/>
                <w:color w:val="auto"/>
              </w:rPr>
              <w:t>-</w:t>
            </w:r>
          </w:p>
        </w:tc>
        <w:tc>
          <w:tcPr>
            <w:tcW w:w="260" w:type="dxa"/>
            <w:vAlign w:val="bottom"/>
          </w:tcPr>
          <w:p>
            <w:pPr>
              <w:spacing w:after="0"/>
              <w:rPr>
                <w:sz w:val="14"/>
                <w:szCs w:val="14"/>
                <w:color w:val="auto"/>
              </w:rPr>
            </w:pPr>
          </w:p>
        </w:tc>
        <w:tc>
          <w:tcPr>
            <w:tcW w:w="240" w:type="dxa"/>
            <w:vAlign w:val="bottom"/>
          </w:tcPr>
          <w:p>
            <w:pPr>
              <w:jc w:val="right"/>
              <w:ind w:right="130"/>
              <w:spacing w:after="0"/>
              <w:rPr>
                <w:sz w:val="20"/>
                <w:szCs w:val="20"/>
                <w:color w:val="auto"/>
              </w:rPr>
            </w:pPr>
            <w:r>
              <w:rPr>
                <w:rFonts w:ascii="Arial" w:cs="Arial" w:eastAsia="Arial" w:hAnsi="Arial"/>
                <w:sz w:val="10"/>
                <w:szCs w:val="10"/>
                <w:color w:val="auto"/>
                <w:w w:val="71"/>
              </w:rPr>
              <w:t>$</w:t>
            </w:r>
          </w:p>
        </w:tc>
        <w:tc>
          <w:tcPr>
            <w:tcW w:w="1120" w:type="dxa"/>
            <w:vAlign w:val="bottom"/>
          </w:tcPr>
          <w:p>
            <w:pPr>
              <w:jc w:val="right"/>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300" w:type="dxa"/>
            <w:vAlign w:val="bottom"/>
            <w:gridSpan w:val="2"/>
          </w:tcPr>
          <w:p>
            <w:pPr>
              <w:jc w:val="right"/>
              <w:ind w:right="72"/>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1,352</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721"/>
        </w:trPr>
        <w:tc>
          <w:tcPr>
            <w:tcW w:w="84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20" w:type="dxa"/>
            <w:vAlign w:val="bottom"/>
            <w:gridSpan w:val="2"/>
          </w:tcPr>
          <w:p>
            <w:pPr>
              <w:jc w:val="center"/>
              <w:ind w:left="1141"/>
              <w:spacing w:after="0"/>
              <w:rPr>
                <w:sz w:val="20"/>
                <w:szCs w:val="20"/>
                <w:color w:val="auto"/>
              </w:rPr>
            </w:pPr>
            <w:r>
              <w:rPr>
                <w:rFonts w:ascii="Arial" w:cs="Arial" w:eastAsia="Arial" w:hAnsi="Arial"/>
                <w:sz w:val="12"/>
                <w:szCs w:val="12"/>
                <w:color w:val="auto"/>
                <w:w w:val="85"/>
              </w:rPr>
              <w:t>S-5</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2"/>
        </w:trPr>
        <w:tc>
          <w:tcPr>
            <w:tcW w:w="840" w:type="dxa"/>
            <w:vAlign w:val="bottom"/>
            <w:tcBorders>
              <w:bottom w:val="single" w:sz="8" w:color="9A9A9A"/>
            </w:tcBorders>
          </w:tcPr>
          <w:p>
            <w:pPr>
              <w:spacing w:after="0"/>
              <w:rPr>
                <w:sz w:val="6"/>
                <w:szCs w:val="6"/>
                <w:color w:val="auto"/>
              </w:rPr>
            </w:pPr>
          </w:p>
        </w:tc>
        <w:tc>
          <w:tcPr>
            <w:tcW w:w="330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200" w:type="dxa"/>
            <w:vAlign w:val="bottom"/>
            <w:tcBorders>
              <w:bottom w:val="single" w:sz="8" w:color="9A9A9A"/>
            </w:tcBorders>
          </w:tcPr>
          <w:p>
            <w:pPr>
              <w:spacing w:after="0"/>
              <w:rPr>
                <w:sz w:val="6"/>
                <w:szCs w:val="6"/>
                <w:color w:val="auto"/>
              </w:rPr>
            </w:pPr>
          </w:p>
        </w:tc>
        <w:tc>
          <w:tcPr>
            <w:tcW w:w="90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44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112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5">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6">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19" w:right="179" w:bottom="1440" w:gutter="0" w:footer="0" w:header="0"/>
        </w:sectPr>
      </w:pPr>
    </w:p>
    <w:bookmarkStart w:id="122" w:name="page123"/>
    <w:bookmarkEnd w:id="122"/>
    <w:p>
      <w:pPr>
        <w:ind w:left="4"/>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ind w:right="-3"/>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ind w:right="-3"/>
        <w:spacing w:after="0"/>
        <w:rPr>
          <w:sz w:val="20"/>
          <w:szCs w:val="20"/>
          <w:color w:val="auto"/>
        </w:rPr>
      </w:pPr>
      <w:r>
        <w:rPr>
          <w:rFonts w:ascii="Arial" w:cs="Arial" w:eastAsia="Arial" w:hAnsi="Arial"/>
          <w:sz w:val="12"/>
          <w:szCs w:val="12"/>
          <w:b w:val="1"/>
          <w:bCs w:val="1"/>
          <w:color w:val="auto"/>
        </w:rPr>
        <w:t>Schedule III – Real Estate Investments and Accumulated Depreciation</w:t>
      </w:r>
    </w:p>
    <w:p>
      <w:pPr>
        <w:spacing w:after="0" w:line="6" w:lineRule="exact"/>
        <w:rPr>
          <w:sz w:val="20"/>
          <w:szCs w:val="20"/>
          <w:color w:val="auto"/>
        </w:rPr>
      </w:pPr>
    </w:p>
    <w:p>
      <w:pPr>
        <w:jc w:val="center"/>
        <w:ind w:right="-3"/>
        <w:spacing w:after="0"/>
        <w:rPr>
          <w:sz w:val="20"/>
          <w:szCs w:val="20"/>
          <w:color w:val="auto"/>
        </w:rPr>
      </w:pPr>
      <w:r>
        <w:rPr>
          <w:rFonts w:ascii="Arial" w:cs="Arial" w:eastAsia="Arial" w:hAnsi="Arial"/>
          <w:sz w:val="12"/>
          <w:szCs w:val="12"/>
          <w:b w:val="1"/>
          <w:bCs w:val="1"/>
          <w:color w:val="auto"/>
        </w:rPr>
        <w:t>As of December 31, 2018</w:t>
      </w:r>
    </w:p>
    <w:p>
      <w:pPr>
        <w:spacing w:after="0" w:line="6" w:lineRule="exact"/>
        <w:rPr>
          <w:sz w:val="20"/>
          <w:szCs w:val="20"/>
          <w:color w:val="auto"/>
        </w:rPr>
      </w:pPr>
    </w:p>
    <w:p>
      <w:pPr>
        <w:jc w:val="center"/>
        <w:ind w:right="-3"/>
        <w:spacing w:after="0"/>
        <w:rPr>
          <w:sz w:val="20"/>
          <w:szCs w:val="20"/>
          <w:color w:val="auto"/>
        </w:rPr>
      </w:pPr>
      <w:r>
        <w:rPr>
          <w:rFonts w:ascii="Arial" w:cs="Arial" w:eastAsia="Arial" w:hAnsi="Arial"/>
          <w:sz w:val="12"/>
          <w:szCs w:val="12"/>
          <w:b w:val="1"/>
          <w:bCs w:val="1"/>
          <w:color w:val="auto"/>
        </w:rPr>
        <w:t>(dollars in thousands)</w:t>
      </w:r>
    </w:p>
    <w:p>
      <w:pPr>
        <w:spacing w:after="0" w:line="150" w:lineRule="exact"/>
        <w:rPr>
          <w:sz w:val="20"/>
          <w:szCs w:val="20"/>
          <w:color w:val="auto"/>
        </w:rPr>
      </w:pPr>
    </w:p>
    <w:tbl>
      <w:tblPr>
        <w:tblLayout w:type="fixed"/>
        <w:tblInd w:w="4" w:type="dxa"/>
        <w:tblCellMar>
          <w:top w:w="0" w:type="dxa"/>
          <w:left w:w="0" w:type="dxa"/>
          <w:bottom w:w="0" w:type="dxa"/>
          <w:right w:w="0" w:type="dxa"/>
        </w:tblCellMar>
      </w:tblPr>
      <w:tr>
        <w:trPr>
          <w:trHeight w:val="153"/>
        </w:trPr>
        <w:tc>
          <w:tcPr>
            <w:tcW w:w="860" w:type="dxa"/>
            <w:vAlign w:val="bottom"/>
            <w:tcBorders>
              <w:bottom w:val="single" w:sz="8" w:color="auto"/>
            </w:tcBorders>
          </w:tcPr>
          <w:p>
            <w:pPr>
              <w:ind w:left="260"/>
              <w:spacing w:after="0"/>
              <w:rPr>
                <w:sz w:val="20"/>
                <w:szCs w:val="20"/>
                <w:color w:val="auto"/>
              </w:rPr>
            </w:pPr>
            <w:r>
              <w:rPr>
                <w:rFonts w:ascii="Arial" w:cs="Arial" w:eastAsia="Arial" w:hAnsi="Arial"/>
                <w:sz w:val="12"/>
                <w:szCs w:val="12"/>
                <w:color w:val="auto"/>
              </w:rPr>
              <w:t>Col. A</w:t>
            </w:r>
          </w:p>
        </w:tc>
        <w:tc>
          <w:tcPr>
            <w:tcW w:w="8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ind w:left="160"/>
              <w:spacing w:after="0"/>
              <w:rPr>
                <w:sz w:val="20"/>
                <w:szCs w:val="20"/>
                <w:color w:val="auto"/>
              </w:rPr>
            </w:pPr>
            <w:r>
              <w:rPr>
                <w:rFonts w:ascii="Arial" w:cs="Arial" w:eastAsia="Arial" w:hAnsi="Arial"/>
                <w:sz w:val="12"/>
                <w:szCs w:val="12"/>
                <w:color w:val="auto"/>
              </w:rPr>
              <w:t>Col. B</w:t>
            </w:r>
          </w:p>
        </w:tc>
        <w:tc>
          <w:tcPr>
            <w:tcW w:w="260" w:type="dxa"/>
            <w:vAlign w:val="bottom"/>
          </w:tcPr>
          <w:p>
            <w:pPr>
              <w:spacing w:after="0"/>
              <w:rPr>
                <w:sz w:val="13"/>
                <w:szCs w:val="13"/>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89"/>
              </w:rPr>
              <w:t>Col. C</w:t>
            </w:r>
          </w:p>
        </w:tc>
        <w:tc>
          <w:tcPr>
            <w:tcW w:w="140" w:type="dxa"/>
            <w:vAlign w:val="bottom"/>
          </w:tcPr>
          <w:p>
            <w:pPr>
              <w:spacing w:after="0"/>
              <w:rPr>
                <w:sz w:val="13"/>
                <w:szCs w:val="13"/>
                <w:color w:val="auto"/>
              </w:rPr>
            </w:pPr>
          </w:p>
        </w:tc>
        <w:tc>
          <w:tcPr>
            <w:tcW w:w="1120" w:type="dxa"/>
            <w:vAlign w:val="bottom"/>
            <w:tcBorders>
              <w:bottom w:val="single" w:sz="8" w:color="auto"/>
            </w:tcBorders>
            <w:gridSpan w:val="2"/>
          </w:tcPr>
          <w:p>
            <w:pPr>
              <w:jc w:val="center"/>
              <w:ind w:left="663"/>
              <w:spacing w:after="0"/>
              <w:rPr>
                <w:sz w:val="20"/>
                <w:szCs w:val="20"/>
                <w:color w:val="auto"/>
              </w:rPr>
            </w:pPr>
            <w:r>
              <w:rPr>
                <w:rFonts w:ascii="Arial" w:cs="Arial" w:eastAsia="Arial" w:hAnsi="Arial"/>
                <w:sz w:val="12"/>
                <w:szCs w:val="12"/>
                <w:color w:val="auto"/>
                <w:w w:val="95"/>
              </w:rPr>
              <w:t>Col. D</w:t>
            </w:r>
          </w:p>
        </w:tc>
        <w:tc>
          <w:tcPr>
            <w:tcW w:w="7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61"/>
              <w:spacing w:after="0"/>
              <w:rPr>
                <w:sz w:val="20"/>
                <w:szCs w:val="20"/>
                <w:color w:val="auto"/>
              </w:rPr>
            </w:pPr>
            <w:r>
              <w:rPr>
                <w:rFonts w:ascii="Arial" w:cs="Arial" w:eastAsia="Arial" w:hAnsi="Arial"/>
                <w:sz w:val="12"/>
                <w:szCs w:val="12"/>
                <w:color w:val="auto"/>
                <w:w w:val="91"/>
              </w:rPr>
              <w:t>Col. E</w:t>
            </w:r>
          </w:p>
        </w:tc>
        <w:tc>
          <w:tcPr>
            <w:tcW w:w="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center"/>
              <w:ind w:right="62"/>
              <w:spacing w:after="0"/>
              <w:rPr>
                <w:sz w:val="20"/>
                <w:szCs w:val="20"/>
                <w:color w:val="auto"/>
              </w:rPr>
            </w:pPr>
            <w:r>
              <w:rPr>
                <w:rFonts w:ascii="Arial" w:cs="Arial" w:eastAsia="Arial" w:hAnsi="Arial"/>
                <w:sz w:val="12"/>
                <w:szCs w:val="12"/>
                <w:color w:val="auto"/>
                <w:w w:val="93"/>
              </w:rPr>
              <w:t>Col. F</w:t>
            </w:r>
          </w:p>
        </w:tc>
        <w:tc>
          <w:tcPr>
            <w:tcW w:w="260" w:type="dxa"/>
            <w:vAlign w:val="bottom"/>
          </w:tcPr>
          <w:p>
            <w:pPr>
              <w:spacing w:after="0"/>
              <w:rPr>
                <w:sz w:val="13"/>
                <w:szCs w:val="13"/>
                <w:color w:val="auto"/>
              </w:rPr>
            </w:pPr>
          </w:p>
        </w:tc>
        <w:tc>
          <w:tcPr>
            <w:tcW w:w="1060" w:type="dxa"/>
            <w:vAlign w:val="bottom"/>
            <w:tcBorders>
              <w:bottom w:val="single" w:sz="8" w:color="auto"/>
            </w:tcBorders>
          </w:tcPr>
          <w:p>
            <w:pPr>
              <w:jc w:val="right"/>
              <w:ind w:right="321"/>
              <w:spacing w:after="0"/>
              <w:rPr>
                <w:sz w:val="20"/>
                <w:szCs w:val="20"/>
                <w:color w:val="auto"/>
              </w:rPr>
            </w:pPr>
            <w:r>
              <w:rPr>
                <w:rFonts w:ascii="Arial" w:cs="Arial" w:eastAsia="Arial" w:hAnsi="Arial"/>
                <w:sz w:val="12"/>
                <w:szCs w:val="12"/>
                <w:color w:val="auto"/>
              </w:rPr>
              <w:t>Col. G</w:t>
            </w:r>
          </w:p>
        </w:tc>
        <w:tc>
          <w:tcPr>
            <w:tcW w:w="140" w:type="dxa"/>
            <w:vAlign w:val="bottom"/>
          </w:tcPr>
          <w:p>
            <w:pPr>
              <w:spacing w:after="0"/>
              <w:rPr>
                <w:sz w:val="13"/>
                <w:szCs w:val="13"/>
                <w:color w:val="auto"/>
              </w:rPr>
            </w:pPr>
          </w:p>
        </w:tc>
        <w:tc>
          <w:tcPr>
            <w:tcW w:w="820" w:type="dxa"/>
            <w:vAlign w:val="bottom"/>
            <w:tcBorders>
              <w:bottom w:val="single" w:sz="8" w:color="auto"/>
            </w:tcBorders>
          </w:tcPr>
          <w:p>
            <w:pPr>
              <w:jc w:val="right"/>
              <w:ind w:right="201"/>
              <w:spacing w:after="0"/>
              <w:rPr>
                <w:sz w:val="20"/>
                <w:szCs w:val="20"/>
                <w:color w:val="auto"/>
              </w:rPr>
            </w:pPr>
            <w:r>
              <w:rPr>
                <w:rFonts w:ascii="Arial" w:cs="Arial" w:eastAsia="Arial" w:hAnsi="Arial"/>
                <w:sz w:val="12"/>
                <w:szCs w:val="12"/>
                <w:color w:val="auto"/>
              </w:rPr>
              <w:t>Col. H</w:t>
            </w:r>
          </w:p>
        </w:tc>
        <w:tc>
          <w:tcPr>
            <w:tcW w:w="140" w:type="dxa"/>
            <w:vAlign w:val="bottom"/>
          </w:tcPr>
          <w:p>
            <w:pPr>
              <w:spacing w:after="0"/>
              <w:rPr>
                <w:sz w:val="13"/>
                <w:szCs w:val="13"/>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99"/>
              </w:rPr>
              <w:t>Col. I</w:t>
            </w:r>
          </w:p>
        </w:tc>
        <w:tc>
          <w:tcPr>
            <w:tcW w:w="0" w:type="dxa"/>
            <w:vAlign w:val="bottom"/>
          </w:tcPr>
          <w:p>
            <w:pPr>
              <w:spacing w:after="0"/>
              <w:rPr>
                <w:sz w:val="1"/>
                <w:szCs w:val="1"/>
                <w:color w:val="auto"/>
              </w:rPr>
            </w:pPr>
          </w:p>
        </w:tc>
      </w:tr>
      <w:tr>
        <w:trPr>
          <w:trHeight w:val="241"/>
        </w:trPr>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980" w:type="dxa"/>
            <w:vAlign w:val="bottom"/>
            <w:gridSpan w:val="4"/>
          </w:tcPr>
          <w:p>
            <w:pPr>
              <w:jc w:val="center"/>
              <w:ind w:right="160"/>
              <w:spacing w:after="0"/>
              <w:rPr>
                <w:sz w:val="20"/>
                <w:szCs w:val="20"/>
                <w:color w:val="auto"/>
              </w:rPr>
            </w:pPr>
            <w:r>
              <w:rPr>
                <w:rFonts w:ascii="Arial" w:cs="Arial" w:eastAsia="Arial" w:hAnsi="Arial"/>
                <w:sz w:val="10"/>
                <w:szCs w:val="10"/>
                <w:color w:val="auto"/>
                <w:w w:val="86"/>
              </w:rPr>
              <w:t>Cost capitalized subsequent to acquisition</w:t>
            </w:r>
            <w:r>
              <w:rPr>
                <w:rFonts w:ascii="Arial" w:cs="Arial" w:eastAsia="Arial" w:hAnsi="Arial"/>
                <w:sz w:val="8"/>
                <w:szCs w:val="8"/>
                <w:color w:val="auto"/>
                <w:w w:val="86"/>
              </w:rPr>
              <w:t>(1)</w:t>
            </w: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0"/>
                <w:szCs w:val="10"/>
                <w:color w:val="auto"/>
                <w:w w:val="88"/>
              </w:rPr>
              <w:t>Life on which Depreciation</w:t>
            </w:r>
          </w:p>
        </w:tc>
        <w:tc>
          <w:tcPr>
            <w:tcW w:w="0" w:type="dxa"/>
            <w:vAlign w:val="bottom"/>
          </w:tcPr>
          <w:p>
            <w:pPr>
              <w:spacing w:after="0"/>
              <w:rPr>
                <w:sz w:val="1"/>
                <w:szCs w:val="1"/>
                <w:color w:val="auto"/>
              </w:rPr>
            </w:pPr>
          </w:p>
        </w:tc>
      </w:tr>
      <w:tr>
        <w:trPr>
          <w:trHeight w:val="108"/>
        </w:trPr>
        <w:tc>
          <w:tcPr>
            <w:tcW w:w="86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20" w:type="dxa"/>
            <w:vAlign w:val="bottom"/>
            <w:gridSpan w:val="2"/>
            <w:vMerge w:val="restart"/>
          </w:tcPr>
          <w:p>
            <w:pPr>
              <w:jc w:val="center"/>
              <w:ind w:right="160"/>
              <w:spacing w:after="0"/>
              <w:rPr>
                <w:sz w:val="20"/>
                <w:szCs w:val="20"/>
                <w:color w:val="auto"/>
              </w:rPr>
            </w:pPr>
            <w:r>
              <w:rPr>
                <w:rFonts w:ascii="Arial" w:cs="Arial" w:eastAsia="Arial" w:hAnsi="Arial"/>
                <w:sz w:val="10"/>
                <w:szCs w:val="10"/>
                <w:color w:val="auto"/>
                <w:w w:val="89"/>
              </w:rPr>
              <w:t>Initial cost to</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8"/>
                <w:szCs w:val="8"/>
                <w:color w:val="auto"/>
              </w:rPr>
              <w:t>(3)</w:t>
            </w:r>
          </w:p>
        </w:tc>
        <w:tc>
          <w:tcPr>
            <w:tcW w:w="140" w:type="dxa"/>
            <w:vAlign w:val="bottom"/>
            <w:tcBorders>
              <w:bottom w:val="single" w:sz="8" w:color="auto"/>
            </w:tcBorders>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gridSpan w:val="3"/>
            <w:vMerge w:val="restart"/>
          </w:tcPr>
          <w:p>
            <w:pPr>
              <w:jc w:val="center"/>
              <w:ind w:right="260"/>
              <w:spacing w:after="0"/>
              <w:rPr>
                <w:sz w:val="20"/>
                <w:szCs w:val="20"/>
                <w:color w:val="auto"/>
              </w:rPr>
            </w:pPr>
            <w:r>
              <w:rPr>
                <w:rFonts w:ascii="Arial" w:cs="Arial" w:eastAsia="Arial" w:hAnsi="Arial"/>
                <w:sz w:val="10"/>
                <w:szCs w:val="10"/>
                <w:color w:val="auto"/>
                <w:w w:val="88"/>
              </w:rPr>
              <w:t>Gross Amount Carried at</w:t>
            </w:r>
          </w:p>
        </w:tc>
        <w:tc>
          <w:tcPr>
            <w:tcW w:w="100" w:type="dxa"/>
            <w:vAlign w:val="bottom"/>
          </w:tcPr>
          <w:p>
            <w:pPr>
              <w:spacing w:after="0"/>
              <w:rPr>
                <w:sz w:val="9"/>
                <w:szCs w:val="9"/>
                <w:color w:val="auto"/>
              </w:rPr>
            </w:pPr>
          </w:p>
        </w:tc>
        <w:tc>
          <w:tcPr>
            <w:tcW w:w="1000" w:type="dxa"/>
            <w:vAlign w:val="bottom"/>
            <w:gridSpan w:val="2"/>
            <w:vMerge w:val="restart"/>
          </w:tcPr>
          <w:p>
            <w:pPr>
              <w:jc w:val="center"/>
              <w:ind w:right="380"/>
              <w:spacing w:after="0"/>
              <w:rPr>
                <w:sz w:val="20"/>
                <w:szCs w:val="20"/>
                <w:color w:val="auto"/>
              </w:rPr>
            </w:pPr>
            <w:r>
              <w:rPr>
                <w:rFonts w:ascii="Arial" w:cs="Arial" w:eastAsia="Arial" w:hAnsi="Arial"/>
                <w:sz w:val="10"/>
                <w:szCs w:val="10"/>
                <w:color w:val="auto"/>
                <w:w w:val="86"/>
              </w:rPr>
              <w:t>Accumulated</w:t>
            </w:r>
          </w:p>
        </w:tc>
        <w:tc>
          <w:tcPr>
            <w:tcW w:w="106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jc w:val="center"/>
              <w:spacing w:after="0" w:line="108" w:lineRule="exact"/>
              <w:rPr>
                <w:sz w:val="20"/>
                <w:szCs w:val="20"/>
                <w:color w:val="auto"/>
              </w:rPr>
            </w:pPr>
            <w:r>
              <w:rPr>
                <w:rFonts w:ascii="Arial" w:cs="Arial" w:eastAsia="Arial" w:hAnsi="Arial"/>
                <w:sz w:val="10"/>
                <w:szCs w:val="10"/>
                <w:color w:val="auto"/>
                <w:w w:val="87"/>
              </w:rPr>
              <w:t>in Latest Income</w:t>
            </w:r>
          </w:p>
        </w:tc>
        <w:tc>
          <w:tcPr>
            <w:tcW w:w="0" w:type="dxa"/>
            <w:vAlign w:val="bottom"/>
          </w:tcPr>
          <w:p>
            <w:pPr>
              <w:spacing w:after="0"/>
              <w:rPr>
                <w:sz w:val="1"/>
                <w:szCs w:val="1"/>
                <w:color w:val="auto"/>
              </w:rPr>
            </w:pPr>
          </w:p>
        </w:tc>
      </w:tr>
      <w:tr>
        <w:trPr>
          <w:trHeight w:val="85"/>
        </w:trPr>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20" w:type="dxa"/>
            <w:vAlign w:val="bottom"/>
            <w:gridSpan w:val="2"/>
            <w:vMerge w:val="continue"/>
          </w:tcPr>
          <w:p>
            <w:pPr>
              <w:spacing w:after="0"/>
              <w:rPr>
                <w:sz w:val="7"/>
                <w:szCs w:val="7"/>
                <w:color w:val="auto"/>
              </w:rPr>
            </w:pPr>
          </w:p>
        </w:tc>
        <w:tc>
          <w:tcPr>
            <w:tcW w:w="9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32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1060" w:type="dxa"/>
            <w:vAlign w:val="bottom"/>
          </w:tcPr>
          <w:p>
            <w:pPr>
              <w:spacing w:after="0"/>
              <w:rPr>
                <w:sz w:val="7"/>
                <w:szCs w:val="7"/>
                <w:color w:val="auto"/>
              </w:rPr>
            </w:pPr>
          </w:p>
        </w:tc>
        <w:tc>
          <w:tcPr>
            <w:tcW w:w="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2"/>
        </w:trPr>
        <w:tc>
          <w:tcPr>
            <w:tcW w:w="860" w:type="dxa"/>
            <w:vAlign w:val="bottom"/>
            <w:tcBorders>
              <w:bottom w:val="single" w:sz="8" w:color="auto"/>
            </w:tcBorders>
          </w:tcPr>
          <w:p>
            <w:pPr>
              <w:ind w:left="200"/>
              <w:spacing w:after="0" w:line="112" w:lineRule="exact"/>
              <w:rPr>
                <w:sz w:val="20"/>
                <w:szCs w:val="20"/>
                <w:color w:val="auto"/>
              </w:rPr>
            </w:pPr>
            <w:r>
              <w:rPr>
                <w:rFonts w:ascii="Arial" w:cs="Arial" w:eastAsia="Arial" w:hAnsi="Arial"/>
                <w:sz w:val="10"/>
                <w:szCs w:val="10"/>
                <w:color w:val="auto"/>
              </w:rPr>
              <w:t>Description</w:t>
            </w:r>
          </w:p>
        </w:tc>
        <w:tc>
          <w:tcPr>
            <w:tcW w:w="840" w:type="dxa"/>
            <w:vAlign w:val="bottom"/>
            <w:tcBorders>
              <w:bottom w:val="single" w:sz="8" w:color="CFF0FC"/>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ind w:left="40"/>
              <w:spacing w:after="0" w:line="112" w:lineRule="exact"/>
              <w:rPr>
                <w:sz w:val="20"/>
                <w:szCs w:val="20"/>
                <w:color w:val="auto"/>
              </w:rPr>
            </w:pPr>
            <w:r>
              <w:rPr>
                <w:rFonts w:ascii="Arial" w:cs="Arial" w:eastAsia="Arial" w:hAnsi="Arial"/>
                <w:sz w:val="10"/>
                <w:szCs w:val="10"/>
                <w:color w:val="auto"/>
              </w:rPr>
              <w:t>Encumbrances</w:t>
            </w:r>
          </w:p>
        </w:tc>
        <w:tc>
          <w:tcPr>
            <w:tcW w:w="260" w:type="dxa"/>
            <w:vAlign w:val="bottom"/>
            <w:tcBorders>
              <w:bottom w:val="single" w:sz="8" w:color="CFF0FC"/>
            </w:tcBorders>
          </w:tcPr>
          <w:p>
            <w:pPr>
              <w:spacing w:after="0"/>
              <w:rPr>
                <w:sz w:val="9"/>
                <w:szCs w:val="9"/>
                <w:color w:val="auto"/>
              </w:rPr>
            </w:pPr>
          </w:p>
        </w:tc>
        <w:tc>
          <w:tcPr>
            <w:tcW w:w="880" w:type="dxa"/>
            <w:vAlign w:val="bottom"/>
            <w:tcBorders>
              <w:bottom w:val="single" w:sz="8" w:color="auto"/>
            </w:tcBorders>
          </w:tcPr>
          <w:p>
            <w:pPr>
              <w:jc w:val="center"/>
              <w:spacing w:after="0" w:line="112" w:lineRule="exact"/>
              <w:rPr>
                <w:sz w:val="20"/>
                <w:szCs w:val="20"/>
                <w:color w:val="auto"/>
              </w:rPr>
            </w:pPr>
            <w:r>
              <w:rPr>
                <w:rFonts w:ascii="Arial" w:cs="Arial" w:eastAsia="Arial" w:hAnsi="Arial"/>
                <w:sz w:val="10"/>
                <w:szCs w:val="10"/>
                <w:color w:val="auto"/>
                <w:w w:val="91"/>
              </w:rPr>
              <w:t>company</w:t>
            </w:r>
            <w:r>
              <w:rPr>
                <w:rFonts w:ascii="Arial" w:cs="Arial" w:eastAsia="Arial" w:hAnsi="Arial"/>
                <w:sz w:val="8"/>
                <w:szCs w:val="8"/>
                <w:color w:val="auto"/>
                <w:w w:val="91"/>
              </w:rPr>
              <w:t>(1)</w:t>
            </w:r>
          </w:p>
        </w:tc>
        <w:tc>
          <w:tcPr>
            <w:tcW w:w="140" w:type="dxa"/>
            <w:vAlign w:val="bottom"/>
            <w:tcBorders>
              <w:bottom w:val="single" w:sz="8" w:color="CFF0FC"/>
            </w:tcBorders>
          </w:tcPr>
          <w:p>
            <w:pPr>
              <w:spacing w:after="0"/>
              <w:rPr>
                <w:sz w:val="9"/>
                <w:szCs w:val="9"/>
                <w:color w:val="auto"/>
              </w:rPr>
            </w:pPr>
          </w:p>
        </w:tc>
        <w:tc>
          <w:tcPr>
            <w:tcW w:w="980" w:type="dxa"/>
            <w:vAlign w:val="bottom"/>
            <w:tcBorders>
              <w:bottom w:val="single" w:sz="8" w:color="auto"/>
            </w:tcBorders>
          </w:tcPr>
          <w:p>
            <w:pPr>
              <w:jc w:val="right"/>
              <w:ind w:right="163"/>
              <w:spacing w:after="0" w:line="112" w:lineRule="exact"/>
              <w:rPr>
                <w:sz w:val="20"/>
                <w:szCs w:val="20"/>
                <w:color w:val="auto"/>
              </w:rPr>
            </w:pPr>
            <w:r>
              <w:rPr>
                <w:rFonts w:ascii="Arial" w:cs="Arial" w:eastAsia="Arial" w:hAnsi="Arial"/>
                <w:sz w:val="10"/>
                <w:szCs w:val="10"/>
                <w:color w:val="auto"/>
              </w:rPr>
              <w:t>Improvements</w:t>
            </w:r>
          </w:p>
        </w:tc>
        <w:tc>
          <w:tcPr>
            <w:tcW w:w="140" w:type="dxa"/>
            <w:vAlign w:val="bottom"/>
            <w:tcBorders>
              <w:bottom w:val="single" w:sz="8" w:color="CFF0FC"/>
            </w:tcBorders>
          </w:tcPr>
          <w:p>
            <w:pPr>
              <w:spacing w:after="0"/>
              <w:rPr>
                <w:sz w:val="9"/>
                <w:szCs w:val="9"/>
                <w:color w:val="auto"/>
              </w:rPr>
            </w:pPr>
          </w:p>
        </w:tc>
        <w:tc>
          <w:tcPr>
            <w:tcW w:w="720" w:type="dxa"/>
            <w:vAlign w:val="bottom"/>
            <w:tcBorders>
              <w:bottom w:val="single" w:sz="8" w:color="auto"/>
            </w:tcBorders>
          </w:tcPr>
          <w:p>
            <w:pPr>
              <w:jc w:val="right"/>
              <w:ind w:right="81"/>
              <w:spacing w:after="0" w:line="112" w:lineRule="exact"/>
              <w:rPr>
                <w:sz w:val="20"/>
                <w:szCs w:val="20"/>
                <w:color w:val="auto"/>
              </w:rPr>
            </w:pPr>
            <w:r>
              <w:rPr>
                <w:rFonts w:ascii="Arial" w:cs="Arial" w:eastAsia="Arial" w:hAnsi="Arial"/>
                <w:sz w:val="10"/>
                <w:szCs w:val="10"/>
                <w:color w:val="auto"/>
              </w:rPr>
              <w:t>Carry Costs</w:t>
            </w:r>
          </w:p>
        </w:tc>
        <w:tc>
          <w:tcPr>
            <w:tcW w:w="140" w:type="dxa"/>
            <w:vAlign w:val="bottom"/>
            <w:tcBorders>
              <w:bottom w:val="single" w:sz="8" w:color="CFF0FC"/>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tcPr>
          <w:p>
            <w:pPr>
              <w:jc w:val="center"/>
              <w:ind w:right="61"/>
              <w:spacing w:after="0" w:line="112" w:lineRule="exact"/>
              <w:rPr>
                <w:sz w:val="20"/>
                <w:szCs w:val="20"/>
                <w:color w:val="auto"/>
              </w:rPr>
            </w:pPr>
            <w:r>
              <w:rPr>
                <w:rFonts w:ascii="Arial" w:cs="Arial" w:eastAsia="Arial" w:hAnsi="Arial"/>
                <w:sz w:val="10"/>
                <w:szCs w:val="10"/>
                <w:color w:val="auto"/>
                <w:w w:val="89"/>
              </w:rPr>
              <w:t>Close of Period</w:t>
            </w:r>
            <w:r>
              <w:rPr>
                <w:rFonts w:ascii="Arial" w:cs="Arial" w:eastAsia="Arial" w:hAnsi="Arial"/>
                <w:sz w:val="8"/>
                <w:szCs w:val="8"/>
                <w:color w:val="auto"/>
                <w:w w:val="89"/>
              </w:rPr>
              <w:t>(5)</w:t>
            </w:r>
          </w:p>
        </w:tc>
        <w:tc>
          <w:tcPr>
            <w:tcW w:w="260" w:type="dxa"/>
            <w:vAlign w:val="bottom"/>
            <w:tcBorders>
              <w:bottom w:val="single" w:sz="8" w:color="CFF0FC"/>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jc w:val="center"/>
              <w:ind w:right="62"/>
              <w:spacing w:after="0" w:line="112" w:lineRule="exact"/>
              <w:rPr>
                <w:sz w:val="20"/>
                <w:szCs w:val="20"/>
                <w:color w:val="auto"/>
              </w:rPr>
            </w:pPr>
            <w:r>
              <w:rPr>
                <w:rFonts w:ascii="Arial" w:cs="Arial" w:eastAsia="Arial" w:hAnsi="Arial"/>
                <w:sz w:val="10"/>
                <w:szCs w:val="10"/>
                <w:color w:val="auto"/>
                <w:w w:val="88"/>
              </w:rPr>
              <w:t>Depreciation</w:t>
            </w:r>
          </w:p>
        </w:tc>
        <w:tc>
          <w:tcPr>
            <w:tcW w:w="260" w:type="dxa"/>
            <w:vAlign w:val="bottom"/>
            <w:tcBorders>
              <w:bottom w:val="single" w:sz="8" w:color="CFF0FC"/>
            </w:tcBorders>
          </w:tcPr>
          <w:p>
            <w:pPr>
              <w:spacing w:after="0"/>
              <w:rPr>
                <w:sz w:val="9"/>
                <w:szCs w:val="9"/>
                <w:color w:val="auto"/>
              </w:rPr>
            </w:pPr>
          </w:p>
        </w:tc>
        <w:tc>
          <w:tcPr>
            <w:tcW w:w="1060" w:type="dxa"/>
            <w:vAlign w:val="bottom"/>
            <w:tcBorders>
              <w:bottom w:val="single" w:sz="8" w:color="auto"/>
            </w:tcBorders>
          </w:tcPr>
          <w:p>
            <w:pPr>
              <w:jc w:val="right"/>
              <w:ind w:right="21"/>
              <w:spacing w:after="0" w:line="112" w:lineRule="exact"/>
              <w:rPr>
                <w:sz w:val="20"/>
                <w:szCs w:val="20"/>
                <w:color w:val="auto"/>
              </w:rPr>
            </w:pPr>
            <w:r>
              <w:rPr>
                <w:rFonts w:ascii="Arial" w:cs="Arial" w:eastAsia="Arial" w:hAnsi="Arial"/>
                <w:sz w:val="10"/>
                <w:szCs w:val="10"/>
                <w:color w:val="auto"/>
                <w:w w:val="95"/>
              </w:rPr>
              <w:t>Date of Construction</w:t>
            </w:r>
            <w:r>
              <w:rPr>
                <w:rFonts w:ascii="Arial" w:cs="Arial" w:eastAsia="Arial" w:hAnsi="Arial"/>
                <w:sz w:val="8"/>
                <w:szCs w:val="8"/>
                <w:color w:val="auto"/>
                <w:w w:val="95"/>
              </w:rPr>
              <w:t>(2)</w:t>
            </w:r>
          </w:p>
        </w:tc>
        <w:tc>
          <w:tcPr>
            <w:tcW w:w="140" w:type="dxa"/>
            <w:vAlign w:val="bottom"/>
            <w:tcBorders>
              <w:bottom w:val="single" w:sz="8" w:color="CFF0FC"/>
            </w:tcBorders>
          </w:tcPr>
          <w:p>
            <w:pPr>
              <w:spacing w:after="0"/>
              <w:rPr>
                <w:sz w:val="9"/>
                <w:szCs w:val="9"/>
                <w:color w:val="auto"/>
              </w:rPr>
            </w:pPr>
          </w:p>
        </w:tc>
        <w:tc>
          <w:tcPr>
            <w:tcW w:w="820" w:type="dxa"/>
            <w:vAlign w:val="bottom"/>
            <w:tcBorders>
              <w:bottom w:val="single" w:sz="8" w:color="auto"/>
            </w:tcBorders>
          </w:tcPr>
          <w:p>
            <w:pPr>
              <w:jc w:val="right"/>
              <w:ind w:right="21"/>
              <w:spacing w:after="0" w:line="112" w:lineRule="exact"/>
              <w:rPr>
                <w:sz w:val="20"/>
                <w:szCs w:val="20"/>
                <w:color w:val="auto"/>
              </w:rPr>
            </w:pPr>
            <w:r>
              <w:rPr>
                <w:rFonts w:ascii="Arial" w:cs="Arial" w:eastAsia="Arial" w:hAnsi="Arial"/>
                <w:sz w:val="10"/>
                <w:szCs w:val="10"/>
                <w:color w:val="auto"/>
                <w:w w:val="98"/>
              </w:rPr>
              <w:t>Date Acquired</w:t>
            </w:r>
            <w:r>
              <w:rPr>
                <w:rFonts w:ascii="Arial" w:cs="Arial" w:eastAsia="Arial" w:hAnsi="Arial"/>
                <w:sz w:val="8"/>
                <w:szCs w:val="8"/>
                <w:color w:val="auto"/>
                <w:w w:val="98"/>
              </w:rPr>
              <w:t>(2)</w:t>
            </w:r>
          </w:p>
        </w:tc>
        <w:tc>
          <w:tcPr>
            <w:tcW w:w="140" w:type="dxa"/>
            <w:vAlign w:val="bottom"/>
            <w:tcBorders>
              <w:bottom w:val="single" w:sz="8" w:color="CFF0FC"/>
            </w:tcBorders>
          </w:tcPr>
          <w:p>
            <w:pPr>
              <w:spacing w:after="0"/>
              <w:rPr>
                <w:sz w:val="9"/>
                <w:szCs w:val="9"/>
                <w:color w:val="auto"/>
              </w:rPr>
            </w:pPr>
          </w:p>
        </w:tc>
        <w:tc>
          <w:tcPr>
            <w:tcW w:w="1080" w:type="dxa"/>
            <w:vAlign w:val="bottom"/>
            <w:tcBorders>
              <w:bottom w:val="single" w:sz="8" w:color="auto"/>
            </w:tcBorders>
          </w:tcPr>
          <w:p>
            <w:pPr>
              <w:jc w:val="center"/>
              <w:spacing w:after="0" w:line="112" w:lineRule="exact"/>
              <w:rPr>
                <w:sz w:val="20"/>
                <w:szCs w:val="20"/>
                <w:color w:val="auto"/>
              </w:rPr>
            </w:pPr>
            <w:r>
              <w:rPr>
                <w:rFonts w:ascii="Arial" w:cs="Arial" w:eastAsia="Arial" w:hAnsi="Arial"/>
                <w:sz w:val="10"/>
                <w:szCs w:val="10"/>
                <w:color w:val="auto"/>
                <w:w w:val="85"/>
              </w:rPr>
              <w:t>Statements is Computed</w:t>
            </w:r>
          </w:p>
        </w:tc>
        <w:tc>
          <w:tcPr>
            <w:tcW w:w="0" w:type="dxa"/>
            <w:vAlign w:val="bottom"/>
          </w:tcPr>
          <w:p>
            <w:pPr>
              <w:spacing w:after="0"/>
              <w:rPr>
                <w:sz w:val="1"/>
                <w:szCs w:val="1"/>
                <w:color w:val="auto"/>
              </w:rPr>
            </w:pPr>
          </w:p>
        </w:tc>
      </w:tr>
      <w:tr>
        <w:trPr>
          <w:trHeight w:val="142"/>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Land</w:t>
            </w: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20" w:type="dxa"/>
            <w:vAlign w:val="bottom"/>
            <w:gridSpan w:val="2"/>
            <w:shd w:val="clear" w:color="auto" w:fill="CFF0FC"/>
          </w:tcPr>
          <w:p>
            <w:pPr>
              <w:ind w:left="620"/>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2"/>
                <w:szCs w:val="12"/>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2"/>
                <w:szCs w:val="12"/>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2"/>
                <w:szCs w:val="12"/>
                <w:color w:val="auto"/>
              </w:rPr>
            </w:pPr>
          </w:p>
        </w:tc>
        <w:tc>
          <w:tcPr>
            <w:tcW w:w="120" w:type="dxa"/>
            <w:vAlign w:val="bottom"/>
            <w:shd w:val="clear" w:color="auto" w:fill="CFF0FC"/>
          </w:tcPr>
          <w:p>
            <w:pPr>
              <w:jc w:val="right"/>
              <w:ind w:right="11"/>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26,672</w:t>
            </w:r>
          </w:p>
        </w:tc>
        <w:tc>
          <w:tcPr>
            <w:tcW w:w="260" w:type="dxa"/>
            <w:vAlign w:val="bottom"/>
            <w:shd w:val="clear" w:color="auto" w:fill="CFF0FC"/>
          </w:tcPr>
          <w:p>
            <w:pPr>
              <w:spacing w:after="0"/>
              <w:rPr>
                <w:sz w:val="12"/>
                <w:szCs w:val="12"/>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gridSpan w:val="2"/>
            <w:shd w:val="clear" w:color="auto" w:fill="CFF0FC"/>
          </w:tcPr>
          <w:p>
            <w:pPr>
              <w:jc w:val="right"/>
              <w:ind w:right="26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2"/>
                <w:szCs w:val="12"/>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2"/>
                <w:szCs w:val="12"/>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Indefinite</w:t>
            </w:r>
          </w:p>
        </w:tc>
        <w:tc>
          <w:tcPr>
            <w:tcW w:w="0" w:type="dxa"/>
            <w:vAlign w:val="bottom"/>
          </w:tcPr>
          <w:p>
            <w:pPr>
              <w:spacing w:after="0"/>
              <w:rPr>
                <w:sz w:val="1"/>
                <w:szCs w:val="1"/>
                <w:color w:val="auto"/>
              </w:rPr>
            </w:pPr>
          </w:p>
        </w:tc>
      </w:tr>
      <w:tr>
        <w:trPr>
          <w:trHeight w:val="144"/>
        </w:trPr>
        <w:tc>
          <w:tcPr>
            <w:tcW w:w="1700" w:type="dxa"/>
            <w:vAlign w:val="bottom"/>
            <w:gridSpan w:val="2"/>
          </w:tcPr>
          <w:p>
            <w:pPr>
              <w:spacing w:after="0"/>
              <w:rPr>
                <w:sz w:val="20"/>
                <w:szCs w:val="20"/>
                <w:color w:val="auto"/>
              </w:rPr>
            </w:pPr>
            <w:r>
              <w:rPr>
                <w:rFonts w:ascii="Arial" w:cs="Arial" w:eastAsia="Arial" w:hAnsi="Arial"/>
                <w:sz w:val="12"/>
                <w:szCs w:val="12"/>
                <w:color w:val="auto"/>
              </w:rPr>
              <w:t>Building and</w:t>
            </w: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700" w:type="dxa"/>
            <w:vAlign w:val="bottom"/>
            <w:gridSpan w:val="2"/>
          </w:tcPr>
          <w:p>
            <w:pPr>
              <w:spacing w:after="0"/>
              <w:rPr>
                <w:sz w:val="20"/>
                <w:szCs w:val="20"/>
                <w:color w:val="auto"/>
              </w:rPr>
            </w:pPr>
            <w:r>
              <w:rPr>
                <w:rFonts w:ascii="Arial" w:cs="Arial" w:eastAsia="Arial" w:hAnsi="Arial"/>
                <w:sz w:val="12"/>
                <w:szCs w:val="12"/>
                <w:color w:val="auto"/>
              </w:rPr>
              <w:t>improvements</w:t>
            </w:r>
          </w:p>
        </w:tc>
        <w:tc>
          <w:tcPr>
            <w:tcW w:w="100" w:type="dxa"/>
            <w:vAlign w:val="bottom"/>
          </w:tcPr>
          <w:p>
            <w:pPr>
              <w:spacing w:after="0"/>
              <w:rPr>
                <w:sz w:val="13"/>
                <w:szCs w:val="13"/>
                <w:color w:val="auto"/>
              </w:rPr>
            </w:pPr>
          </w:p>
        </w:tc>
        <w:tc>
          <w:tcPr>
            <w:tcW w:w="1020" w:type="dxa"/>
            <w:vAlign w:val="bottom"/>
            <w:gridSpan w:val="2"/>
          </w:tcPr>
          <w:p>
            <w:pPr>
              <w:ind w:left="620"/>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327,280</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2"/>
                <w:szCs w:val="12"/>
                <w:color w:val="auto"/>
              </w:rPr>
              <w:t>(165,604)</w:t>
            </w:r>
          </w:p>
        </w:tc>
        <w:tc>
          <w:tcPr>
            <w:tcW w:w="106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2"/>
                <w:szCs w:val="12"/>
                <w:color w:val="auto"/>
              </w:rPr>
              <w:t>3 - 40 years</w:t>
            </w:r>
          </w:p>
        </w:tc>
        <w:tc>
          <w:tcPr>
            <w:tcW w:w="0" w:type="dxa"/>
            <w:vAlign w:val="bottom"/>
          </w:tcPr>
          <w:p>
            <w:pPr>
              <w:spacing w:after="0"/>
              <w:rPr>
                <w:sz w:val="1"/>
                <w:szCs w:val="1"/>
                <w:color w:val="auto"/>
              </w:rPr>
            </w:pPr>
          </w:p>
        </w:tc>
      </w:tr>
      <w:tr>
        <w:trPr>
          <w:trHeight w:val="153"/>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Poles</w:t>
            </w:r>
          </w:p>
        </w:tc>
        <w:tc>
          <w:tcPr>
            <w:tcW w:w="100" w:type="dxa"/>
            <w:vAlign w:val="bottom"/>
            <w:shd w:val="clear" w:color="auto" w:fill="CFF0FC"/>
          </w:tcPr>
          <w:p>
            <w:pPr>
              <w:spacing w:after="0"/>
              <w:rPr>
                <w:sz w:val="13"/>
                <w:szCs w:val="13"/>
                <w:color w:val="auto"/>
              </w:rPr>
            </w:pPr>
          </w:p>
        </w:tc>
        <w:tc>
          <w:tcPr>
            <w:tcW w:w="1020" w:type="dxa"/>
            <w:vAlign w:val="bottom"/>
            <w:gridSpan w:val="2"/>
            <w:shd w:val="clear" w:color="auto" w:fill="CFF0FC"/>
          </w:tcPr>
          <w:p>
            <w:pPr>
              <w:ind w:left="620"/>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248,989</w:t>
            </w:r>
          </w:p>
        </w:tc>
        <w:tc>
          <w:tcPr>
            <w:tcW w:w="2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(182,577)</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 years</w:t>
            </w:r>
          </w:p>
        </w:tc>
        <w:tc>
          <w:tcPr>
            <w:tcW w:w="0" w:type="dxa"/>
            <w:vAlign w:val="bottom"/>
          </w:tcPr>
          <w:p>
            <w:pPr>
              <w:spacing w:after="0"/>
              <w:rPr>
                <w:sz w:val="1"/>
                <w:szCs w:val="1"/>
                <w:color w:val="auto"/>
              </w:rPr>
            </w:pPr>
          </w:p>
        </w:tc>
      </w:tr>
      <w:tr>
        <w:trPr>
          <w:trHeight w:val="153"/>
        </w:trPr>
        <w:tc>
          <w:tcPr>
            <w:tcW w:w="1700" w:type="dxa"/>
            <w:vAlign w:val="bottom"/>
            <w:gridSpan w:val="2"/>
          </w:tcPr>
          <w:p>
            <w:pPr>
              <w:spacing w:after="0"/>
              <w:rPr>
                <w:sz w:val="20"/>
                <w:szCs w:val="20"/>
                <w:color w:val="auto"/>
              </w:rPr>
            </w:pPr>
            <w:r>
              <w:rPr>
                <w:rFonts w:ascii="Arial" w:cs="Arial" w:eastAsia="Arial" w:hAnsi="Arial"/>
                <w:sz w:val="12"/>
                <w:szCs w:val="12"/>
                <w:color w:val="auto"/>
              </w:rPr>
              <w:t>Fiber</w:t>
            </w:r>
          </w:p>
        </w:tc>
        <w:tc>
          <w:tcPr>
            <w:tcW w:w="100" w:type="dxa"/>
            <w:vAlign w:val="bottom"/>
          </w:tcPr>
          <w:p>
            <w:pPr>
              <w:spacing w:after="0"/>
              <w:rPr>
                <w:sz w:val="13"/>
                <w:szCs w:val="13"/>
                <w:color w:val="auto"/>
              </w:rPr>
            </w:pPr>
          </w:p>
        </w:tc>
        <w:tc>
          <w:tcPr>
            <w:tcW w:w="1020" w:type="dxa"/>
            <w:vAlign w:val="bottom"/>
            <w:gridSpan w:val="2"/>
          </w:tcPr>
          <w:p>
            <w:pPr>
              <w:ind w:left="620"/>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2,399,415</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2"/>
                <w:szCs w:val="12"/>
                <w:color w:val="auto"/>
              </w:rPr>
              <w:t>(1,077,827)</w:t>
            </w:r>
          </w:p>
        </w:tc>
        <w:tc>
          <w:tcPr>
            <w:tcW w:w="106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2"/>
                <w:szCs w:val="12"/>
                <w:color w:val="auto"/>
              </w:rPr>
              <w:t>30 years</w:t>
            </w:r>
          </w:p>
        </w:tc>
        <w:tc>
          <w:tcPr>
            <w:tcW w:w="0" w:type="dxa"/>
            <w:vAlign w:val="bottom"/>
          </w:tcPr>
          <w:p>
            <w:pPr>
              <w:spacing w:after="0"/>
              <w:rPr>
                <w:sz w:val="1"/>
                <w:szCs w:val="1"/>
                <w:color w:val="auto"/>
              </w:rPr>
            </w:pPr>
          </w:p>
        </w:tc>
      </w:tr>
      <w:tr>
        <w:trPr>
          <w:trHeight w:val="153"/>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Equipment</w:t>
            </w:r>
          </w:p>
        </w:tc>
        <w:tc>
          <w:tcPr>
            <w:tcW w:w="100" w:type="dxa"/>
            <w:vAlign w:val="bottom"/>
            <w:shd w:val="clear" w:color="auto" w:fill="CFF0FC"/>
          </w:tcPr>
          <w:p>
            <w:pPr>
              <w:spacing w:after="0"/>
              <w:rPr>
                <w:sz w:val="13"/>
                <w:szCs w:val="13"/>
                <w:color w:val="auto"/>
              </w:rPr>
            </w:pPr>
          </w:p>
        </w:tc>
        <w:tc>
          <w:tcPr>
            <w:tcW w:w="1020" w:type="dxa"/>
            <w:vAlign w:val="bottom"/>
            <w:gridSpan w:val="2"/>
            <w:shd w:val="clear" w:color="auto" w:fill="CFF0FC"/>
          </w:tcPr>
          <w:p>
            <w:pPr>
              <w:ind w:left="620"/>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52</w:t>
            </w:r>
          </w:p>
        </w:tc>
        <w:tc>
          <w:tcPr>
            <w:tcW w:w="2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(21)</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5 -7 years</w:t>
            </w:r>
          </w:p>
        </w:tc>
        <w:tc>
          <w:tcPr>
            <w:tcW w:w="0" w:type="dxa"/>
            <w:vAlign w:val="bottom"/>
          </w:tcPr>
          <w:p>
            <w:pPr>
              <w:spacing w:after="0"/>
              <w:rPr>
                <w:sz w:val="1"/>
                <w:szCs w:val="1"/>
                <w:color w:val="auto"/>
              </w:rPr>
            </w:pPr>
          </w:p>
        </w:tc>
      </w:tr>
      <w:tr>
        <w:trPr>
          <w:trHeight w:val="153"/>
        </w:trPr>
        <w:tc>
          <w:tcPr>
            <w:tcW w:w="1700" w:type="dxa"/>
            <w:vAlign w:val="bottom"/>
            <w:gridSpan w:val="2"/>
          </w:tcPr>
          <w:p>
            <w:pPr>
              <w:spacing w:after="0"/>
              <w:rPr>
                <w:sz w:val="20"/>
                <w:szCs w:val="20"/>
                <w:color w:val="auto"/>
              </w:rPr>
            </w:pPr>
            <w:r>
              <w:rPr>
                <w:rFonts w:ascii="Arial" w:cs="Arial" w:eastAsia="Arial" w:hAnsi="Arial"/>
                <w:sz w:val="12"/>
                <w:szCs w:val="12"/>
                <w:color w:val="auto"/>
              </w:rPr>
              <w:t>Copper</w:t>
            </w:r>
          </w:p>
        </w:tc>
        <w:tc>
          <w:tcPr>
            <w:tcW w:w="100" w:type="dxa"/>
            <w:vAlign w:val="bottom"/>
          </w:tcPr>
          <w:p>
            <w:pPr>
              <w:spacing w:after="0"/>
              <w:rPr>
                <w:sz w:val="13"/>
                <w:szCs w:val="13"/>
                <w:color w:val="auto"/>
              </w:rPr>
            </w:pPr>
          </w:p>
        </w:tc>
        <w:tc>
          <w:tcPr>
            <w:tcW w:w="1020" w:type="dxa"/>
            <w:vAlign w:val="bottom"/>
            <w:gridSpan w:val="2"/>
          </w:tcPr>
          <w:p>
            <w:pPr>
              <w:ind w:left="620"/>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3,721,649</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2"/>
                <w:szCs w:val="12"/>
                <w:color w:val="auto"/>
              </w:rPr>
              <w:t>(3,243,626)</w:t>
            </w:r>
          </w:p>
        </w:tc>
        <w:tc>
          <w:tcPr>
            <w:tcW w:w="106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2"/>
                <w:szCs w:val="12"/>
                <w:color w:val="auto"/>
              </w:rPr>
              <w:t>20 years</w:t>
            </w:r>
          </w:p>
        </w:tc>
        <w:tc>
          <w:tcPr>
            <w:tcW w:w="0" w:type="dxa"/>
            <w:vAlign w:val="bottom"/>
          </w:tcPr>
          <w:p>
            <w:pPr>
              <w:spacing w:after="0"/>
              <w:rPr>
                <w:sz w:val="1"/>
                <w:szCs w:val="1"/>
                <w:color w:val="auto"/>
              </w:rPr>
            </w:pPr>
          </w:p>
        </w:tc>
      </w:tr>
      <w:tr>
        <w:trPr>
          <w:trHeight w:val="153"/>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Conduit</w:t>
            </w:r>
          </w:p>
        </w:tc>
        <w:tc>
          <w:tcPr>
            <w:tcW w:w="100" w:type="dxa"/>
            <w:vAlign w:val="bottom"/>
            <w:shd w:val="clear" w:color="auto" w:fill="CFF0FC"/>
          </w:tcPr>
          <w:p>
            <w:pPr>
              <w:spacing w:after="0"/>
              <w:rPr>
                <w:sz w:val="13"/>
                <w:szCs w:val="13"/>
                <w:color w:val="auto"/>
              </w:rPr>
            </w:pPr>
          </w:p>
        </w:tc>
        <w:tc>
          <w:tcPr>
            <w:tcW w:w="1020" w:type="dxa"/>
            <w:vAlign w:val="bottom"/>
            <w:gridSpan w:val="2"/>
            <w:shd w:val="clear" w:color="auto" w:fill="CFF0FC"/>
          </w:tcPr>
          <w:p>
            <w:pPr>
              <w:ind w:left="620"/>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89,692</w:t>
            </w:r>
          </w:p>
        </w:tc>
        <w:tc>
          <w:tcPr>
            <w:tcW w:w="2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(59,905)</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30 years</w:t>
            </w:r>
          </w:p>
        </w:tc>
        <w:tc>
          <w:tcPr>
            <w:tcW w:w="0" w:type="dxa"/>
            <w:vAlign w:val="bottom"/>
          </w:tcPr>
          <w:p>
            <w:pPr>
              <w:spacing w:after="0"/>
              <w:rPr>
                <w:sz w:val="1"/>
                <w:szCs w:val="1"/>
                <w:color w:val="auto"/>
              </w:rPr>
            </w:pPr>
          </w:p>
        </w:tc>
      </w:tr>
      <w:tr>
        <w:trPr>
          <w:trHeight w:val="153"/>
        </w:trPr>
        <w:tc>
          <w:tcPr>
            <w:tcW w:w="1700" w:type="dxa"/>
            <w:vAlign w:val="bottom"/>
            <w:gridSpan w:val="2"/>
          </w:tcPr>
          <w:p>
            <w:pPr>
              <w:spacing w:after="0"/>
              <w:rPr>
                <w:sz w:val="20"/>
                <w:szCs w:val="20"/>
                <w:color w:val="auto"/>
              </w:rPr>
            </w:pPr>
            <w:r>
              <w:rPr>
                <w:rFonts w:ascii="Arial" w:cs="Arial" w:eastAsia="Arial" w:hAnsi="Arial"/>
                <w:sz w:val="12"/>
                <w:szCs w:val="12"/>
                <w:color w:val="auto"/>
              </w:rPr>
              <w:t>Towers</w:t>
            </w:r>
          </w:p>
        </w:tc>
        <w:tc>
          <w:tcPr>
            <w:tcW w:w="100" w:type="dxa"/>
            <w:vAlign w:val="bottom"/>
          </w:tcPr>
          <w:p>
            <w:pPr>
              <w:spacing w:after="0"/>
              <w:rPr>
                <w:sz w:val="13"/>
                <w:szCs w:val="13"/>
                <w:color w:val="auto"/>
              </w:rPr>
            </w:pPr>
          </w:p>
        </w:tc>
        <w:tc>
          <w:tcPr>
            <w:tcW w:w="1020" w:type="dxa"/>
            <w:vAlign w:val="bottom"/>
            <w:gridSpan w:val="2"/>
          </w:tcPr>
          <w:p>
            <w:pPr>
              <w:ind w:left="620"/>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115,351</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2"/>
                <w:szCs w:val="12"/>
                <w:color w:val="auto"/>
              </w:rPr>
              <w:t>(6,486)</w:t>
            </w:r>
          </w:p>
        </w:tc>
        <w:tc>
          <w:tcPr>
            <w:tcW w:w="106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2"/>
                <w:szCs w:val="12"/>
                <w:color w:val="auto"/>
              </w:rPr>
              <w:t>20 years</w:t>
            </w:r>
          </w:p>
        </w:tc>
        <w:tc>
          <w:tcPr>
            <w:tcW w:w="0" w:type="dxa"/>
            <w:vAlign w:val="bottom"/>
          </w:tcPr>
          <w:p>
            <w:pPr>
              <w:spacing w:after="0"/>
              <w:rPr>
                <w:sz w:val="1"/>
                <w:szCs w:val="1"/>
                <w:color w:val="auto"/>
              </w:rPr>
            </w:pPr>
          </w:p>
        </w:tc>
      </w:tr>
      <w:tr>
        <w:trPr>
          <w:trHeight w:val="144"/>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Real property</w:t>
            </w:r>
          </w:p>
        </w:tc>
        <w:tc>
          <w:tcPr>
            <w:tcW w:w="10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8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9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9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0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8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interest</w:t>
            </w:r>
          </w:p>
        </w:tc>
        <w:tc>
          <w:tcPr>
            <w:tcW w:w="100" w:type="dxa"/>
            <w:vAlign w:val="bottom"/>
            <w:shd w:val="clear" w:color="auto" w:fill="CFF0FC"/>
          </w:tcPr>
          <w:p>
            <w:pPr>
              <w:spacing w:after="0"/>
              <w:rPr>
                <w:sz w:val="13"/>
                <w:szCs w:val="13"/>
                <w:color w:val="auto"/>
              </w:rPr>
            </w:pPr>
          </w:p>
        </w:tc>
        <w:tc>
          <w:tcPr>
            <w:tcW w:w="1020" w:type="dxa"/>
            <w:vAlign w:val="bottom"/>
            <w:gridSpan w:val="2"/>
            <w:shd w:val="clear" w:color="auto" w:fill="CFF0FC"/>
          </w:tcPr>
          <w:p>
            <w:pPr>
              <w:ind w:left="620"/>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34,878</w:t>
            </w:r>
          </w:p>
        </w:tc>
        <w:tc>
          <w:tcPr>
            <w:tcW w:w="2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2"/>
                <w:szCs w:val="12"/>
                <w:color w:val="auto"/>
              </w:rPr>
              <w:t>(1,135)</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See Note 3</w:t>
            </w:r>
          </w:p>
        </w:tc>
        <w:tc>
          <w:tcPr>
            <w:tcW w:w="0" w:type="dxa"/>
            <w:vAlign w:val="bottom"/>
          </w:tcPr>
          <w:p>
            <w:pPr>
              <w:spacing w:after="0"/>
              <w:rPr>
                <w:sz w:val="1"/>
                <w:szCs w:val="1"/>
                <w:color w:val="auto"/>
              </w:rPr>
            </w:pPr>
          </w:p>
        </w:tc>
      </w:tr>
      <w:tr>
        <w:trPr>
          <w:trHeight w:val="153"/>
        </w:trPr>
        <w:tc>
          <w:tcPr>
            <w:tcW w:w="1700" w:type="dxa"/>
            <w:vAlign w:val="bottom"/>
            <w:gridSpan w:val="2"/>
          </w:tcPr>
          <w:p>
            <w:pPr>
              <w:spacing w:after="0"/>
              <w:rPr>
                <w:sz w:val="20"/>
                <w:szCs w:val="20"/>
                <w:color w:val="auto"/>
              </w:rPr>
            </w:pPr>
            <w:r>
              <w:rPr>
                <w:rFonts w:ascii="Arial" w:cs="Arial" w:eastAsia="Arial" w:hAnsi="Arial"/>
                <w:sz w:val="12"/>
                <w:szCs w:val="12"/>
                <w:color w:val="auto"/>
              </w:rPr>
              <w:t>Other assets</w:t>
            </w:r>
          </w:p>
        </w:tc>
        <w:tc>
          <w:tcPr>
            <w:tcW w:w="100" w:type="dxa"/>
            <w:vAlign w:val="bottom"/>
          </w:tcPr>
          <w:p>
            <w:pPr>
              <w:spacing w:after="0"/>
              <w:rPr>
                <w:sz w:val="13"/>
                <w:szCs w:val="13"/>
                <w:color w:val="auto"/>
              </w:rPr>
            </w:pPr>
          </w:p>
        </w:tc>
        <w:tc>
          <w:tcPr>
            <w:tcW w:w="1020" w:type="dxa"/>
            <w:vAlign w:val="bottom"/>
            <w:gridSpan w:val="2"/>
          </w:tcPr>
          <w:p>
            <w:pPr>
              <w:ind w:left="620"/>
              <w:spacing w:after="0"/>
              <w:rPr>
                <w:sz w:val="20"/>
                <w:szCs w:val="20"/>
                <w:color w:val="auto"/>
              </w:rPr>
            </w:pPr>
            <w:r>
              <w:rPr>
                <w:rFonts w:ascii="Arial" w:cs="Arial" w:eastAsia="Arial" w:hAnsi="Arial"/>
                <w:sz w:val="12"/>
                <w:szCs w:val="12"/>
                <w:color w:val="auto"/>
              </w:rPr>
              <w:t>—</w:t>
            </w:r>
          </w:p>
        </w:tc>
        <w:tc>
          <w:tcPr>
            <w:tcW w:w="8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11,524</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2"/>
                <w:szCs w:val="12"/>
                <w:color w:val="auto"/>
              </w:rPr>
              <w:t>(1,945)</w:t>
            </w:r>
          </w:p>
        </w:tc>
        <w:tc>
          <w:tcPr>
            <w:tcW w:w="106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2"/>
                <w:szCs w:val="12"/>
                <w:color w:val="auto"/>
              </w:rPr>
              <w:t>15 - 20 years</w:t>
            </w:r>
          </w:p>
        </w:tc>
        <w:tc>
          <w:tcPr>
            <w:tcW w:w="0" w:type="dxa"/>
            <w:vAlign w:val="bottom"/>
          </w:tcPr>
          <w:p>
            <w:pPr>
              <w:spacing w:after="0"/>
              <w:rPr>
                <w:sz w:val="1"/>
                <w:szCs w:val="1"/>
                <w:color w:val="auto"/>
              </w:rPr>
            </w:pPr>
          </w:p>
        </w:tc>
      </w:tr>
      <w:tr>
        <w:trPr>
          <w:trHeight w:val="144"/>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Construction in</w:t>
            </w:r>
          </w:p>
        </w:tc>
        <w:tc>
          <w:tcPr>
            <w:tcW w:w="10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8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9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9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10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8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700" w:type="dxa"/>
            <w:vAlign w:val="bottom"/>
            <w:gridSpan w:val="2"/>
            <w:shd w:val="clear" w:color="auto" w:fill="CFF0FC"/>
          </w:tcPr>
          <w:p>
            <w:pPr>
              <w:spacing w:after="0"/>
              <w:rPr>
                <w:sz w:val="20"/>
                <w:szCs w:val="20"/>
                <w:color w:val="auto"/>
              </w:rPr>
            </w:pPr>
            <w:r>
              <w:rPr>
                <w:rFonts w:ascii="Arial" w:cs="Arial" w:eastAsia="Arial" w:hAnsi="Arial"/>
                <w:sz w:val="12"/>
                <w:szCs w:val="12"/>
                <w:color w:val="auto"/>
              </w:rPr>
              <w:t>progress</w:t>
            </w:r>
          </w:p>
        </w:tc>
        <w:tc>
          <w:tcPr>
            <w:tcW w:w="100" w:type="dxa"/>
            <w:vAlign w:val="bottom"/>
            <w:shd w:val="clear" w:color="auto" w:fill="CFF0FC"/>
          </w:tcPr>
          <w:p>
            <w:pPr>
              <w:spacing w:after="0"/>
              <w:rPr>
                <w:sz w:val="13"/>
                <w:szCs w:val="13"/>
                <w:color w:val="auto"/>
              </w:rPr>
            </w:pPr>
          </w:p>
        </w:tc>
        <w:tc>
          <w:tcPr>
            <w:tcW w:w="1020" w:type="dxa"/>
            <w:vAlign w:val="bottom"/>
            <w:gridSpan w:val="2"/>
            <w:shd w:val="clear" w:color="auto" w:fill="CFF0FC"/>
          </w:tcPr>
          <w:p>
            <w:pPr>
              <w:ind w:left="620"/>
              <w:spacing w:after="0"/>
              <w:rPr>
                <w:sz w:val="20"/>
                <w:szCs w:val="20"/>
                <w:color w:val="auto"/>
              </w:rPr>
            </w:pPr>
            <w:r>
              <w:rPr>
                <w:rFonts w:ascii="Arial" w:cs="Arial" w:eastAsia="Arial" w:hAnsi="Arial"/>
                <w:sz w:val="12"/>
                <w:szCs w:val="12"/>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w:t>
            </w:r>
          </w:p>
        </w:tc>
        <w:tc>
          <w:tcPr>
            <w:tcW w:w="1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24,597</w:t>
            </w:r>
          </w:p>
        </w:tc>
        <w:tc>
          <w:tcPr>
            <w:tcW w:w="2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0" w:type="dxa"/>
            <w:vAlign w:val="bottom"/>
            <w:gridSpan w:val="2"/>
            <w:shd w:val="clear" w:color="auto" w:fill="CFF0FC"/>
          </w:tcPr>
          <w:p>
            <w:pPr>
              <w:jc w:val="right"/>
              <w:ind w:right="260"/>
              <w:spacing w:after="0"/>
              <w:rPr>
                <w:sz w:val="20"/>
                <w:szCs w:val="20"/>
                <w:color w:val="auto"/>
              </w:rPr>
            </w:pPr>
            <w:r>
              <w:rPr>
                <w:rFonts w:ascii="Arial" w:cs="Arial" w:eastAsia="Arial" w:hAnsi="Arial"/>
                <w:sz w:val="12"/>
                <w:szCs w:val="12"/>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w:t>
            </w:r>
          </w:p>
        </w:tc>
        <w:tc>
          <w:tcPr>
            <w:tcW w:w="140" w:type="dxa"/>
            <w:vAlign w:val="bottom"/>
            <w:shd w:val="clear" w:color="auto" w:fill="CFF0FC"/>
          </w:tcPr>
          <w:p>
            <w:pPr>
              <w:spacing w:after="0"/>
              <w:rPr>
                <w:sz w:val="13"/>
                <w:szCs w:val="13"/>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See Note 3</w:t>
            </w:r>
          </w:p>
        </w:tc>
        <w:tc>
          <w:tcPr>
            <w:tcW w:w="0" w:type="dxa"/>
            <w:vAlign w:val="bottom"/>
          </w:tcPr>
          <w:p>
            <w:pPr>
              <w:spacing w:after="0"/>
              <w:rPr>
                <w:sz w:val="1"/>
                <w:szCs w:val="1"/>
                <w:color w:val="auto"/>
              </w:rPr>
            </w:pPr>
          </w:p>
        </w:tc>
      </w:tr>
    </w:tbl>
    <w:p>
      <w:pPr>
        <w:spacing w:after="0" w:line="72" w:lineRule="exact"/>
        <w:rPr>
          <w:sz w:val="20"/>
          <w:szCs w:val="20"/>
          <w:color w:val="auto"/>
        </w:rPr>
      </w:pPr>
    </w:p>
    <w:p>
      <w:pPr>
        <w:ind w:left="144" w:hanging="143"/>
        <w:spacing w:after="0"/>
        <w:tabs>
          <w:tab w:leader="none" w:pos="144" w:val="left"/>
        </w:tabs>
        <w:numPr>
          <w:ilvl w:val="0"/>
          <w:numId w:val="23"/>
        </w:numPr>
        <w:rPr>
          <w:rFonts w:ascii="Arial" w:cs="Arial" w:eastAsia="Arial" w:hAnsi="Arial"/>
          <w:sz w:val="10"/>
          <w:szCs w:val="10"/>
          <w:color w:val="auto"/>
        </w:rPr>
      </w:pPr>
      <w:r>
        <w:rPr>
          <w:rFonts w:ascii="Arial" w:cs="Arial" w:eastAsia="Arial" w:hAnsi="Arial"/>
          <w:sz w:val="12"/>
          <w:szCs w:val="12"/>
          <w:color w:val="auto"/>
        </w:rPr>
        <w:t>Given the voluminous nature and variety of our real estate investment assets, this schedule omits columns C and D from the schedule III presentation.</w:t>
      </w:r>
    </w:p>
    <w:p>
      <w:pPr>
        <w:spacing w:after="0" w:line="14" w:lineRule="exact"/>
        <w:rPr>
          <w:rFonts w:ascii="Arial" w:cs="Arial" w:eastAsia="Arial" w:hAnsi="Arial"/>
          <w:sz w:val="10"/>
          <w:szCs w:val="10"/>
          <w:color w:val="auto"/>
        </w:rPr>
      </w:pPr>
    </w:p>
    <w:p>
      <w:pPr>
        <w:ind w:left="144" w:hanging="144"/>
        <w:spacing w:after="0"/>
        <w:tabs>
          <w:tab w:leader="none" w:pos="144" w:val="left"/>
        </w:tabs>
        <w:numPr>
          <w:ilvl w:val="0"/>
          <w:numId w:val="23"/>
        </w:numPr>
        <w:rPr>
          <w:rFonts w:ascii="Arial" w:cs="Arial" w:eastAsia="Arial" w:hAnsi="Arial"/>
          <w:sz w:val="10"/>
          <w:szCs w:val="10"/>
          <w:color w:val="auto"/>
        </w:rPr>
      </w:pPr>
      <w:r>
        <w:rPr>
          <w:rFonts w:ascii="Arial" w:cs="Arial" w:eastAsia="Arial" w:hAnsi="Arial"/>
          <w:sz w:val="12"/>
          <w:szCs w:val="12"/>
          <w:color w:val="auto"/>
        </w:rPr>
        <w:t>Because additions and improvements to our real estate investment assets are ongoing, construction and acquisition dates are not applicable.</w:t>
      </w:r>
    </w:p>
    <w:p>
      <w:pPr>
        <w:spacing w:after="0" w:line="6" w:lineRule="exact"/>
        <w:rPr>
          <w:rFonts w:ascii="Arial" w:cs="Arial" w:eastAsia="Arial" w:hAnsi="Arial"/>
          <w:sz w:val="10"/>
          <w:szCs w:val="10"/>
          <w:color w:val="auto"/>
        </w:rPr>
      </w:pPr>
    </w:p>
    <w:p>
      <w:pPr>
        <w:ind w:left="144" w:hanging="143"/>
        <w:spacing w:after="0"/>
        <w:tabs>
          <w:tab w:leader="none" w:pos="144" w:val="left"/>
        </w:tabs>
        <w:numPr>
          <w:ilvl w:val="0"/>
          <w:numId w:val="23"/>
        </w:numPr>
        <w:rPr>
          <w:rFonts w:ascii="Arial" w:cs="Arial" w:eastAsia="Arial" w:hAnsi="Arial"/>
          <w:sz w:val="10"/>
          <w:szCs w:val="10"/>
          <w:color w:val="auto"/>
        </w:rPr>
      </w:pPr>
      <w:r>
        <w:rPr>
          <w:rFonts w:ascii="Arial" w:cs="Arial" w:eastAsia="Arial" w:hAnsi="Arial"/>
          <w:sz w:val="12"/>
          <w:szCs w:val="12"/>
          <w:color w:val="auto"/>
        </w:rPr>
        <w:t>For the year ended December 31, 2018, the amount of capitalized costs related to the Distribution Systems is as follows (millions):</w:t>
      </w:r>
    </w:p>
    <w:p>
      <w:pPr>
        <w:spacing w:after="0" w:line="141" w:lineRule="exact"/>
        <w:rPr>
          <w:sz w:val="20"/>
          <w:szCs w:val="20"/>
          <w:color w:val="auto"/>
        </w:rPr>
      </w:pPr>
    </w:p>
    <w:p>
      <w:pPr>
        <w:ind w:left="784"/>
        <w:spacing w:after="0"/>
        <w:tabs>
          <w:tab w:leader="none" w:pos="4243" w:val="left"/>
          <w:tab w:leader="none" w:pos="4763" w:val="left"/>
        </w:tabs>
        <w:rPr>
          <w:sz w:val="20"/>
          <w:szCs w:val="20"/>
          <w:color w:val="auto"/>
        </w:rPr>
      </w:pPr>
      <w:r>
        <w:rPr>
          <w:rFonts w:ascii="Arial" w:cs="Arial" w:eastAsia="Arial" w:hAnsi="Arial"/>
          <w:sz w:val="12"/>
          <w:szCs w:val="12"/>
          <w:color w:val="auto"/>
        </w:rPr>
        <w:t>Tenant capital improvements</w:t>
      </w:r>
      <w:r>
        <w:rPr>
          <w:rFonts w:ascii="Arial" w:cs="Arial" w:eastAsia="Arial" w:hAnsi="Arial"/>
          <w:sz w:val="10"/>
          <w:szCs w:val="10"/>
          <w:color w:val="auto"/>
        </w:rPr>
        <w:t>(4)</w:t>
      </w:r>
      <w:r>
        <w:rPr>
          <w:sz w:val="20"/>
          <w:szCs w:val="20"/>
          <w:color w:val="auto"/>
        </w:rPr>
        <w:tab/>
      </w:r>
      <w:r>
        <w:rPr>
          <w:rFonts w:ascii="Arial" w:cs="Arial" w:eastAsia="Arial" w:hAnsi="Arial"/>
          <w:sz w:val="12"/>
          <w:szCs w:val="12"/>
          <w:color w:val="auto"/>
        </w:rPr>
        <w:t>$</w:t>
      </w:r>
      <w:r>
        <w:rPr>
          <w:sz w:val="20"/>
          <w:szCs w:val="20"/>
          <w:color w:val="auto"/>
        </w:rPr>
        <w:tab/>
      </w:r>
      <w:r>
        <w:rPr>
          <w:rFonts w:ascii="Arial" w:cs="Arial" w:eastAsia="Arial" w:hAnsi="Arial"/>
          <w:sz w:val="10"/>
          <w:szCs w:val="10"/>
          <w:color w:val="auto"/>
        </w:rPr>
        <w:t>153.6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2702560</wp:posOffset>
            </wp:positionH>
            <wp:positionV relativeFrom="paragraph">
              <wp:posOffset>9525</wp:posOffset>
            </wp:positionV>
            <wp:extent cx="503555" cy="571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7">
                      <a:extLst>
                        <a:ext uri="{28A0092B-C50C-407E-A947-70E740481C1C}"/>
                      </a:extLst>
                    </a:blip>
                    <a:srcRect/>
                    <a:stretch>
                      <a:fillRect/>
                    </a:stretch>
                  </pic:blipFill>
                  <pic:spPr bwMode="auto">
                    <a:xfrm>
                      <a:off x="0" y="0"/>
                      <a:ext cx="503555" cy="5715"/>
                    </a:xfrm>
                    <a:prstGeom prst="rect">
                      <a:avLst/>
                    </a:prstGeom>
                    <a:noFill/>
                  </pic:spPr>
                </pic:pic>
              </a:graphicData>
            </a:graphic>
          </wp:anchor>
        </w:drawing>
        <w:drawing>
          <wp:anchor simplePos="0" relativeHeight="251657728" behindDoc="1" locked="0" layoutInCell="0" allowOverlap="1">
            <wp:simplePos x="0" y="0"/>
            <wp:positionH relativeFrom="column">
              <wp:posOffset>2702560</wp:posOffset>
            </wp:positionH>
            <wp:positionV relativeFrom="paragraph">
              <wp:posOffset>20955</wp:posOffset>
            </wp:positionV>
            <wp:extent cx="503555" cy="571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8">
                      <a:extLst>
                        <a:ext uri="{28A0092B-C50C-407E-A947-70E740481C1C}"/>
                      </a:extLst>
                    </a:blip>
                    <a:srcRect/>
                    <a:stretch>
                      <a:fillRect/>
                    </a:stretch>
                  </pic:blipFill>
                  <pic:spPr bwMode="auto">
                    <a:xfrm>
                      <a:off x="0" y="0"/>
                      <a:ext cx="503555" cy="5715"/>
                    </a:xfrm>
                    <a:prstGeom prst="rect">
                      <a:avLst/>
                    </a:prstGeom>
                    <a:noFill/>
                  </pic:spPr>
                </pic:pic>
              </a:graphicData>
            </a:graphic>
          </wp:anchor>
        </w:drawing>
      </w:r>
    </w:p>
    <w:p>
      <w:pPr>
        <w:spacing w:after="0" w:line="85" w:lineRule="exact"/>
        <w:rPr>
          <w:sz w:val="20"/>
          <w:szCs w:val="20"/>
          <w:color w:val="auto"/>
        </w:rPr>
      </w:pPr>
    </w:p>
    <w:p>
      <w:pPr>
        <w:ind w:left="224" w:right="200" w:hanging="223"/>
        <w:spacing w:after="0" w:line="276" w:lineRule="auto"/>
        <w:tabs>
          <w:tab w:leader="none" w:pos="148" w:val="left"/>
        </w:tabs>
        <w:numPr>
          <w:ilvl w:val="0"/>
          <w:numId w:val="24"/>
        </w:numPr>
        <w:rPr>
          <w:rFonts w:ascii="Arial" w:cs="Arial" w:eastAsia="Arial" w:hAnsi="Arial"/>
          <w:sz w:val="10"/>
          <w:szCs w:val="10"/>
          <w:color w:val="auto"/>
        </w:rPr>
      </w:pPr>
      <w:r>
        <w:rPr>
          <w:rFonts w:ascii="Arial" w:cs="Arial" w:eastAsia="Arial" w:hAnsi="Arial"/>
          <w:sz w:val="12"/>
          <w:szCs w:val="12"/>
          <w:color w:val="auto"/>
        </w:rPr>
        <w:t>Tenant capital improvements represent, maintenance, repair, overbuild, upgrade or replacements to the leased network, including, without limitation, the replacement of copper distribution systems with fiber distribution systems. We receive non-monetary consideration related to the TCIs as they automatically become our property, and we recognize the cost basis of TCIs that are capital in nature.</w:t>
      </w:r>
    </w:p>
    <w:p>
      <w:pPr>
        <w:spacing w:after="0" w:line="42" w:lineRule="exact"/>
        <w:rPr>
          <w:rFonts w:ascii="Arial" w:cs="Arial" w:eastAsia="Arial" w:hAnsi="Arial"/>
          <w:sz w:val="10"/>
          <w:szCs w:val="10"/>
          <w:color w:val="auto"/>
        </w:rPr>
      </w:pPr>
    </w:p>
    <w:p>
      <w:pPr>
        <w:ind w:left="144" w:hanging="143"/>
        <w:spacing w:after="0"/>
        <w:tabs>
          <w:tab w:leader="none" w:pos="144" w:val="left"/>
        </w:tabs>
        <w:numPr>
          <w:ilvl w:val="0"/>
          <w:numId w:val="24"/>
        </w:numPr>
        <w:rPr>
          <w:rFonts w:ascii="Arial" w:cs="Arial" w:eastAsia="Arial" w:hAnsi="Arial"/>
          <w:sz w:val="10"/>
          <w:szCs w:val="10"/>
          <w:color w:val="auto"/>
        </w:rPr>
      </w:pPr>
      <w:r>
        <w:rPr>
          <w:rFonts w:ascii="Arial" w:cs="Arial" w:eastAsia="Arial" w:hAnsi="Arial"/>
          <w:sz w:val="12"/>
          <w:szCs w:val="12"/>
          <w:color w:val="auto"/>
        </w:rPr>
        <w:t>Aggregate cost for Federal income tax purposes related to our real estate investment assets is $6.5 billion.</w:t>
      </w:r>
    </w:p>
    <w:p>
      <w:pPr>
        <w:spacing w:after="0" w:line="294" w:lineRule="exact"/>
        <w:rPr>
          <w:sz w:val="20"/>
          <w:szCs w:val="20"/>
          <w:color w:val="auto"/>
        </w:rPr>
      </w:pPr>
    </w:p>
    <w:p>
      <w:pPr>
        <w:jc w:val="center"/>
        <w:ind w:right="-3"/>
        <w:spacing w:after="0"/>
        <w:rPr>
          <w:sz w:val="20"/>
          <w:szCs w:val="20"/>
          <w:color w:val="auto"/>
        </w:rPr>
      </w:pPr>
      <w:r>
        <w:rPr>
          <w:rFonts w:ascii="Arial" w:cs="Arial" w:eastAsia="Arial" w:hAnsi="Arial"/>
          <w:sz w:val="12"/>
          <w:szCs w:val="12"/>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42545</wp:posOffset>
            </wp:positionV>
            <wp:extent cx="7329170" cy="3683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4"/>
          </w:cols>
          <w:pgMar w:left="216" w:top="130" w:right="199" w:bottom="1440" w:gutter="0" w:footer="0" w:header="0"/>
        </w:sectPr>
      </w:pPr>
    </w:p>
    <w:bookmarkStart w:id="123" w:name="page124"/>
    <w:bookmarkEnd w:id="123"/>
    <w:p>
      <w:pPr>
        <w:spacing w:after="0"/>
        <w:rPr>
          <w:rFonts w:ascii="Arial" w:cs="Arial" w:eastAsia="Arial" w:hAnsi="Arial"/>
          <w:sz w:val="12"/>
          <w:szCs w:val="12"/>
          <w:u w:val="single" w:color="auto"/>
          <w:color w:val="0000EE"/>
        </w:rPr>
      </w:pPr>
      <w:hyperlink w:anchor="page2">
        <w:r>
          <w:rPr>
            <w:rFonts w:ascii="Arial" w:cs="Arial" w:eastAsia="Arial" w:hAnsi="Arial"/>
            <w:sz w:val="12"/>
            <w:szCs w:val="12"/>
            <w:u w:val="single" w:color="auto"/>
            <w:color w:val="0000EE"/>
          </w:rPr>
          <w:t>Table of Contents</w:t>
        </w:r>
      </w:hyperlink>
    </w:p>
    <w:p>
      <w:pPr>
        <w:spacing w:after="0" w:line="74"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Uniti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Schedule III – Real Estate Investments and Accumulated Depreciation</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As of December 31, 2018</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(dollars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4440" w:type="dxa"/>
            <w:vAlign w:val="bottom"/>
            <w:tcBorders>
              <w:bottom w:val="single" w:sz="8" w:color="CFF0FC"/>
            </w:tcBorders>
          </w:tcPr>
          <w:p>
            <w:pPr>
              <w:spacing w:after="0"/>
              <w:rPr>
                <w:sz w:val="13"/>
                <w:szCs w:val="13"/>
                <w:color w:val="auto"/>
              </w:rPr>
            </w:pPr>
          </w:p>
        </w:tc>
        <w:tc>
          <w:tcPr>
            <w:tcW w:w="4120" w:type="dxa"/>
            <w:vAlign w:val="bottom"/>
            <w:tcBorders>
              <w:bottom w:val="single" w:sz="8" w:color="CFF0FC"/>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right"/>
              <w:ind w:right="440"/>
              <w:spacing w:after="0"/>
              <w:rPr>
                <w:sz w:val="20"/>
                <w:szCs w:val="20"/>
                <w:color w:val="auto"/>
              </w:rPr>
            </w:pPr>
            <w:r>
              <w:rPr>
                <w:rFonts w:ascii="Arial" w:cs="Arial" w:eastAsia="Arial" w:hAnsi="Arial"/>
                <w:sz w:val="12"/>
                <w:szCs w:val="12"/>
                <w:color w:val="auto"/>
              </w:rPr>
              <w:t>2018</w:t>
            </w:r>
          </w:p>
        </w:tc>
        <w:tc>
          <w:tcPr>
            <w:tcW w:w="20" w:type="dxa"/>
            <w:vAlign w:val="bottom"/>
            <w:tcBorders>
              <w:bottom w:val="single" w:sz="8" w:color="CFF0FC"/>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460"/>
              <w:spacing w:after="0"/>
              <w:rPr>
                <w:sz w:val="20"/>
                <w:szCs w:val="20"/>
                <w:color w:val="auto"/>
              </w:rPr>
            </w:pPr>
            <w:r>
              <w:rPr>
                <w:rFonts w:ascii="Arial" w:cs="Arial" w:eastAsia="Arial" w:hAnsi="Arial"/>
                <w:sz w:val="12"/>
                <w:szCs w:val="12"/>
                <w:color w:val="auto"/>
              </w:rPr>
              <w:t>2017</w:t>
            </w:r>
          </w:p>
        </w:tc>
        <w:tc>
          <w:tcPr>
            <w:tcW w:w="120" w:type="dxa"/>
            <w:vAlign w:val="bottom"/>
            <w:tcBorders>
              <w:bottom w:val="single" w:sz="8" w:color="CFF0FC"/>
            </w:tcBorders>
          </w:tcPr>
          <w:p>
            <w:pPr>
              <w:spacing w:after="0"/>
              <w:rPr>
                <w:sz w:val="13"/>
                <w:szCs w:val="13"/>
                <w:color w:val="auto"/>
              </w:rPr>
            </w:pPr>
          </w:p>
        </w:tc>
      </w:tr>
      <w:tr>
        <w:trPr>
          <w:trHeight w:val="142"/>
        </w:trPr>
        <w:tc>
          <w:tcPr>
            <w:tcW w:w="4440" w:type="dxa"/>
            <w:vAlign w:val="bottom"/>
            <w:shd w:val="clear" w:color="auto" w:fill="CFF0FC"/>
          </w:tcPr>
          <w:p>
            <w:pPr>
              <w:spacing w:after="0"/>
              <w:rPr>
                <w:sz w:val="20"/>
                <w:szCs w:val="20"/>
                <w:color w:val="auto"/>
              </w:rPr>
            </w:pPr>
            <w:r>
              <w:rPr>
                <w:rFonts w:ascii="Arial" w:cs="Arial" w:eastAsia="Arial" w:hAnsi="Arial"/>
                <w:sz w:val="12"/>
                <w:szCs w:val="12"/>
                <w:color w:val="auto"/>
              </w:rPr>
              <w:t>Gross amount at beginning</w:t>
            </w:r>
          </w:p>
        </w:tc>
        <w:tc>
          <w:tcPr>
            <w:tcW w:w="4400" w:type="dxa"/>
            <w:vAlign w:val="bottom"/>
            <w:gridSpan w:val="3"/>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6,603,480</w:t>
            </w:r>
          </w:p>
        </w:tc>
        <w:tc>
          <w:tcPr>
            <w:tcW w:w="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420" w:type="dxa"/>
            <w:vAlign w:val="bottom"/>
            <w:gridSpan w:val="3"/>
            <w:shd w:val="clear" w:color="auto" w:fill="CFF0FC"/>
          </w:tcPr>
          <w:p>
            <w:pPr>
              <w:jc w:val="right"/>
              <w:ind w:right="240"/>
              <w:spacing w:after="0"/>
              <w:rPr>
                <w:sz w:val="20"/>
                <w:szCs w:val="20"/>
                <w:color w:val="auto"/>
              </w:rPr>
            </w:pPr>
            <w:r>
              <w:rPr>
                <w:rFonts w:ascii="Arial" w:cs="Arial" w:eastAsia="Arial" w:hAnsi="Arial"/>
                <w:sz w:val="12"/>
                <w:szCs w:val="12"/>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6,256,248</w:t>
            </w:r>
          </w:p>
        </w:tc>
        <w:tc>
          <w:tcPr>
            <w:tcW w:w="120" w:type="dxa"/>
            <w:vAlign w:val="bottom"/>
            <w:shd w:val="clear" w:color="auto" w:fill="CFF0FC"/>
          </w:tcPr>
          <w:p>
            <w:pPr>
              <w:spacing w:after="0"/>
              <w:rPr>
                <w:sz w:val="12"/>
                <w:szCs w:val="12"/>
                <w:color w:val="auto"/>
              </w:rPr>
            </w:pPr>
          </w:p>
        </w:tc>
      </w:tr>
      <w:tr>
        <w:trPr>
          <w:trHeight w:val="153"/>
        </w:trPr>
        <w:tc>
          <w:tcPr>
            <w:tcW w:w="4440" w:type="dxa"/>
            <w:vAlign w:val="bottom"/>
          </w:tcPr>
          <w:p>
            <w:pPr>
              <w:spacing w:after="0"/>
              <w:rPr>
                <w:sz w:val="20"/>
                <w:szCs w:val="20"/>
                <w:color w:val="auto"/>
              </w:rPr>
            </w:pPr>
            <w:r>
              <w:rPr>
                <w:rFonts w:ascii="Arial" w:cs="Arial" w:eastAsia="Arial" w:hAnsi="Arial"/>
                <w:sz w:val="12"/>
                <w:szCs w:val="12"/>
                <w:color w:val="auto"/>
              </w:rPr>
              <w:t>Additions during period:</w:t>
            </w: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Tenant capital improvements</w:t>
            </w:r>
          </w:p>
        </w:tc>
        <w:tc>
          <w:tcPr>
            <w:tcW w:w="41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153,615</w:t>
            </w: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227,969</w:t>
            </w:r>
          </w:p>
        </w:tc>
        <w:tc>
          <w:tcPr>
            <w:tcW w:w="120" w:type="dxa"/>
            <w:vAlign w:val="bottom"/>
            <w:shd w:val="clear" w:color="auto" w:fill="CFF0FC"/>
          </w:tcPr>
          <w:p>
            <w:pPr>
              <w:spacing w:after="0"/>
              <w:rPr>
                <w:sz w:val="13"/>
                <w:szCs w:val="13"/>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Acquisitions</w:t>
            </w: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231,142</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80,132</w:t>
            </w: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Other</w:t>
            </w:r>
          </w:p>
        </w:tc>
        <w:tc>
          <w:tcPr>
            <w:tcW w:w="4120" w:type="dxa"/>
            <w:vAlign w:val="bottom"/>
            <w:shd w:val="clear" w:color="auto" w:fill="CFF0FC"/>
          </w:tcPr>
          <w:p>
            <w:pPr>
              <w:spacing w:after="0"/>
              <w:rPr>
                <w:sz w:val="13"/>
                <w:szCs w:val="13"/>
                <w:color w:val="auto"/>
              </w:rPr>
            </w:pPr>
          </w:p>
        </w:tc>
        <w:tc>
          <w:tcPr>
            <w:tcW w:w="20" w:type="dxa"/>
            <w:vAlign w:val="bottom"/>
            <w:tcBorders>
              <w:bottom w:val="single" w:sz="8" w:color="auto"/>
            </w:tcBorders>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18,439</w:t>
            </w: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tcBorders>
              <w:bottom w:val="single" w:sz="8" w:color="auto"/>
            </w:tcBorders>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45,552</w:t>
            </w:r>
          </w:p>
        </w:tc>
        <w:tc>
          <w:tcPr>
            <w:tcW w:w="120" w:type="dxa"/>
            <w:vAlign w:val="bottom"/>
            <w:shd w:val="clear" w:color="auto" w:fill="CFF0FC"/>
          </w:tcPr>
          <w:p>
            <w:pPr>
              <w:spacing w:after="0"/>
              <w:rPr>
                <w:sz w:val="13"/>
                <w:szCs w:val="13"/>
                <w:color w:val="auto"/>
              </w:rPr>
            </w:pPr>
          </w:p>
        </w:tc>
      </w:tr>
      <w:tr>
        <w:trPr>
          <w:trHeight w:val="142"/>
        </w:trPr>
        <w:tc>
          <w:tcPr>
            <w:tcW w:w="4440" w:type="dxa"/>
            <w:vAlign w:val="bottom"/>
          </w:tcPr>
          <w:p>
            <w:pPr>
              <w:spacing w:after="0"/>
              <w:rPr>
                <w:sz w:val="20"/>
                <w:szCs w:val="20"/>
                <w:color w:val="auto"/>
              </w:rPr>
            </w:pPr>
            <w:r>
              <w:rPr>
                <w:rFonts w:ascii="Arial" w:cs="Arial" w:eastAsia="Arial" w:hAnsi="Arial"/>
                <w:sz w:val="12"/>
                <w:szCs w:val="12"/>
                <w:color w:val="auto"/>
              </w:rPr>
              <w:t>Total additions</w:t>
            </w:r>
          </w:p>
        </w:tc>
        <w:tc>
          <w:tcPr>
            <w:tcW w:w="4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40" w:type="dxa"/>
            <w:vAlign w:val="bottom"/>
          </w:tcPr>
          <w:p>
            <w:pPr>
              <w:jc w:val="right"/>
              <w:spacing w:after="0"/>
              <w:rPr>
                <w:sz w:val="20"/>
                <w:szCs w:val="20"/>
                <w:color w:val="auto"/>
              </w:rPr>
            </w:pPr>
            <w:r>
              <w:rPr>
                <w:rFonts w:ascii="Arial" w:cs="Arial" w:eastAsia="Arial" w:hAnsi="Arial"/>
                <w:sz w:val="12"/>
                <w:szCs w:val="12"/>
                <w:color w:val="auto"/>
              </w:rPr>
              <w:t>403,196</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353,653</w:t>
            </w:r>
          </w:p>
        </w:tc>
        <w:tc>
          <w:tcPr>
            <w:tcW w:w="120" w:type="dxa"/>
            <w:vAlign w:val="bottom"/>
          </w:tcPr>
          <w:p>
            <w:pPr>
              <w:spacing w:after="0"/>
              <w:rPr>
                <w:sz w:val="12"/>
                <w:szCs w:val="12"/>
                <w:color w:val="auto"/>
              </w:rPr>
            </w:pPr>
          </w:p>
        </w:tc>
      </w:tr>
      <w:tr>
        <w:trPr>
          <w:trHeight w:val="153"/>
        </w:trPr>
        <w:tc>
          <w:tcPr>
            <w:tcW w:w="4440" w:type="dxa"/>
            <w:vAlign w:val="bottom"/>
            <w:shd w:val="clear" w:color="auto" w:fill="CFF0FC"/>
          </w:tcPr>
          <w:p>
            <w:pPr>
              <w:spacing w:after="0"/>
              <w:rPr>
                <w:sz w:val="13"/>
                <w:szCs w:val="13"/>
                <w:color w:val="auto"/>
              </w:rPr>
            </w:pPr>
          </w:p>
        </w:tc>
        <w:tc>
          <w:tcPr>
            <w:tcW w:w="41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4440" w:type="dxa"/>
            <w:vAlign w:val="bottom"/>
          </w:tcPr>
          <w:p>
            <w:pPr>
              <w:spacing w:after="0"/>
              <w:rPr>
                <w:sz w:val="20"/>
                <w:szCs w:val="20"/>
                <w:color w:val="auto"/>
              </w:rPr>
            </w:pPr>
            <w:r>
              <w:rPr>
                <w:rFonts w:ascii="Arial" w:cs="Arial" w:eastAsia="Arial" w:hAnsi="Arial"/>
                <w:sz w:val="12"/>
                <w:szCs w:val="12"/>
                <w:color w:val="auto"/>
              </w:rPr>
              <w:t>Deductions during period:</w:t>
            </w: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Cost of real estate sold or disposed</w:t>
            </w:r>
          </w:p>
        </w:tc>
        <w:tc>
          <w:tcPr>
            <w:tcW w:w="41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6,577</w:t>
            </w: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6,421</w:t>
            </w:r>
          </w:p>
        </w:tc>
        <w:tc>
          <w:tcPr>
            <w:tcW w:w="120" w:type="dxa"/>
            <w:vAlign w:val="bottom"/>
            <w:shd w:val="clear" w:color="auto" w:fill="CFF0FC"/>
          </w:tcPr>
          <w:p>
            <w:pPr>
              <w:spacing w:after="0"/>
              <w:rPr>
                <w:sz w:val="13"/>
                <w:szCs w:val="13"/>
                <w:color w:val="auto"/>
              </w:rPr>
            </w:pPr>
          </w:p>
        </w:tc>
      </w:tr>
      <w:tr>
        <w:trPr>
          <w:trHeight w:val="153"/>
        </w:trPr>
        <w:tc>
          <w:tcPr>
            <w:tcW w:w="4440" w:type="dxa"/>
            <w:vAlign w:val="bottom"/>
            <w:tcBorders>
              <w:bottom w:val="single" w:sz="8" w:color="CFF0FC"/>
            </w:tcBorders>
          </w:tcPr>
          <w:p>
            <w:pPr>
              <w:ind w:left="160"/>
              <w:spacing w:after="0"/>
              <w:rPr>
                <w:sz w:val="20"/>
                <w:szCs w:val="20"/>
                <w:color w:val="auto"/>
              </w:rPr>
            </w:pPr>
            <w:r>
              <w:rPr>
                <w:rFonts w:ascii="Arial" w:cs="Arial" w:eastAsia="Arial" w:hAnsi="Arial"/>
                <w:sz w:val="12"/>
                <w:szCs w:val="12"/>
                <w:color w:val="auto"/>
              </w:rPr>
              <w:t>Other</w:t>
            </w:r>
          </w:p>
        </w:tc>
        <w:tc>
          <w:tcPr>
            <w:tcW w:w="4120" w:type="dxa"/>
            <w:vAlign w:val="bottom"/>
            <w:tcBorders>
              <w:bottom w:val="single" w:sz="8" w:color="CFF0FC"/>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20" w:type="dxa"/>
            <w:vAlign w:val="bottom"/>
            <w:tcBorders>
              <w:bottom w:val="single" w:sz="8" w:color="CFF0FC"/>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rPr>
              <w:t>-</w:t>
            </w:r>
          </w:p>
        </w:tc>
        <w:tc>
          <w:tcPr>
            <w:tcW w:w="120" w:type="dxa"/>
            <w:vAlign w:val="bottom"/>
            <w:tcBorders>
              <w:bottom w:val="single" w:sz="8" w:color="CFF0FC"/>
            </w:tcBorders>
          </w:tcPr>
          <w:p>
            <w:pPr>
              <w:spacing w:after="0"/>
              <w:rPr>
                <w:sz w:val="13"/>
                <w:szCs w:val="13"/>
                <w:color w:val="auto"/>
              </w:rPr>
            </w:pPr>
          </w:p>
        </w:tc>
      </w:tr>
      <w:tr>
        <w:trPr>
          <w:trHeight w:val="142"/>
        </w:trPr>
        <w:tc>
          <w:tcPr>
            <w:tcW w:w="4440" w:type="dxa"/>
            <w:vAlign w:val="bottom"/>
            <w:shd w:val="clear" w:color="auto" w:fill="CFF0FC"/>
          </w:tcPr>
          <w:p>
            <w:pPr>
              <w:spacing w:after="0"/>
              <w:rPr>
                <w:sz w:val="20"/>
                <w:szCs w:val="20"/>
                <w:color w:val="auto"/>
              </w:rPr>
            </w:pPr>
            <w:r>
              <w:rPr>
                <w:rFonts w:ascii="Arial" w:cs="Arial" w:eastAsia="Arial" w:hAnsi="Arial"/>
                <w:sz w:val="12"/>
                <w:szCs w:val="12"/>
                <w:color w:val="auto"/>
              </w:rPr>
              <w:t>Total deductions</w:t>
            </w:r>
          </w:p>
        </w:tc>
        <w:tc>
          <w:tcPr>
            <w:tcW w:w="412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6,577</w:t>
            </w:r>
          </w:p>
        </w:tc>
        <w:tc>
          <w:tcPr>
            <w:tcW w:w="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6,421</w:t>
            </w:r>
          </w:p>
        </w:tc>
        <w:tc>
          <w:tcPr>
            <w:tcW w:w="120" w:type="dxa"/>
            <w:vAlign w:val="bottom"/>
            <w:shd w:val="clear" w:color="auto" w:fill="CFF0FC"/>
          </w:tcPr>
          <w:p>
            <w:pPr>
              <w:spacing w:after="0"/>
              <w:rPr>
                <w:sz w:val="12"/>
                <w:szCs w:val="12"/>
                <w:color w:val="auto"/>
              </w:rPr>
            </w:pPr>
          </w:p>
        </w:tc>
      </w:tr>
      <w:tr>
        <w:trPr>
          <w:trHeight w:val="153"/>
        </w:trPr>
        <w:tc>
          <w:tcPr>
            <w:tcW w:w="44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spacing w:after="0"/>
              <w:rPr>
                <w:sz w:val="20"/>
                <w:szCs w:val="20"/>
                <w:color w:val="auto"/>
              </w:rPr>
            </w:pPr>
            <w:r>
              <w:rPr>
                <w:rFonts w:ascii="Arial" w:cs="Arial" w:eastAsia="Arial" w:hAnsi="Arial"/>
                <w:sz w:val="12"/>
                <w:szCs w:val="12"/>
                <w:color w:val="auto"/>
              </w:rPr>
              <w:t>Balance at end</w:t>
            </w:r>
          </w:p>
        </w:tc>
        <w:tc>
          <w:tcPr>
            <w:tcW w:w="4400" w:type="dxa"/>
            <w:vAlign w:val="bottom"/>
            <w:gridSpan w:val="3"/>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2"/>
                <w:szCs w:val="12"/>
                <w:color w:val="auto"/>
              </w:rPr>
              <w:t>7,000,099</w:t>
            </w: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420" w:type="dxa"/>
            <w:vAlign w:val="bottom"/>
            <w:gridSpan w:val="3"/>
            <w:shd w:val="clear" w:color="auto" w:fill="CFF0FC"/>
          </w:tcPr>
          <w:p>
            <w:pPr>
              <w:jc w:val="right"/>
              <w:ind w:right="240"/>
              <w:spacing w:after="0"/>
              <w:rPr>
                <w:sz w:val="20"/>
                <w:szCs w:val="20"/>
                <w:color w:val="auto"/>
              </w:rPr>
            </w:pPr>
            <w:r>
              <w:rPr>
                <w:rFonts w:ascii="Arial" w:cs="Arial" w:eastAsia="Arial" w:hAnsi="Arial"/>
                <w:sz w:val="12"/>
                <w:szCs w:val="12"/>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6,603,480</w:t>
            </w:r>
          </w:p>
        </w:tc>
        <w:tc>
          <w:tcPr>
            <w:tcW w:w="120" w:type="dxa"/>
            <w:vAlign w:val="bottom"/>
            <w:shd w:val="clear" w:color="auto" w:fill="CFF0FC"/>
          </w:tcPr>
          <w:p>
            <w:pPr>
              <w:spacing w:after="0"/>
              <w:rPr>
                <w:sz w:val="13"/>
                <w:szCs w:val="13"/>
                <w:color w:val="auto"/>
              </w:rPr>
            </w:pPr>
          </w:p>
        </w:tc>
      </w:tr>
      <w:tr>
        <w:trPr>
          <w:trHeight w:val="297"/>
        </w:trPr>
        <w:tc>
          <w:tcPr>
            <w:tcW w:w="4440" w:type="dxa"/>
            <w:vAlign w:val="bottom"/>
            <w:tcBorders>
              <w:bottom w:val="single" w:sz="8" w:color="CFF0FC"/>
            </w:tcBorders>
          </w:tcPr>
          <w:p>
            <w:pPr>
              <w:spacing w:after="0"/>
              <w:rPr>
                <w:sz w:val="24"/>
                <w:szCs w:val="24"/>
                <w:color w:val="auto"/>
              </w:rPr>
            </w:pPr>
          </w:p>
        </w:tc>
        <w:tc>
          <w:tcPr>
            <w:tcW w:w="412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420"/>
              <w:spacing w:after="0"/>
              <w:rPr>
                <w:sz w:val="20"/>
                <w:szCs w:val="20"/>
                <w:color w:val="auto"/>
              </w:rPr>
            </w:pPr>
            <w:r>
              <w:rPr>
                <w:rFonts w:ascii="Arial" w:cs="Arial" w:eastAsia="Arial" w:hAnsi="Arial"/>
                <w:sz w:val="12"/>
                <w:szCs w:val="12"/>
                <w:color w:val="auto"/>
              </w:rPr>
              <w:t>2018</w:t>
            </w: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CFF0FC"/>
            </w:tcBorders>
          </w:tcPr>
          <w:p>
            <w:pPr>
              <w:spacing w:after="0"/>
              <w:rPr>
                <w:sz w:val="24"/>
                <w:szCs w:val="24"/>
                <w:color w:val="auto"/>
              </w:rPr>
            </w:pPr>
          </w:p>
        </w:tc>
        <w:tc>
          <w:tcPr>
            <w:tcW w:w="120" w:type="dxa"/>
            <w:vAlign w:val="bottom"/>
            <w:tcBorders>
              <w:bottom w:val="single" w:sz="8" w:color="CFF0FC"/>
            </w:tcBorders>
          </w:tcPr>
          <w:p>
            <w:pPr>
              <w:spacing w:after="0"/>
              <w:rPr>
                <w:sz w:val="24"/>
                <w:szCs w:val="24"/>
                <w:color w:val="auto"/>
              </w:rPr>
            </w:pPr>
          </w:p>
        </w:tc>
        <w:tc>
          <w:tcPr>
            <w:tcW w:w="40" w:type="dxa"/>
            <w:vAlign w:val="bottom"/>
            <w:tcBorders>
              <w:bottom w:val="single" w:sz="8" w:color="CFF0FC"/>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440"/>
              <w:spacing w:after="0"/>
              <w:rPr>
                <w:sz w:val="20"/>
                <w:szCs w:val="20"/>
                <w:color w:val="auto"/>
              </w:rPr>
            </w:pPr>
            <w:r>
              <w:rPr>
                <w:rFonts w:ascii="Arial" w:cs="Arial" w:eastAsia="Arial" w:hAnsi="Arial"/>
                <w:sz w:val="12"/>
                <w:szCs w:val="12"/>
                <w:color w:val="auto"/>
              </w:rPr>
              <w:t>2017</w:t>
            </w:r>
          </w:p>
        </w:tc>
        <w:tc>
          <w:tcPr>
            <w:tcW w:w="120" w:type="dxa"/>
            <w:vAlign w:val="bottom"/>
            <w:tcBorders>
              <w:bottom w:val="single" w:sz="8" w:color="CFF0FC"/>
            </w:tcBorders>
          </w:tcPr>
          <w:p>
            <w:pPr>
              <w:spacing w:after="0"/>
              <w:rPr>
                <w:sz w:val="24"/>
                <w:szCs w:val="24"/>
                <w:color w:val="auto"/>
              </w:rPr>
            </w:pPr>
          </w:p>
        </w:tc>
      </w:tr>
      <w:tr>
        <w:trPr>
          <w:trHeight w:val="142"/>
        </w:trPr>
        <w:tc>
          <w:tcPr>
            <w:tcW w:w="4440" w:type="dxa"/>
            <w:vAlign w:val="bottom"/>
            <w:shd w:val="clear" w:color="auto" w:fill="CFF0FC"/>
          </w:tcPr>
          <w:p>
            <w:pPr>
              <w:spacing w:after="0"/>
              <w:rPr>
                <w:sz w:val="20"/>
                <w:szCs w:val="20"/>
                <w:color w:val="auto"/>
              </w:rPr>
            </w:pPr>
            <w:r>
              <w:rPr>
                <w:rFonts w:ascii="Arial" w:cs="Arial" w:eastAsia="Arial" w:hAnsi="Arial"/>
                <w:sz w:val="12"/>
                <w:szCs w:val="12"/>
                <w:color w:val="auto"/>
              </w:rPr>
              <w:t>Gross amount of accumulated depreciation at beginning</w:t>
            </w:r>
          </w:p>
        </w:tc>
        <w:tc>
          <w:tcPr>
            <w:tcW w:w="4400" w:type="dxa"/>
            <w:vAlign w:val="bottom"/>
            <w:gridSpan w:val="3"/>
            <w:shd w:val="clear" w:color="auto" w:fill="CFF0FC"/>
          </w:tcPr>
          <w:p>
            <w:pPr>
              <w:jc w:val="right"/>
              <w:ind w:right="220"/>
              <w:spacing w:after="0"/>
              <w:rPr>
                <w:sz w:val="20"/>
                <w:szCs w:val="20"/>
                <w:color w:val="auto"/>
              </w:rPr>
            </w:pPr>
            <w:r>
              <w:rPr>
                <w:rFonts w:ascii="Arial" w:cs="Arial" w:eastAsia="Arial" w:hAnsi="Arial"/>
                <w:sz w:val="12"/>
                <w:szCs w:val="12"/>
                <w:color w:val="auto"/>
              </w:rPr>
              <w:t>$</w:t>
            </w: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4,399,789</w:t>
            </w:r>
          </w:p>
        </w:tc>
        <w:tc>
          <w:tcPr>
            <w:tcW w:w="160" w:type="dxa"/>
            <w:vAlign w:val="bottom"/>
            <w:shd w:val="clear" w:color="auto" w:fill="CFF0FC"/>
          </w:tcPr>
          <w:p>
            <w:pPr>
              <w:spacing w:after="0"/>
              <w:rPr>
                <w:sz w:val="12"/>
                <w:szCs w:val="12"/>
                <w:color w:val="auto"/>
              </w:rPr>
            </w:pPr>
          </w:p>
        </w:tc>
        <w:tc>
          <w:tcPr>
            <w:tcW w:w="420" w:type="dxa"/>
            <w:vAlign w:val="bottom"/>
            <w:gridSpan w:val="3"/>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4,054,748</w:t>
            </w:r>
          </w:p>
        </w:tc>
        <w:tc>
          <w:tcPr>
            <w:tcW w:w="120" w:type="dxa"/>
            <w:vAlign w:val="bottom"/>
            <w:shd w:val="clear" w:color="auto" w:fill="CFF0FC"/>
          </w:tcPr>
          <w:p>
            <w:pPr>
              <w:spacing w:after="0"/>
              <w:rPr>
                <w:sz w:val="12"/>
                <w:szCs w:val="12"/>
                <w:color w:val="auto"/>
              </w:rPr>
            </w:pPr>
          </w:p>
        </w:tc>
      </w:tr>
      <w:tr>
        <w:trPr>
          <w:trHeight w:val="153"/>
        </w:trPr>
        <w:tc>
          <w:tcPr>
            <w:tcW w:w="4440" w:type="dxa"/>
            <w:vAlign w:val="bottom"/>
          </w:tcPr>
          <w:p>
            <w:pPr>
              <w:spacing w:after="0"/>
              <w:rPr>
                <w:sz w:val="20"/>
                <w:szCs w:val="20"/>
                <w:color w:val="auto"/>
              </w:rPr>
            </w:pPr>
            <w:r>
              <w:rPr>
                <w:rFonts w:ascii="Arial" w:cs="Arial" w:eastAsia="Arial" w:hAnsi="Arial"/>
                <w:sz w:val="12"/>
                <w:szCs w:val="12"/>
                <w:color w:val="auto"/>
              </w:rPr>
              <w:t>Additions during period:</w:t>
            </w: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Depreciation</w:t>
            </w:r>
          </w:p>
        </w:tc>
        <w:tc>
          <w:tcPr>
            <w:tcW w:w="41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343,282</w:t>
            </w: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2"/>
                <w:szCs w:val="12"/>
                <w:color w:val="auto"/>
              </w:rPr>
              <w:t>351,332</w:t>
            </w:r>
          </w:p>
        </w:tc>
        <w:tc>
          <w:tcPr>
            <w:tcW w:w="120" w:type="dxa"/>
            <w:vAlign w:val="bottom"/>
            <w:shd w:val="clear" w:color="auto" w:fill="CFF0FC"/>
          </w:tcPr>
          <w:p>
            <w:pPr>
              <w:spacing w:after="0"/>
              <w:rPr>
                <w:sz w:val="13"/>
                <w:szCs w:val="13"/>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Other</w:t>
            </w: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20" w:type="dxa"/>
            <w:vAlign w:val="bottom"/>
            <w:gridSpan w:val="3"/>
          </w:tcPr>
          <w:p>
            <w:pPr>
              <w:jc w:val="right"/>
              <w:ind w:right="120"/>
              <w:spacing w:after="0"/>
              <w:rPr>
                <w:sz w:val="20"/>
                <w:szCs w:val="20"/>
                <w:color w:val="auto"/>
              </w:rPr>
            </w:pPr>
            <w:r>
              <w:rPr>
                <w:rFonts w:ascii="Arial" w:cs="Arial" w:eastAsia="Arial" w:hAnsi="Arial"/>
                <w:sz w:val="12"/>
                <w:szCs w:val="12"/>
                <w:color w:val="auto"/>
              </w:rPr>
              <w:t>(423)</w:t>
            </w: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2"/>
                <w:szCs w:val="12"/>
                <w:color w:val="auto"/>
              </w:rPr>
              <w:t>(45)</w:t>
            </w:r>
          </w:p>
        </w:tc>
      </w:tr>
      <w:tr>
        <w:trPr>
          <w:trHeight w:val="142"/>
        </w:trPr>
        <w:tc>
          <w:tcPr>
            <w:tcW w:w="44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2"/>
                <w:szCs w:val="12"/>
                <w:color w:val="auto"/>
              </w:rPr>
              <w:t>Total additions</w:t>
            </w:r>
          </w:p>
        </w:tc>
        <w:tc>
          <w:tcPr>
            <w:tcW w:w="4120" w:type="dxa"/>
            <w:vAlign w:val="bottom"/>
            <w:tcBorders>
              <w:top w:val="single" w:sz="8" w:color="CFF0FC"/>
            </w:tcBorders>
            <w:shd w:val="clear" w:color="auto" w:fill="CFF0FC"/>
          </w:tcPr>
          <w:p>
            <w:pPr>
              <w:spacing w:after="0"/>
              <w:rPr>
                <w:sz w:val="12"/>
                <w:szCs w:val="12"/>
                <w:color w:val="auto"/>
              </w:rPr>
            </w:pPr>
          </w:p>
        </w:tc>
        <w:tc>
          <w:tcPr>
            <w:tcW w:w="20" w:type="dxa"/>
            <w:vAlign w:val="bottom"/>
            <w:tcBorders>
              <w:top w:val="single" w:sz="8" w:color="CFF0FC"/>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96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2"/>
                <w:szCs w:val="12"/>
                <w:color w:val="auto"/>
              </w:rPr>
              <w:t>342,859</w:t>
            </w:r>
          </w:p>
        </w:tc>
        <w:tc>
          <w:tcPr>
            <w:tcW w:w="16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40" w:type="dxa"/>
            <w:vAlign w:val="bottom"/>
            <w:tcBorders>
              <w:top w:val="single" w:sz="8" w:color="CFF0FC"/>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351,287</w:t>
            </w:r>
          </w:p>
        </w:tc>
        <w:tc>
          <w:tcPr>
            <w:tcW w:w="120" w:type="dxa"/>
            <w:vAlign w:val="bottom"/>
            <w:tcBorders>
              <w:top w:val="single" w:sz="8" w:color="CFF0FC"/>
            </w:tcBorders>
            <w:shd w:val="clear" w:color="auto" w:fill="CFF0FC"/>
          </w:tcPr>
          <w:p>
            <w:pPr>
              <w:spacing w:after="0"/>
              <w:rPr>
                <w:sz w:val="12"/>
                <w:szCs w:val="12"/>
                <w:color w:val="auto"/>
              </w:rPr>
            </w:pPr>
          </w:p>
        </w:tc>
      </w:tr>
      <w:tr>
        <w:trPr>
          <w:trHeight w:val="153"/>
        </w:trPr>
        <w:tc>
          <w:tcPr>
            <w:tcW w:w="44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spacing w:after="0"/>
              <w:rPr>
                <w:sz w:val="20"/>
                <w:szCs w:val="20"/>
                <w:color w:val="auto"/>
              </w:rPr>
            </w:pPr>
            <w:r>
              <w:rPr>
                <w:rFonts w:ascii="Arial" w:cs="Arial" w:eastAsia="Arial" w:hAnsi="Arial"/>
                <w:sz w:val="12"/>
                <w:szCs w:val="12"/>
                <w:color w:val="auto"/>
              </w:rPr>
              <w:t>Deductions during period:</w:t>
            </w:r>
          </w:p>
        </w:tc>
        <w:tc>
          <w:tcPr>
            <w:tcW w:w="41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4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4440" w:type="dxa"/>
            <w:vAlign w:val="bottom"/>
          </w:tcPr>
          <w:p>
            <w:pPr>
              <w:ind w:left="160"/>
              <w:spacing w:after="0"/>
              <w:rPr>
                <w:sz w:val="20"/>
                <w:szCs w:val="20"/>
                <w:color w:val="auto"/>
              </w:rPr>
            </w:pPr>
            <w:r>
              <w:rPr>
                <w:rFonts w:ascii="Arial" w:cs="Arial" w:eastAsia="Arial" w:hAnsi="Arial"/>
                <w:sz w:val="12"/>
                <w:szCs w:val="12"/>
                <w:color w:val="auto"/>
              </w:rPr>
              <w:t>Amount of accumulated depreciation for assets sold or disposed</w:t>
            </w:r>
          </w:p>
        </w:tc>
        <w:tc>
          <w:tcPr>
            <w:tcW w:w="4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gridSpan w:val="2"/>
          </w:tcPr>
          <w:p>
            <w:pPr>
              <w:jc w:val="right"/>
              <w:spacing w:after="0"/>
              <w:rPr>
                <w:sz w:val="20"/>
                <w:szCs w:val="20"/>
                <w:color w:val="auto"/>
              </w:rPr>
            </w:pPr>
            <w:r>
              <w:rPr>
                <w:rFonts w:ascii="Arial" w:cs="Arial" w:eastAsia="Arial" w:hAnsi="Arial"/>
                <w:sz w:val="12"/>
                <w:szCs w:val="12"/>
                <w:color w:val="auto"/>
              </w:rPr>
              <w:t>3,522</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6,246</w:t>
            </w:r>
          </w:p>
        </w:tc>
        <w:tc>
          <w:tcPr>
            <w:tcW w:w="120" w:type="dxa"/>
            <w:vAlign w:val="bottom"/>
          </w:tcPr>
          <w:p>
            <w:pPr>
              <w:spacing w:after="0"/>
              <w:rPr>
                <w:sz w:val="13"/>
                <w:szCs w:val="13"/>
                <w:color w:val="auto"/>
              </w:rPr>
            </w:pPr>
          </w:p>
        </w:tc>
      </w:tr>
      <w:tr>
        <w:trPr>
          <w:trHeight w:val="153"/>
        </w:trPr>
        <w:tc>
          <w:tcPr>
            <w:tcW w:w="4440" w:type="dxa"/>
            <w:vAlign w:val="bottom"/>
            <w:shd w:val="clear" w:color="auto" w:fill="CFF0FC"/>
          </w:tcPr>
          <w:p>
            <w:pPr>
              <w:ind w:left="160"/>
              <w:spacing w:after="0"/>
              <w:rPr>
                <w:sz w:val="20"/>
                <w:szCs w:val="20"/>
                <w:color w:val="auto"/>
              </w:rPr>
            </w:pPr>
            <w:r>
              <w:rPr>
                <w:rFonts w:ascii="Arial" w:cs="Arial" w:eastAsia="Arial" w:hAnsi="Arial"/>
                <w:sz w:val="12"/>
                <w:szCs w:val="12"/>
                <w:color w:val="auto"/>
              </w:rPr>
              <w:t>Other</w:t>
            </w:r>
          </w:p>
        </w:tc>
        <w:tc>
          <w:tcPr>
            <w:tcW w:w="4120" w:type="dxa"/>
            <w:vAlign w:val="bottom"/>
            <w:shd w:val="clear" w:color="auto" w:fill="CFF0FC"/>
          </w:tcPr>
          <w:p>
            <w:pPr>
              <w:spacing w:after="0"/>
              <w:rPr>
                <w:sz w:val="13"/>
                <w:szCs w:val="13"/>
                <w:color w:val="auto"/>
              </w:rPr>
            </w:pPr>
          </w:p>
        </w:tc>
        <w:tc>
          <w:tcPr>
            <w:tcW w:w="20" w:type="dxa"/>
            <w:vAlign w:val="bottom"/>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96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6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0" w:type="dxa"/>
            <w:vAlign w:val="bottom"/>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120" w:type="dxa"/>
            <w:vAlign w:val="bottom"/>
            <w:shd w:val="clear" w:color="auto" w:fill="CFF0FC"/>
          </w:tcPr>
          <w:p>
            <w:pPr>
              <w:spacing w:after="0"/>
              <w:rPr>
                <w:sz w:val="13"/>
                <w:szCs w:val="13"/>
                <w:color w:val="auto"/>
              </w:rPr>
            </w:pPr>
          </w:p>
        </w:tc>
      </w:tr>
      <w:tr>
        <w:trPr>
          <w:trHeight w:val="142"/>
        </w:trPr>
        <w:tc>
          <w:tcPr>
            <w:tcW w:w="4440" w:type="dxa"/>
            <w:vAlign w:val="bottom"/>
          </w:tcPr>
          <w:p>
            <w:pPr>
              <w:spacing w:after="0"/>
              <w:rPr>
                <w:sz w:val="20"/>
                <w:szCs w:val="20"/>
                <w:color w:val="auto"/>
              </w:rPr>
            </w:pPr>
            <w:r>
              <w:rPr>
                <w:rFonts w:ascii="Arial" w:cs="Arial" w:eastAsia="Arial" w:hAnsi="Arial"/>
                <w:sz w:val="12"/>
                <w:szCs w:val="12"/>
                <w:color w:val="auto"/>
              </w:rPr>
              <w:t>Total deductions</w:t>
            </w:r>
          </w:p>
        </w:tc>
        <w:tc>
          <w:tcPr>
            <w:tcW w:w="4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gridSpan w:val="2"/>
          </w:tcPr>
          <w:p>
            <w:pPr>
              <w:jc w:val="right"/>
              <w:spacing w:after="0"/>
              <w:rPr>
                <w:sz w:val="20"/>
                <w:szCs w:val="20"/>
                <w:color w:val="auto"/>
              </w:rPr>
            </w:pPr>
            <w:r>
              <w:rPr>
                <w:rFonts w:ascii="Arial" w:cs="Arial" w:eastAsia="Arial" w:hAnsi="Arial"/>
                <w:sz w:val="12"/>
                <w:szCs w:val="12"/>
                <w:color w:val="auto"/>
              </w:rPr>
              <w:t>3,522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80" w:type="dxa"/>
            <w:vAlign w:val="bottom"/>
          </w:tcPr>
          <w:p>
            <w:pPr>
              <w:jc w:val="right"/>
              <w:spacing w:after="0"/>
              <w:rPr>
                <w:sz w:val="20"/>
                <w:szCs w:val="20"/>
                <w:color w:val="auto"/>
              </w:rPr>
            </w:pPr>
            <w:r>
              <w:rPr>
                <w:rFonts w:ascii="Arial" w:cs="Arial" w:eastAsia="Arial" w:hAnsi="Arial"/>
                <w:sz w:val="12"/>
                <w:szCs w:val="12"/>
                <w:color w:val="auto"/>
              </w:rPr>
              <w:t>6,246</w:t>
            </w:r>
          </w:p>
        </w:tc>
        <w:tc>
          <w:tcPr>
            <w:tcW w:w="120" w:type="dxa"/>
            <w:vAlign w:val="bottom"/>
          </w:tcPr>
          <w:p>
            <w:pPr>
              <w:spacing w:after="0"/>
              <w:rPr>
                <w:sz w:val="12"/>
                <w:szCs w:val="12"/>
                <w:color w:val="auto"/>
              </w:rPr>
            </w:pPr>
          </w:p>
        </w:tc>
      </w:tr>
      <w:tr>
        <w:trPr>
          <w:trHeight w:val="153"/>
        </w:trPr>
        <w:tc>
          <w:tcPr>
            <w:tcW w:w="4440" w:type="dxa"/>
            <w:vAlign w:val="bottom"/>
            <w:shd w:val="clear" w:color="auto" w:fill="CFF0FC"/>
          </w:tcPr>
          <w:p>
            <w:pPr>
              <w:spacing w:after="0"/>
              <w:rPr>
                <w:sz w:val="13"/>
                <w:szCs w:val="13"/>
                <w:color w:val="auto"/>
              </w:rPr>
            </w:pPr>
          </w:p>
        </w:tc>
        <w:tc>
          <w:tcPr>
            <w:tcW w:w="4140" w:type="dxa"/>
            <w:vAlign w:val="bottom"/>
            <w:gridSpan w:val="2"/>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60" w:type="dxa"/>
            <w:vAlign w:val="bottom"/>
            <w:gridSpan w:val="2"/>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60" w:type="dxa"/>
            <w:vAlign w:val="bottom"/>
            <w:gridSpan w:val="2"/>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r>
      <w:tr>
        <w:trPr>
          <w:trHeight w:val="153"/>
        </w:trPr>
        <w:tc>
          <w:tcPr>
            <w:tcW w:w="4440" w:type="dxa"/>
            <w:vAlign w:val="bottom"/>
          </w:tcPr>
          <w:p>
            <w:pPr>
              <w:spacing w:after="0"/>
              <w:rPr>
                <w:sz w:val="20"/>
                <w:szCs w:val="20"/>
                <w:color w:val="auto"/>
              </w:rPr>
            </w:pPr>
            <w:r>
              <w:rPr>
                <w:rFonts w:ascii="Arial" w:cs="Arial" w:eastAsia="Arial" w:hAnsi="Arial"/>
                <w:sz w:val="12"/>
                <w:szCs w:val="12"/>
                <w:color w:val="auto"/>
              </w:rPr>
              <w:t>Balance at end</w:t>
            </w:r>
          </w:p>
        </w:tc>
        <w:tc>
          <w:tcPr>
            <w:tcW w:w="4400" w:type="dxa"/>
            <w:vAlign w:val="bottom"/>
            <w:gridSpan w:val="3"/>
          </w:tcPr>
          <w:p>
            <w:pPr>
              <w:jc w:val="right"/>
              <w:ind w:right="220"/>
              <w:spacing w:after="0"/>
              <w:rPr>
                <w:sz w:val="20"/>
                <w:szCs w:val="20"/>
                <w:color w:val="auto"/>
              </w:rPr>
            </w:pPr>
            <w:r>
              <w:rPr>
                <w:rFonts w:ascii="Arial" w:cs="Arial" w:eastAsia="Arial" w:hAnsi="Arial"/>
                <w:sz w:val="12"/>
                <w:szCs w:val="12"/>
                <w:color w:val="auto"/>
              </w:rPr>
              <w:t>$</w:t>
            </w:r>
          </w:p>
        </w:tc>
        <w:tc>
          <w:tcPr>
            <w:tcW w:w="960" w:type="dxa"/>
            <w:vAlign w:val="bottom"/>
            <w:gridSpan w:val="2"/>
          </w:tcPr>
          <w:p>
            <w:pPr>
              <w:jc w:val="right"/>
              <w:spacing w:after="0"/>
              <w:rPr>
                <w:sz w:val="20"/>
                <w:szCs w:val="20"/>
                <w:color w:val="auto"/>
              </w:rPr>
            </w:pPr>
            <w:r>
              <w:rPr>
                <w:rFonts w:ascii="Arial" w:cs="Arial" w:eastAsia="Arial" w:hAnsi="Arial"/>
                <w:sz w:val="12"/>
                <w:szCs w:val="12"/>
                <w:color w:val="auto"/>
              </w:rPr>
              <w:t>4,739,126</w:t>
            </w:r>
          </w:p>
        </w:tc>
        <w:tc>
          <w:tcPr>
            <w:tcW w:w="160" w:type="dxa"/>
            <w:vAlign w:val="bottom"/>
          </w:tcPr>
          <w:p>
            <w:pPr>
              <w:spacing w:after="0"/>
              <w:rPr>
                <w:sz w:val="13"/>
                <w:szCs w:val="13"/>
                <w:color w:val="auto"/>
              </w:rPr>
            </w:pPr>
          </w:p>
        </w:tc>
        <w:tc>
          <w:tcPr>
            <w:tcW w:w="4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980" w:type="dxa"/>
            <w:vAlign w:val="bottom"/>
          </w:tcPr>
          <w:p>
            <w:pPr>
              <w:jc w:val="right"/>
              <w:spacing w:after="0"/>
              <w:rPr>
                <w:sz w:val="20"/>
                <w:szCs w:val="20"/>
                <w:color w:val="auto"/>
              </w:rPr>
            </w:pPr>
            <w:r>
              <w:rPr>
                <w:rFonts w:ascii="Arial" w:cs="Arial" w:eastAsia="Arial" w:hAnsi="Arial"/>
                <w:sz w:val="12"/>
                <w:szCs w:val="12"/>
                <w:color w:val="auto"/>
              </w:rPr>
              <w:t>4,399,789</w:t>
            </w:r>
          </w:p>
        </w:tc>
        <w:tc>
          <w:tcPr>
            <w:tcW w:w="120" w:type="dxa"/>
            <w:vAlign w:val="bottom"/>
          </w:tcPr>
          <w:p>
            <w:pPr>
              <w:spacing w:after="0"/>
              <w:rPr>
                <w:sz w:val="13"/>
                <w:szCs w:val="13"/>
                <w:color w:val="auto"/>
              </w:rPr>
            </w:pPr>
          </w:p>
        </w:tc>
      </w:tr>
      <w:tr>
        <w:trPr>
          <w:trHeight w:val="576"/>
        </w:trPr>
        <w:tc>
          <w:tcPr>
            <w:tcW w:w="4440" w:type="dxa"/>
            <w:vAlign w:val="bottom"/>
          </w:tcPr>
          <w:p>
            <w:pPr>
              <w:spacing w:after="0"/>
              <w:rPr>
                <w:sz w:val="24"/>
                <w:szCs w:val="24"/>
                <w:color w:val="auto"/>
              </w:rPr>
            </w:pPr>
          </w:p>
        </w:tc>
        <w:tc>
          <w:tcPr>
            <w:tcW w:w="4400" w:type="dxa"/>
            <w:vAlign w:val="bottom"/>
            <w:gridSpan w:val="3"/>
          </w:tcPr>
          <w:p>
            <w:pPr>
              <w:jc w:val="right"/>
              <w:ind w:right="3020"/>
              <w:spacing w:after="0"/>
              <w:rPr>
                <w:sz w:val="20"/>
                <w:szCs w:val="20"/>
                <w:color w:val="auto"/>
              </w:rPr>
            </w:pPr>
            <w:r>
              <w:rPr>
                <w:rFonts w:ascii="Arial" w:cs="Arial" w:eastAsia="Arial" w:hAnsi="Arial"/>
                <w:sz w:val="12"/>
                <w:szCs w:val="12"/>
                <w:color w:val="auto"/>
              </w:rPr>
              <w:t>S-7</w:t>
            </w: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ectPr>
          <w:pgSz w:w="11900" w:h="16838" w:orient="portrait"/>
          <w:cols w:equalWidth="0" w:num="1">
            <w:col w:w="11480"/>
          </w:cols>
          <w:pgMar w:left="220" w:top="131" w:right="199" w:bottom="1440" w:gutter="0" w:footer="0" w:header="0"/>
        </w:sectPr>
      </w:pPr>
    </w:p>
    <w:bookmarkStart w:id="124" w:name="page125"/>
    <w:bookmarkEnd w:id="124"/>
    <w:p>
      <w:pPr>
        <w:jc w:val="right"/>
        <w:spacing w:after="0"/>
        <w:rPr>
          <w:sz w:val="20"/>
          <w:szCs w:val="20"/>
          <w:color w:val="auto"/>
        </w:rPr>
      </w:pPr>
      <w:r>
        <w:rPr>
          <w:rFonts w:ascii="Arial" w:cs="Arial" w:eastAsia="Arial" w:hAnsi="Arial"/>
          <w:sz w:val="12"/>
          <w:szCs w:val="12"/>
          <w:b w:val="1"/>
          <w:bCs w:val="1"/>
          <w:color w:val="auto"/>
        </w:rPr>
        <w:t>Exhibit 10.11</w:t>
      </w:r>
    </w:p>
    <w:p>
      <w:pPr>
        <w:spacing w:after="0" w:line="162" w:lineRule="exact"/>
        <w:rPr>
          <w:sz w:val="20"/>
          <w:szCs w:val="20"/>
          <w:color w:val="auto"/>
        </w:rPr>
      </w:pPr>
    </w:p>
    <w:p>
      <w:pPr>
        <w:jc w:val="right"/>
        <w:spacing w:after="0"/>
        <w:rPr>
          <w:sz w:val="20"/>
          <w:szCs w:val="20"/>
          <w:color w:val="auto"/>
        </w:rPr>
      </w:pPr>
      <w:r>
        <w:rPr>
          <w:rFonts w:ascii="Arial" w:cs="Arial" w:eastAsia="Arial" w:hAnsi="Arial"/>
          <w:sz w:val="13"/>
          <w:szCs w:val="13"/>
          <w:color w:val="auto"/>
        </w:rPr>
        <w:t>EXECUTION VERSION</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AMENDMENT NO. 4 AND LIMITED WAIVER</w:t>
      </w:r>
    </w:p>
    <w:p>
      <w:pPr>
        <w:spacing w:after="0" w:line="152" w:lineRule="exact"/>
        <w:rPr>
          <w:sz w:val="20"/>
          <w:szCs w:val="20"/>
          <w:color w:val="auto"/>
        </w:rPr>
      </w:pPr>
    </w:p>
    <w:p>
      <w:pPr>
        <w:ind w:right="20" w:firstLine="883"/>
        <w:spacing w:after="0" w:line="275" w:lineRule="auto"/>
        <w:rPr>
          <w:sz w:val="20"/>
          <w:szCs w:val="20"/>
          <w:color w:val="auto"/>
        </w:rPr>
      </w:pPr>
      <w:r>
        <w:rPr>
          <w:rFonts w:ascii="Arial" w:cs="Arial" w:eastAsia="Arial" w:hAnsi="Arial"/>
          <w:sz w:val="12"/>
          <w:szCs w:val="12"/>
          <w:color w:val="auto"/>
        </w:rPr>
        <w:t>This Amendment No. 4 and Limited Waiver (this “</w:t>
      </w:r>
      <w:r>
        <w:rPr>
          <w:rFonts w:ascii="Arial" w:cs="Arial" w:eastAsia="Arial" w:hAnsi="Arial"/>
          <w:sz w:val="12"/>
          <w:szCs w:val="12"/>
          <w:u w:val="single" w:color="auto"/>
          <w:color w:val="auto"/>
        </w:rPr>
        <w:t>Agreement</w:t>
      </w:r>
      <w:r>
        <w:rPr>
          <w:rFonts w:ascii="Arial" w:cs="Arial" w:eastAsia="Arial" w:hAnsi="Arial"/>
          <w:sz w:val="12"/>
          <w:szCs w:val="12"/>
          <w:color w:val="auto"/>
        </w:rPr>
        <w:t>” or “</w:t>
      </w:r>
      <w:r>
        <w:rPr>
          <w:rFonts w:ascii="Arial" w:cs="Arial" w:eastAsia="Arial" w:hAnsi="Arial"/>
          <w:sz w:val="12"/>
          <w:szCs w:val="12"/>
          <w:u w:val="single" w:color="auto"/>
          <w:color w:val="auto"/>
        </w:rPr>
        <w:t>Amendment No. 4 and Limited Waiver</w:t>
      </w:r>
      <w:r>
        <w:rPr>
          <w:rFonts w:ascii="Arial" w:cs="Arial" w:eastAsia="Arial" w:hAnsi="Arial"/>
          <w:sz w:val="12"/>
          <w:szCs w:val="12"/>
          <w:color w:val="auto"/>
        </w:rPr>
        <w:t>”), dated as of March 18, 2019, to the Credit Agreement, dated as of April 24, 2015 (as amended by Amendment No. 1 thereto dated October 21, 2016, as further amended by Amendment No. 2 dated February 9, 2017, as further amended by Amendment No. 3 dated April 27, 2017 and after giving effect to the Borrower Assumption Agreement and Joinder, dated as of May 9, 2017, the “</w:t>
      </w:r>
      <w:r>
        <w:rPr>
          <w:rFonts w:ascii="Arial" w:cs="Arial" w:eastAsia="Arial" w:hAnsi="Arial"/>
          <w:sz w:val="12"/>
          <w:szCs w:val="12"/>
          <w:u w:val="single" w:color="auto"/>
          <w:color w:val="auto"/>
        </w:rPr>
        <w:t>Credit Agreement</w:t>
      </w:r>
      <w:r>
        <w:rPr>
          <w:rFonts w:ascii="Arial" w:cs="Arial" w:eastAsia="Arial" w:hAnsi="Arial"/>
          <w:sz w:val="12"/>
          <w:szCs w:val="12"/>
          <w:color w:val="auto"/>
        </w:rPr>
        <w:t>”; capitalized terms used in this Amendment No. 4 and Limited Waiver and not otherwise defined herein shall have the respective meanings given thereto in the Credit Agreement), is made by and among Uniti Group Inc. (f/k/a Communications Sales &amp; Leasing, Inc.), a Maryland corporation (the “</w:t>
      </w:r>
      <w:r>
        <w:rPr>
          <w:rFonts w:ascii="Arial" w:cs="Arial" w:eastAsia="Arial" w:hAnsi="Arial"/>
          <w:sz w:val="12"/>
          <w:szCs w:val="12"/>
          <w:u w:val="single" w:color="auto"/>
          <w:color w:val="auto"/>
        </w:rPr>
        <w:t>Parent Guarantor</w:t>
      </w:r>
      <w:r>
        <w:rPr>
          <w:rFonts w:ascii="Arial" w:cs="Arial" w:eastAsia="Arial" w:hAnsi="Arial"/>
          <w:sz w:val="12"/>
          <w:szCs w:val="12"/>
          <w:color w:val="auto"/>
        </w:rPr>
        <w:t>”), Uniti Group LP, a Delaware limited partnership (the “</w:t>
      </w:r>
      <w:r>
        <w:rPr>
          <w:rFonts w:ascii="Arial" w:cs="Arial" w:eastAsia="Arial" w:hAnsi="Arial"/>
          <w:sz w:val="12"/>
          <w:szCs w:val="12"/>
          <w:u w:val="single" w:color="auto"/>
          <w:color w:val="auto"/>
        </w:rPr>
        <w:t>Assumed Borrower</w:t>
      </w:r>
      <w:r>
        <w:rPr>
          <w:rFonts w:ascii="Arial" w:cs="Arial" w:eastAsia="Arial" w:hAnsi="Arial"/>
          <w:sz w:val="12"/>
          <w:szCs w:val="12"/>
          <w:color w:val="auto"/>
        </w:rPr>
        <w:t>”), Uniti Group Finance Inc., a Delaware corporation (“</w:t>
      </w:r>
      <w:r>
        <w:rPr>
          <w:rFonts w:ascii="Arial" w:cs="Arial" w:eastAsia="Arial" w:hAnsi="Arial"/>
          <w:sz w:val="12"/>
          <w:szCs w:val="12"/>
          <w:u w:val="single" w:color="auto"/>
          <w:color w:val="auto"/>
        </w:rPr>
        <w:t>FinCo</w:t>
      </w:r>
      <w:r>
        <w:rPr>
          <w:rFonts w:ascii="Arial" w:cs="Arial" w:eastAsia="Arial" w:hAnsi="Arial"/>
          <w:sz w:val="12"/>
          <w:szCs w:val="12"/>
          <w:color w:val="auto"/>
        </w:rPr>
        <w:t>”), CSL CAPITAL, LLC (“</w:t>
      </w:r>
      <w:r>
        <w:rPr>
          <w:rFonts w:ascii="Arial" w:cs="Arial" w:eastAsia="Arial" w:hAnsi="Arial"/>
          <w:sz w:val="12"/>
          <w:szCs w:val="12"/>
          <w:u w:val="single" w:color="auto"/>
          <w:color w:val="auto"/>
        </w:rPr>
        <w:t>CSL Capital</w:t>
      </w:r>
      <w:r>
        <w:rPr>
          <w:rFonts w:ascii="Arial" w:cs="Arial" w:eastAsia="Arial" w:hAnsi="Arial"/>
          <w:sz w:val="12"/>
          <w:szCs w:val="12"/>
          <w:color w:val="auto"/>
        </w:rPr>
        <w:t>” and, collectively with the Assumed Borrower and Finco, the “</w:t>
      </w:r>
      <w:r>
        <w:rPr>
          <w:rFonts w:ascii="Arial" w:cs="Arial" w:eastAsia="Arial" w:hAnsi="Arial"/>
          <w:sz w:val="12"/>
          <w:szCs w:val="12"/>
          <w:u w:val="single" w:color="auto"/>
          <w:color w:val="auto"/>
        </w:rPr>
        <w:t>Borrowers</w:t>
      </w:r>
      <w:r>
        <w:rPr>
          <w:rFonts w:ascii="Arial" w:cs="Arial" w:eastAsia="Arial" w:hAnsi="Arial"/>
          <w:sz w:val="12"/>
          <w:szCs w:val="12"/>
          <w:color w:val="auto"/>
        </w:rPr>
        <w:t>”), the Lenders party hereto and Bank of America, N.A., as Administrative Agent and Collateral Agent (the “</w:t>
      </w:r>
      <w:r>
        <w:rPr>
          <w:rFonts w:ascii="Arial" w:cs="Arial" w:eastAsia="Arial" w:hAnsi="Arial"/>
          <w:sz w:val="12"/>
          <w:szCs w:val="12"/>
          <w:u w:val="single" w:color="auto"/>
          <w:color w:val="auto"/>
        </w:rPr>
        <w:t>Administrative Agent</w:t>
      </w:r>
      <w:r>
        <w:rPr>
          <w:rFonts w:ascii="Arial" w:cs="Arial" w:eastAsia="Arial" w:hAnsi="Arial"/>
          <w:sz w:val="12"/>
          <w:szCs w:val="12"/>
          <w:color w:val="auto"/>
        </w:rPr>
        <w:t>”).</w:t>
      </w:r>
    </w:p>
    <w:p>
      <w:pPr>
        <w:spacing w:after="0" w:line="128" w:lineRule="exact"/>
        <w:rPr>
          <w:sz w:val="20"/>
          <w:szCs w:val="20"/>
          <w:color w:val="auto"/>
        </w:rPr>
      </w:pPr>
    </w:p>
    <w:p>
      <w:pPr>
        <w:jc w:val="center"/>
        <w:spacing w:after="0"/>
        <w:rPr>
          <w:sz w:val="20"/>
          <w:szCs w:val="20"/>
          <w:color w:val="auto"/>
        </w:rPr>
      </w:pPr>
      <w:r>
        <w:rPr>
          <w:rFonts w:ascii="Arial" w:cs="Arial" w:eastAsia="Arial" w:hAnsi="Arial"/>
          <w:sz w:val="13"/>
          <w:szCs w:val="13"/>
          <w:b w:val="1"/>
          <w:bCs w:val="1"/>
          <w:u w:val="single" w:color="auto"/>
          <w:color w:val="auto"/>
        </w:rPr>
        <w:t>W I T N E S S E T H</w:t>
      </w:r>
      <w:r>
        <w:rPr>
          <w:rFonts w:ascii="Arial" w:cs="Arial" w:eastAsia="Arial" w:hAnsi="Arial"/>
          <w:sz w:val="13"/>
          <w:szCs w:val="13"/>
          <w:b w:val="1"/>
          <w:bCs w:val="1"/>
          <w:color w:val="auto"/>
        </w:rPr>
        <w:t>:</w:t>
      </w:r>
    </w:p>
    <w:p>
      <w:pPr>
        <w:spacing w:after="0" w:line="148" w:lineRule="exact"/>
        <w:rPr>
          <w:sz w:val="20"/>
          <w:szCs w:val="20"/>
          <w:color w:val="auto"/>
        </w:rPr>
      </w:pPr>
    </w:p>
    <w:p>
      <w:pPr>
        <w:ind w:right="100" w:firstLine="883"/>
        <w:spacing w:after="0" w:line="261" w:lineRule="auto"/>
        <w:rPr>
          <w:sz w:val="20"/>
          <w:szCs w:val="20"/>
          <w:color w:val="auto"/>
        </w:rPr>
      </w:pPr>
      <w:r>
        <w:rPr>
          <w:rFonts w:ascii="Arial" w:cs="Arial" w:eastAsia="Arial" w:hAnsi="Arial"/>
          <w:sz w:val="13"/>
          <w:szCs w:val="13"/>
          <w:b w:val="1"/>
          <w:bCs w:val="1"/>
          <w:color w:val="auto"/>
        </w:rPr>
        <w:t>WHEREAS</w:t>
      </w:r>
      <w:r>
        <w:rPr>
          <w:rFonts w:ascii="Arial" w:cs="Arial" w:eastAsia="Arial" w:hAnsi="Arial"/>
          <w:sz w:val="13"/>
          <w:szCs w:val="13"/>
          <w:color w:val="auto"/>
        </w:rPr>
        <w:t>, the Borrowers have advised the Administrative Agent and the Lenders that PricewaterhouseCoopers LLP may include a going concern or like qualification or exception (the “</w:t>
      </w:r>
      <w:r>
        <w:rPr>
          <w:rFonts w:ascii="Arial" w:cs="Arial" w:eastAsia="Arial" w:hAnsi="Arial"/>
          <w:sz w:val="13"/>
          <w:szCs w:val="13"/>
          <w:u w:val="single" w:color="auto"/>
          <w:color w:val="auto"/>
        </w:rPr>
        <w:t>Going</w:t>
      </w:r>
      <w:r>
        <w:rPr>
          <w:rFonts w:ascii="Arial" w:cs="Arial" w:eastAsia="Arial" w:hAnsi="Arial"/>
          <w:sz w:val="13"/>
          <w:szCs w:val="13"/>
          <w:b w:val="1"/>
          <w:bCs w:val="1"/>
          <w:color w:val="auto"/>
        </w:rPr>
        <w:t xml:space="preserve"> </w:t>
      </w:r>
      <w:r>
        <w:rPr>
          <w:rFonts w:ascii="Arial" w:cs="Arial" w:eastAsia="Arial" w:hAnsi="Arial"/>
          <w:sz w:val="13"/>
          <w:szCs w:val="13"/>
          <w:u w:val="single" w:color="auto"/>
          <w:color w:val="auto"/>
        </w:rPr>
        <w:t>Concern Qualification</w:t>
      </w:r>
      <w:r>
        <w:rPr>
          <w:rFonts w:ascii="Arial" w:cs="Arial" w:eastAsia="Arial" w:hAnsi="Arial"/>
          <w:sz w:val="13"/>
          <w:szCs w:val="13"/>
          <w:color w:val="auto"/>
        </w:rPr>
        <w:t>”) in its audit opinion with respect to the financial statements of Holdings and its Subsidiaries for the fiscal year ended December 31, 2018 (the “</w:t>
      </w:r>
      <w:r>
        <w:rPr>
          <w:rFonts w:ascii="Arial" w:cs="Arial" w:eastAsia="Arial" w:hAnsi="Arial"/>
          <w:sz w:val="13"/>
          <w:szCs w:val="13"/>
          <w:u w:val="single" w:color="auto"/>
          <w:color w:val="auto"/>
        </w:rPr>
        <w:t>2018 Audited Financial Statements</w:t>
      </w:r>
      <w:r>
        <w:rPr>
          <w:rFonts w:ascii="Arial" w:cs="Arial" w:eastAsia="Arial" w:hAnsi="Arial"/>
          <w:sz w:val="13"/>
          <w:szCs w:val="13"/>
          <w:color w:val="auto"/>
        </w:rPr>
        <w:t>”) required to be delivered pursuant to Section 6.01(a) of the Credit Agreement and the penultimate paragraph of Section 6.01 of the Credit Agreement;</w:t>
      </w:r>
    </w:p>
    <w:p>
      <w:pPr>
        <w:spacing w:after="0" w:line="116" w:lineRule="exact"/>
        <w:rPr>
          <w:sz w:val="20"/>
          <w:szCs w:val="20"/>
          <w:color w:val="auto"/>
        </w:rPr>
      </w:pPr>
    </w:p>
    <w:p>
      <w:pPr>
        <w:ind w:right="40" w:firstLine="883"/>
        <w:spacing w:after="0" w:line="278" w:lineRule="auto"/>
        <w:rPr>
          <w:sz w:val="20"/>
          <w:szCs w:val="20"/>
          <w:color w:val="auto"/>
        </w:rPr>
      </w:pPr>
      <w:r>
        <w:rPr>
          <w:rFonts w:ascii="Arial" w:cs="Arial" w:eastAsia="Arial" w:hAnsi="Arial"/>
          <w:sz w:val="13"/>
          <w:szCs w:val="13"/>
          <w:b w:val="1"/>
          <w:bCs w:val="1"/>
          <w:color w:val="auto"/>
        </w:rPr>
        <w:t>WHEREAS</w:t>
      </w:r>
      <w:r>
        <w:rPr>
          <w:rFonts w:ascii="Arial" w:cs="Arial" w:eastAsia="Arial" w:hAnsi="Arial"/>
          <w:sz w:val="13"/>
          <w:szCs w:val="13"/>
          <w:color w:val="auto"/>
        </w:rPr>
        <w:t>, the delivery of 2018 Audited Financial Statements accompanied by an auditor’s report containing the Going Concern Qualification would violate</w:t>
      </w:r>
      <w:r>
        <w:rPr>
          <w:rFonts w:ascii="Arial" w:cs="Arial" w:eastAsia="Arial" w:hAnsi="Arial"/>
          <w:sz w:val="13"/>
          <w:szCs w:val="13"/>
          <w:b w:val="1"/>
          <w:bCs w:val="1"/>
          <w:color w:val="auto"/>
        </w:rPr>
        <w:t xml:space="preserve"> </w:t>
      </w:r>
      <w:r>
        <w:rPr>
          <w:rFonts w:ascii="Arial" w:cs="Arial" w:eastAsia="Arial" w:hAnsi="Arial"/>
          <w:sz w:val="13"/>
          <w:szCs w:val="13"/>
          <w:u w:val="single" w:color="auto"/>
          <w:color w:val="auto"/>
        </w:rPr>
        <w:t>Section 6.01(a)</w:t>
      </w:r>
      <w:r>
        <w:rPr>
          <w:rFonts w:ascii="Arial" w:cs="Arial" w:eastAsia="Arial" w:hAnsi="Arial"/>
          <w:sz w:val="13"/>
          <w:szCs w:val="13"/>
          <w:b w:val="1"/>
          <w:bCs w:val="1"/>
          <w:color w:val="auto"/>
        </w:rPr>
        <w:t xml:space="preserve"> </w:t>
      </w:r>
      <w:r>
        <w:rPr>
          <w:rFonts w:ascii="Arial" w:cs="Arial" w:eastAsia="Arial" w:hAnsi="Arial"/>
          <w:sz w:val="13"/>
          <w:szCs w:val="13"/>
          <w:color w:val="auto"/>
        </w:rPr>
        <w:t>of the Credit Agreement</w:t>
      </w:r>
      <w:r>
        <w:rPr>
          <w:rFonts w:ascii="Arial" w:cs="Arial" w:eastAsia="Arial" w:hAnsi="Arial"/>
          <w:sz w:val="13"/>
          <w:szCs w:val="13"/>
          <w:b w:val="1"/>
          <w:bCs w:val="1"/>
          <w:color w:val="auto"/>
        </w:rPr>
        <w:t xml:space="preserve"> </w:t>
      </w:r>
      <w:r>
        <w:rPr>
          <w:rFonts w:ascii="Arial" w:cs="Arial" w:eastAsia="Arial" w:hAnsi="Arial"/>
          <w:sz w:val="13"/>
          <w:szCs w:val="13"/>
          <w:color w:val="auto"/>
        </w:rPr>
        <w:t xml:space="preserve">and would result in a Default or Event of Default under </w:t>
      </w:r>
      <w:r>
        <w:rPr>
          <w:rFonts w:ascii="Arial" w:cs="Arial" w:eastAsia="Arial" w:hAnsi="Arial"/>
          <w:sz w:val="13"/>
          <w:szCs w:val="13"/>
          <w:u w:val="single" w:color="auto"/>
          <w:color w:val="auto"/>
        </w:rPr>
        <w:t>Section 8.01(b)</w:t>
      </w:r>
      <w:r>
        <w:rPr>
          <w:rFonts w:ascii="Arial" w:cs="Arial" w:eastAsia="Arial" w:hAnsi="Arial"/>
          <w:sz w:val="13"/>
          <w:szCs w:val="13"/>
          <w:color w:val="auto"/>
        </w:rPr>
        <w:t xml:space="preserve"> of the Credit Agreement (any such Default or Event of Default being, collectively, the “</w:t>
      </w:r>
      <w:r>
        <w:rPr>
          <w:rFonts w:ascii="Arial" w:cs="Arial" w:eastAsia="Arial" w:hAnsi="Arial"/>
          <w:sz w:val="13"/>
          <w:szCs w:val="13"/>
          <w:u w:val="single" w:color="auto"/>
          <w:color w:val="auto"/>
        </w:rPr>
        <w:t>Specified Default</w:t>
      </w:r>
      <w:r>
        <w:rPr>
          <w:rFonts w:ascii="Arial" w:cs="Arial" w:eastAsia="Arial" w:hAnsi="Arial"/>
          <w:sz w:val="13"/>
          <w:szCs w:val="13"/>
          <w:color w:val="auto"/>
        </w:rPr>
        <w:t>”);</w:t>
      </w:r>
    </w:p>
    <w:p>
      <w:pPr>
        <w:spacing w:after="0" w:line="104" w:lineRule="exact"/>
        <w:rPr>
          <w:sz w:val="20"/>
          <w:szCs w:val="20"/>
          <w:color w:val="auto"/>
        </w:rPr>
      </w:pPr>
    </w:p>
    <w:p>
      <w:pPr>
        <w:ind w:left="880"/>
        <w:spacing w:after="0"/>
        <w:rPr>
          <w:sz w:val="20"/>
          <w:szCs w:val="20"/>
          <w:color w:val="auto"/>
        </w:rPr>
      </w:pPr>
      <w:r>
        <w:rPr>
          <w:rFonts w:ascii="Arial" w:cs="Arial" w:eastAsia="Arial" w:hAnsi="Arial"/>
          <w:sz w:val="13"/>
          <w:szCs w:val="13"/>
          <w:b w:val="1"/>
          <w:bCs w:val="1"/>
          <w:color w:val="auto"/>
        </w:rPr>
        <w:t>WHEREAS</w:t>
      </w:r>
      <w:r>
        <w:rPr>
          <w:rFonts w:ascii="Arial" w:cs="Arial" w:eastAsia="Arial" w:hAnsi="Arial"/>
          <w:sz w:val="13"/>
          <w:szCs w:val="13"/>
          <w:color w:val="auto"/>
        </w:rPr>
        <w:t>, the Loan Parties have requested that the Required Lenders waive the Specified Default arising from such breach of the terms of</w:t>
      </w:r>
      <w:r>
        <w:rPr>
          <w:rFonts w:ascii="Arial" w:cs="Arial" w:eastAsia="Arial" w:hAnsi="Arial"/>
          <w:sz w:val="13"/>
          <w:szCs w:val="13"/>
          <w:b w:val="1"/>
          <w:bCs w:val="1"/>
          <w:color w:val="auto"/>
        </w:rPr>
        <w:t xml:space="preserve"> </w:t>
      </w:r>
      <w:r>
        <w:rPr>
          <w:rFonts w:ascii="Arial" w:cs="Arial" w:eastAsia="Arial" w:hAnsi="Arial"/>
          <w:sz w:val="13"/>
          <w:szCs w:val="13"/>
          <w:u w:val="single" w:color="auto"/>
          <w:color w:val="auto"/>
        </w:rPr>
        <w:t>Section 6.01(a)</w:t>
      </w:r>
      <w:r>
        <w:rPr>
          <w:rFonts w:ascii="Arial" w:cs="Arial" w:eastAsia="Arial" w:hAnsi="Arial"/>
          <w:sz w:val="13"/>
          <w:szCs w:val="13"/>
          <w:b w:val="1"/>
          <w:bCs w:val="1"/>
          <w:color w:val="auto"/>
        </w:rPr>
        <w:t xml:space="preserve"> </w:t>
      </w:r>
      <w:r>
        <w:rPr>
          <w:rFonts w:ascii="Arial" w:cs="Arial" w:eastAsia="Arial" w:hAnsi="Arial"/>
          <w:sz w:val="13"/>
          <w:szCs w:val="13"/>
          <w:color w:val="auto"/>
        </w:rPr>
        <w:t>of the Credit Agreement;</w:t>
      </w:r>
    </w:p>
    <w:p>
      <w:pPr>
        <w:spacing w:after="0" w:line="148" w:lineRule="exact"/>
        <w:rPr>
          <w:sz w:val="20"/>
          <w:szCs w:val="20"/>
          <w:color w:val="auto"/>
        </w:rPr>
      </w:pPr>
    </w:p>
    <w:p>
      <w:pPr>
        <w:ind w:right="100" w:firstLine="883"/>
        <w:spacing w:after="0" w:line="278" w:lineRule="auto"/>
        <w:rPr>
          <w:sz w:val="20"/>
          <w:szCs w:val="20"/>
          <w:color w:val="auto"/>
        </w:rPr>
      </w:pPr>
      <w:r>
        <w:rPr>
          <w:rFonts w:ascii="Arial" w:cs="Arial" w:eastAsia="Arial" w:hAnsi="Arial"/>
          <w:sz w:val="13"/>
          <w:szCs w:val="13"/>
          <w:b w:val="1"/>
          <w:bCs w:val="1"/>
          <w:color w:val="auto"/>
        </w:rPr>
        <w:t>WHEREAS</w:t>
      </w:r>
      <w:r>
        <w:rPr>
          <w:rFonts w:ascii="Arial" w:cs="Arial" w:eastAsia="Arial" w:hAnsi="Arial"/>
          <w:sz w:val="13"/>
          <w:szCs w:val="13"/>
          <w:color w:val="auto"/>
        </w:rPr>
        <w:t>, pursuant to Section 10.01 of the Credit Agreement, the Loan Parties and the Required Lenders may amend or waive any provision of the Credit Agreement or any other Loan Document</w:t>
      </w:r>
      <w:r>
        <w:rPr>
          <w:rFonts w:ascii="Arial" w:cs="Arial" w:eastAsia="Arial" w:hAnsi="Arial"/>
          <w:sz w:val="13"/>
          <w:szCs w:val="13"/>
          <w:b w:val="1"/>
          <w:bCs w:val="1"/>
          <w:color w:val="auto"/>
        </w:rPr>
        <w:t xml:space="preserve"> </w:t>
      </w:r>
      <w:r>
        <w:rPr>
          <w:rFonts w:ascii="Arial" w:cs="Arial" w:eastAsia="Arial" w:hAnsi="Arial"/>
          <w:sz w:val="13"/>
          <w:szCs w:val="13"/>
          <w:color w:val="auto"/>
        </w:rPr>
        <w:t>pursuant to an agreement in writing; and</w:t>
      </w:r>
    </w:p>
    <w:p>
      <w:pPr>
        <w:spacing w:after="0" w:line="104" w:lineRule="exact"/>
        <w:rPr>
          <w:sz w:val="20"/>
          <w:szCs w:val="20"/>
          <w:color w:val="auto"/>
        </w:rPr>
      </w:pPr>
    </w:p>
    <w:p>
      <w:pPr>
        <w:ind w:right="260" w:firstLine="883"/>
        <w:spacing w:after="0" w:line="278" w:lineRule="auto"/>
        <w:rPr>
          <w:sz w:val="20"/>
          <w:szCs w:val="20"/>
          <w:color w:val="auto"/>
        </w:rPr>
      </w:pPr>
      <w:r>
        <w:rPr>
          <w:rFonts w:ascii="Arial" w:cs="Arial" w:eastAsia="Arial" w:hAnsi="Arial"/>
          <w:sz w:val="13"/>
          <w:szCs w:val="13"/>
          <w:b w:val="1"/>
          <w:bCs w:val="1"/>
          <w:color w:val="auto"/>
        </w:rPr>
        <w:t>WHEREAS</w:t>
      </w:r>
      <w:r>
        <w:rPr>
          <w:rFonts w:ascii="Arial" w:cs="Arial" w:eastAsia="Arial" w:hAnsi="Arial"/>
          <w:sz w:val="13"/>
          <w:szCs w:val="13"/>
          <w:color w:val="auto"/>
        </w:rPr>
        <w:t>, pursuant to Section 10.01 of the Credit Agreement, the Loan Parties and each of the undersigned Lenders, together constituting the Required Lenders, are willing to amend the Credit</w:t>
      </w:r>
      <w:r>
        <w:rPr>
          <w:rFonts w:ascii="Arial" w:cs="Arial" w:eastAsia="Arial" w:hAnsi="Arial"/>
          <w:sz w:val="13"/>
          <w:szCs w:val="13"/>
          <w:b w:val="1"/>
          <w:bCs w:val="1"/>
          <w:color w:val="auto"/>
        </w:rPr>
        <w:t xml:space="preserve"> </w:t>
      </w:r>
      <w:r>
        <w:rPr>
          <w:rFonts w:ascii="Arial" w:cs="Arial" w:eastAsia="Arial" w:hAnsi="Arial"/>
          <w:sz w:val="13"/>
          <w:szCs w:val="13"/>
          <w:color w:val="auto"/>
        </w:rPr>
        <w:t>Agreement and waive the Specified Default with respect to the 2018 Audited Financial Statements on the terms and conditions set forth herein;</w:t>
      </w:r>
    </w:p>
    <w:p>
      <w:pPr>
        <w:spacing w:after="0" w:line="104" w:lineRule="exact"/>
        <w:rPr>
          <w:sz w:val="20"/>
          <w:szCs w:val="20"/>
          <w:color w:val="auto"/>
        </w:rPr>
      </w:pPr>
    </w:p>
    <w:p>
      <w:pPr>
        <w:ind w:left="880"/>
        <w:spacing w:after="0"/>
        <w:rPr>
          <w:sz w:val="20"/>
          <w:szCs w:val="20"/>
          <w:color w:val="auto"/>
        </w:rPr>
      </w:pPr>
      <w:r>
        <w:rPr>
          <w:rFonts w:ascii="Arial" w:cs="Arial" w:eastAsia="Arial" w:hAnsi="Arial"/>
          <w:sz w:val="12"/>
          <w:szCs w:val="12"/>
          <w:b w:val="1"/>
          <w:bCs w:val="1"/>
          <w:color w:val="auto"/>
        </w:rPr>
        <w:t>NOW, THEREFORE</w:t>
      </w:r>
      <w:r>
        <w:rPr>
          <w:rFonts w:ascii="Arial" w:cs="Arial" w:eastAsia="Arial" w:hAnsi="Arial"/>
          <w:sz w:val="12"/>
          <w:szCs w:val="12"/>
          <w:color w:val="auto"/>
        </w:rPr>
        <w:t>, in consideration of the premises and further valuable consideration, the receipt and sufficiency of which is hereby acknowledged, the parties hereto agree as follows:</w:t>
      </w:r>
    </w:p>
    <w:p>
      <w:pPr>
        <w:spacing w:after="0" w:line="163" w:lineRule="exact"/>
        <w:rPr>
          <w:sz w:val="20"/>
          <w:szCs w:val="20"/>
          <w:color w:val="auto"/>
        </w:rPr>
      </w:pPr>
    </w:p>
    <w:p>
      <w:pPr>
        <w:ind w:right="100" w:firstLine="875"/>
        <w:spacing w:after="0" w:line="271" w:lineRule="auto"/>
        <w:tabs>
          <w:tab w:leader="none" w:pos="1847" w:val="left"/>
        </w:tabs>
        <w:numPr>
          <w:ilvl w:val="0"/>
          <w:numId w:val="25"/>
        </w:numPr>
        <w:rPr>
          <w:rFonts w:ascii="Arial" w:cs="Arial" w:eastAsia="Arial" w:hAnsi="Arial"/>
          <w:sz w:val="13"/>
          <w:szCs w:val="13"/>
          <w:color w:val="auto"/>
        </w:rPr>
      </w:pPr>
      <w:r>
        <w:rPr>
          <w:rFonts w:ascii="Arial" w:cs="Arial" w:eastAsia="Arial" w:hAnsi="Arial"/>
          <w:sz w:val="13"/>
          <w:szCs w:val="13"/>
          <w:u w:val="single" w:color="auto"/>
          <w:color w:val="auto"/>
        </w:rPr>
        <w:t>Limited Waiver</w:t>
      </w:r>
      <w:r>
        <w:rPr>
          <w:rFonts w:ascii="Arial" w:cs="Arial" w:eastAsia="Arial" w:hAnsi="Arial"/>
          <w:sz w:val="13"/>
          <w:szCs w:val="13"/>
          <w:color w:val="auto"/>
        </w:rPr>
        <w:t>. Subject to the terms and conditions set forth herein, the Lenders signatory hereto hereby waive the Specified Default arising solely from the Borrowers' delivery of an audit report containing the Going Concern Qualification with respect to the 2018 Audited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340360</wp:posOffset>
            </wp:positionV>
            <wp:extent cx="7329170" cy="3683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27" w:right="199" w:bottom="1440" w:gutter="0" w:footer="0" w:header="0"/>
        </w:sectPr>
      </w:pPr>
    </w:p>
    <w:bookmarkStart w:id="125" w:name="page126"/>
    <w:bookmarkEnd w:id="125"/>
    <w:p>
      <w:pPr>
        <w:ind w:right="80" w:firstLine="883"/>
        <w:spacing w:after="0" w:line="251" w:lineRule="auto"/>
        <w:rPr>
          <w:sz w:val="20"/>
          <w:szCs w:val="20"/>
          <w:color w:val="auto"/>
        </w:rPr>
      </w:pPr>
      <w:r>
        <w:rPr>
          <w:rFonts w:ascii="Arial" w:cs="Arial" w:eastAsia="Arial" w:hAnsi="Arial"/>
          <w:sz w:val="13"/>
          <w:szCs w:val="13"/>
          <w:color w:val="auto"/>
        </w:rPr>
        <w:t>The limited waiver set forth in this Section 1 (the “</w:t>
      </w:r>
      <w:r>
        <w:rPr>
          <w:rFonts w:ascii="Arial" w:cs="Arial" w:eastAsia="Arial" w:hAnsi="Arial"/>
          <w:sz w:val="13"/>
          <w:szCs w:val="13"/>
          <w:u w:val="single" w:color="auto"/>
          <w:color w:val="auto"/>
        </w:rPr>
        <w:t>Default Waiver</w:t>
      </w:r>
      <w:r>
        <w:rPr>
          <w:rFonts w:ascii="Arial" w:cs="Arial" w:eastAsia="Arial" w:hAnsi="Arial"/>
          <w:sz w:val="13"/>
          <w:szCs w:val="13"/>
          <w:color w:val="auto"/>
        </w:rPr>
        <w:t>”) is limited to the extent expressly set forth above and no other terms, covenants or provisions of the Credit Agreement or any other Loan Document shall in any way be affected hereby. The Default Waiver is granted only with respect to the Specified Default relating to the 2018 Audited Financial Statements, and shall not apply to any financial statements for any other fiscal year or period, any other breach of the terms of the Credit Agreement, or any actual or prospective default or breach of any other provision of the Credit Agreement or any other Loan Document. The Default Waiver shall not in any manner create a course of dealing or otherwise impair the future ability of the Administrative Agent or the Lenders to declare a Default or Event of Default under or otherwise enforce the terms of the Credit Agreement or any other Loan Document with respect to any matter other than the Specified Default specifically and expressly waived in, and subject to the terms of, the Default Waiver.</w:t>
      </w:r>
    </w:p>
    <w:p>
      <w:pPr>
        <w:spacing w:after="0" w:line="125" w:lineRule="exact"/>
        <w:rPr>
          <w:sz w:val="20"/>
          <w:szCs w:val="20"/>
          <w:color w:val="auto"/>
        </w:rPr>
      </w:pPr>
    </w:p>
    <w:p>
      <w:pPr>
        <w:ind w:left="1260" w:hanging="532"/>
        <w:spacing w:after="0"/>
        <w:tabs>
          <w:tab w:leader="none" w:pos="1260" w:val="left"/>
        </w:tabs>
        <w:numPr>
          <w:ilvl w:val="0"/>
          <w:numId w:val="26"/>
        </w:numPr>
        <w:rPr>
          <w:rFonts w:ascii="Arial" w:cs="Arial" w:eastAsia="Arial" w:hAnsi="Arial"/>
          <w:sz w:val="13"/>
          <w:szCs w:val="13"/>
          <w:color w:val="auto"/>
        </w:rPr>
      </w:pPr>
      <w:r>
        <w:rPr>
          <w:rFonts w:ascii="Arial" w:cs="Arial" w:eastAsia="Arial" w:hAnsi="Arial"/>
          <w:sz w:val="13"/>
          <w:szCs w:val="13"/>
          <w:u w:val="single" w:color="auto"/>
          <w:color w:val="auto"/>
        </w:rPr>
        <w:t>Amendments to the Credit Agreement</w:t>
      </w:r>
      <w:r>
        <w:rPr>
          <w:rFonts w:ascii="Arial" w:cs="Arial" w:eastAsia="Arial" w:hAnsi="Arial"/>
          <w:sz w:val="13"/>
          <w:szCs w:val="13"/>
          <w:color w:val="auto"/>
        </w:rPr>
        <w:t>. The Credit Agreement is, effective as of the Effective Date (as defined below), hereby amended as follows:</w:t>
      </w:r>
    </w:p>
    <w:p>
      <w:pPr>
        <w:spacing w:after="0" w:line="148" w:lineRule="exact"/>
        <w:rPr>
          <w:sz w:val="20"/>
          <w:szCs w:val="20"/>
          <w:color w:val="auto"/>
        </w:rPr>
      </w:pPr>
    </w:p>
    <w:p>
      <w:pPr>
        <w:ind w:left="1700"/>
        <w:spacing w:after="0"/>
        <w:tabs>
          <w:tab w:leader="none" w:pos="3120" w:val="left"/>
        </w:tabs>
        <w:rPr>
          <w:sz w:val="20"/>
          <w:szCs w:val="20"/>
          <w:color w:val="auto"/>
        </w:rPr>
      </w:pPr>
      <w:r>
        <w:rPr>
          <w:rFonts w:ascii="Arial" w:cs="Arial" w:eastAsia="Arial" w:hAnsi="Arial"/>
          <w:sz w:val="13"/>
          <w:szCs w:val="13"/>
          <w:color w:val="auto"/>
        </w:rPr>
        <w:t>(a)</w:t>
      </w:r>
      <w:r>
        <w:rPr>
          <w:sz w:val="20"/>
          <w:szCs w:val="20"/>
          <w:color w:val="auto"/>
        </w:rPr>
        <w:tab/>
      </w:r>
      <w:r>
        <w:rPr>
          <w:rFonts w:ascii="Arial" w:cs="Arial" w:eastAsia="Arial" w:hAnsi="Arial"/>
          <w:sz w:val="13"/>
          <w:szCs w:val="13"/>
          <w:color w:val="auto"/>
        </w:rPr>
        <w:t>Section 1.01 of the Credit Agreement is hereby amended by adding the following definitions in appropriate alphabetical order:</w:t>
      </w:r>
    </w:p>
    <w:p>
      <w:pPr>
        <w:spacing w:after="0" w:line="148" w:lineRule="exact"/>
        <w:rPr>
          <w:sz w:val="20"/>
          <w:szCs w:val="20"/>
          <w:color w:val="auto"/>
        </w:rPr>
      </w:pPr>
    </w:p>
    <w:p>
      <w:pPr>
        <w:ind w:left="1760" w:right="140"/>
        <w:spacing w:after="0" w:line="271" w:lineRule="auto"/>
        <w:rPr>
          <w:sz w:val="20"/>
          <w:szCs w:val="20"/>
          <w:color w:val="auto"/>
        </w:rPr>
      </w:pPr>
      <w:r>
        <w:rPr>
          <w:rFonts w:ascii="Arial" w:cs="Arial" w:eastAsia="Arial" w:hAnsi="Arial"/>
          <w:sz w:val="13"/>
          <w:szCs w:val="13"/>
          <w:color w:val="auto"/>
        </w:rPr>
        <w:t>“</w:t>
      </w:r>
      <w:r>
        <w:rPr>
          <w:rFonts w:ascii="Arial" w:cs="Arial" w:eastAsia="Arial" w:hAnsi="Arial"/>
          <w:sz w:val="13"/>
          <w:szCs w:val="13"/>
          <w:u w:val="single" w:color="auto"/>
          <w:color w:val="auto"/>
        </w:rPr>
        <w:t>Amendment No. 4 and Limited Waiver</w:t>
      </w:r>
      <w:r>
        <w:rPr>
          <w:rFonts w:ascii="Arial" w:cs="Arial" w:eastAsia="Arial" w:hAnsi="Arial"/>
          <w:sz w:val="13"/>
          <w:szCs w:val="13"/>
          <w:color w:val="auto"/>
        </w:rPr>
        <w:t>” means that certain Amendment No. 4 and Limited Waiver, dated as of March 18, 2019, by and among the Loan Parties, the Administrative Agent and the Lenders party thereto.</w:t>
      </w:r>
    </w:p>
    <w:p>
      <w:pPr>
        <w:spacing w:after="0" w:line="113" w:lineRule="exact"/>
        <w:rPr>
          <w:sz w:val="20"/>
          <w:szCs w:val="20"/>
          <w:color w:val="auto"/>
        </w:rPr>
      </w:pPr>
    </w:p>
    <w:p>
      <w:pPr>
        <w:ind w:left="1760"/>
        <w:spacing w:after="0"/>
        <w:rPr>
          <w:sz w:val="20"/>
          <w:szCs w:val="20"/>
          <w:color w:val="auto"/>
        </w:rPr>
      </w:pPr>
      <w:r>
        <w:rPr>
          <w:rFonts w:ascii="Arial" w:cs="Arial" w:eastAsia="Arial" w:hAnsi="Arial"/>
          <w:sz w:val="13"/>
          <w:szCs w:val="13"/>
          <w:color w:val="auto"/>
        </w:rPr>
        <w:t>“</w:t>
      </w:r>
      <w:r>
        <w:rPr>
          <w:rFonts w:ascii="Arial" w:cs="Arial" w:eastAsia="Arial" w:hAnsi="Arial"/>
          <w:sz w:val="13"/>
          <w:szCs w:val="13"/>
          <w:u w:val="single" w:color="auto"/>
          <w:color w:val="auto"/>
        </w:rPr>
        <w:t>Amendment No. 4 and Limited Waiver Effective Date</w:t>
      </w:r>
      <w:r>
        <w:rPr>
          <w:rFonts w:ascii="Arial" w:cs="Arial" w:eastAsia="Arial" w:hAnsi="Arial"/>
          <w:sz w:val="13"/>
          <w:szCs w:val="13"/>
          <w:color w:val="auto"/>
        </w:rPr>
        <w:t>” means March 18, 2019.</w:t>
      </w:r>
    </w:p>
    <w:p>
      <w:pPr>
        <w:spacing w:after="0" w:line="148" w:lineRule="exact"/>
        <w:rPr>
          <w:sz w:val="20"/>
          <w:szCs w:val="20"/>
          <w:color w:val="auto"/>
        </w:rPr>
      </w:pPr>
    </w:p>
    <w:p>
      <w:pPr>
        <w:ind w:left="17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u w:val="single" w:color="auto"/>
          <w:color w:val="auto"/>
        </w:rPr>
        <w:t>Reversion Date</w:t>
      </w:r>
      <w:r>
        <w:rPr>
          <w:rFonts w:ascii="Arial" w:cs="Arial" w:eastAsia="Arial" w:hAnsi="Arial"/>
          <w:sz w:val="12"/>
          <w:szCs w:val="12"/>
          <w:color w:val="auto"/>
        </w:rPr>
        <w:t>” means the date on which (i)(A) either Tenant, Windstream and all subsidiaries or affiliates thereof that are parties to the Master Lease from time to time (the</w:t>
      </w:r>
    </w:p>
    <w:p>
      <w:pPr>
        <w:spacing w:after="0" w:line="25" w:lineRule="exact"/>
        <w:rPr>
          <w:sz w:val="20"/>
          <w:szCs w:val="20"/>
          <w:color w:val="auto"/>
        </w:rPr>
      </w:pPr>
    </w:p>
    <w:p>
      <w:pPr>
        <w:ind w:left="1760"/>
        <w:spacing w:after="0" w:line="290" w:lineRule="auto"/>
        <w:rPr>
          <w:sz w:val="20"/>
          <w:szCs w:val="20"/>
          <w:color w:val="auto"/>
        </w:rPr>
      </w:pPr>
      <w:r>
        <w:rPr>
          <w:rFonts w:ascii="Arial" w:cs="Arial" w:eastAsia="Arial" w:hAnsi="Arial"/>
          <w:sz w:val="11"/>
          <w:szCs w:val="11"/>
          <w:color w:val="auto"/>
        </w:rPr>
        <w:t>“</w:t>
      </w:r>
      <w:r>
        <w:rPr>
          <w:rFonts w:ascii="Arial" w:cs="Arial" w:eastAsia="Arial" w:hAnsi="Arial"/>
          <w:sz w:val="11"/>
          <w:szCs w:val="11"/>
          <w:u w:val="single" w:color="auto"/>
          <w:color w:val="auto"/>
        </w:rPr>
        <w:t>Windstream Master Lease Parties</w:t>
      </w:r>
      <w:r>
        <w:rPr>
          <w:rFonts w:ascii="Arial" w:cs="Arial" w:eastAsia="Arial" w:hAnsi="Arial"/>
          <w:sz w:val="11"/>
          <w:szCs w:val="11"/>
          <w:color w:val="auto"/>
        </w:rPr>
        <w:t>”) have all emerged from the Chapter 11 bankruptcy cases under the United States Bankruptcy Code or (B) the Windstream Master Lease Parties shall have assumed the Master Lease pursuant to an order of the Bankruptcy Court or the Windstream Master Lease Parties shall have entered into any Permitted Replacement Lease (subject to any amendment, modification or waiver thereof that is permitted by the Credit Agreement) approved by the Bankruptcy Court (it being understood and agreed that any rejection of the Master Lease (or any Permitted Replacement Lease) or any violation of the terms thereof by any of the Windstream Master Lease Parties or any other party thereto including any party to any Master Lease Guaranty that would permit termination thereof by Parent, CSL National, LP or any of its applicable Subsidiaries after the condition in clause (i)(B) shall have been satisfied shall result in all the terms and restrictions set forth in this Agreement that apply solely prior to the Reversion Date being reinstated as if the Reversion Date did not occur until such time as a Permitted Replacement Lease is agreed to and is in effect or all relevant defaults shall have been cured)), (ii) the Master Lease (or any Permitted Replacement Lease) and any Master Lease Guaranties are in full force and effect with no amendment, modification or waiver thereof that is not permitted by the Credit Agreement,</w:t>
      </w:r>
    </w:p>
    <w:p>
      <w:pPr>
        <w:spacing w:after="0" w:line="2" w:lineRule="exact"/>
        <w:rPr>
          <w:sz w:val="20"/>
          <w:szCs w:val="20"/>
          <w:color w:val="auto"/>
        </w:rPr>
      </w:pPr>
    </w:p>
    <w:p>
      <w:pPr>
        <w:jc w:val="both"/>
        <w:ind w:left="1760" w:hanging="2"/>
        <w:spacing w:after="0" w:line="250" w:lineRule="auto"/>
        <w:tabs>
          <w:tab w:leader="none" w:pos="1991" w:val="left"/>
        </w:tabs>
        <w:numPr>
          <w:ilvl w:val="0"/>
          <w:numId w:val="27"/>
        </w:numPr>
        <w:rPr>
          <w:rFonts w:ascii="Arial" w:cs="Arial" w:eastAsia="Arial" w:hAnsi="Arial"/>
          <w:sz w:val="13"/>
          <w:szCs w:val="13"/>
          <w:color w:val="auto"/>
        </w:rPr>
      </w:pPr>
      <w:r>
        <w:rPr>
          <w:rFonts w:ascii="Arial" w:cs="Arial" w:eastAsia="Arial" w:hAnsi="Arial"/>
          <w:sz w:val="13"/>
          <w:szCs w:val="13"/>
          <w:color w:val="auto"/>
        </w:rPr>
        <w:t xml:space="preserve">the Consolidated Secured Leverage Ratio, determined on a Pro Forma Basis (including after giving effect to any such amendment, modification or waiver thereof that is permitted by the Credit Agreement), as of the last day of the most recently ended Test Period for which financial statements have been delivered pursuant to </w:t>
      </w:r>
      <w:r>
        <w:rPr>
          <w:rFonts w:ascii="Arial" w:cs="Arial" w:eastAsia="Arial" w:hAnsi="Arial"/>
          <w:sz w:val="13"/>
          <w:szCs w:val="13"/>
          <w:u w:val="single" w:color="auto"/>
          <w:color w:val="auto"/>
        </w:rPr>
        <w:t>Section 6.01(a)</w:t>
      </w:r>
      <w:r>
        <w:rPr>
          <w:rFonts w:ascii="Arial" w:cs="Arial" w:eastAsia="Arial" w:hAnsi="Arial"/>
          <w:sz w:val="13"/>
          <w:szCs w:val="13"/>
          <w:color w:val="auto"/>
        </w:rPr>
        <w:t xml:space="preserve"> or </w:t>
      </w:r>
      <w:r>
        <w:rPr>
          <w:rFonts w:ascii="Arial" w:cs="Arial" w:eastAsia="Arial" w:hAnsi="Arial"/>
          <w:sz w:val="13"/>
          <w:szCs w:val="13"/>
          <w:u w:val="single" w:color="auto"/>
          <w:color w:val="auto"/>
        </w:rPr>
        <w:t>6.01(b)</w:t>
      </w:r>
      <w:r>
        <w:rPr>
          <w:rFonts w:ascii="Arial" w:cs="Arial" w:eastAsia="Arial" w:hAnsi="Arial"/>
          <w:sz w:val="13"/>
          <w:szCs w:val="13"/>
          <w:color w:val="auto"/>
        </w:rPr>
        <w:t xml:space="preserve"> is equal to or less than 5.00 to 1.00 and (iv) no Event of Default has occurred and is continuing.</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167640</wp:posOffset>
            </wp:positionV>
            <wp:extent cx="7329170" cy="3683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20" w:top="597" w:right="239" w:bottom="1440" w:gutter="0" w:footer="0" w:header="0"/>
        </w:sectPr>
      </w:pPr>
    </w:p>
    <w:bookmarkStart w:id="126" w:name="page127"/>
    <w:bookmarkEnd w:id="126"/>
    <w:p>
      <w:pPr>
        <w:spacing w:after="0"/>
        <w:rPr>
          <w:sz w:val="20"/>
          <w:szCs w:val="20"/>
          <w:color w:val="auto"/>
        </w:rPr>
      </w:pPr>
      <w:r>
        <w:rPr>
          <w:rFonts w:ascii="Arial" w:cs="Arial" w:eastAsia="Arial" w:hAnsi="Arial"/>
          <w:sz w:val="13"/>
          <w:szCs w:val="13"/>
          <w:color w:val="auto"/>
        </w:rPr>
        <w:t>(b)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2"/>
          <w:szCs w:val="12"/>
          <w:color w:val="auto"/>
        </w:rPr>
        <w:t>Clause (a) of the definition of “Applicable Rate” in Section 1.01 of the Credit Agreement is hereby amended and restated as follows:</w:t>
      </w:r>
    </w:p>
    <w:p>
      <w:pPr>
        <w:spacing w:after="0" w:line="159" w:lineRule="exact"/>
        <w:rPr>
          <w:sz w:val="20"/>
          <w:szCs w:val="20"/>
          <w:color w:val="auto"/>
        </w:rPr>
      </w:pPr>
    </w:p>
    <w:p>
      <w:pPr>
        <w:sectPr>
          <w:pgSz w:w="11900" w:h="16838" w:orient="portrait"/>
          <w:cols w:equalWidth="0" w:num="2">
            <w:col w:w="900" w:space="720"/>
            <w:col w:w="9780"/>
          </w:cols>
          <w:pgMar w:left="280" w:top="291" w:right="219" w:bottom="1440" w:gutter="0" w:footer="0" w:header="0"/>
        </w:sectPr>
      </w:pPr>
    </w:p>
    <w:p>
      <w:pPr>
        <w:ind w:left="820"/>
        <w:spacing w:after="0"/>
        <w:rPr>
          <w:sz w:val="20"/>
          <w:szCs w:val="20"/>
          <w:color w:val="auto"/>
        </w:rPr>
      </w:pPr>
      <w:r>
        <w:rPr>
          <w:rFonts w:ascii="Arial" w:cs="Arial" w:eastAsia="Arial" w:hAnsi="Arial"/>
          <w:sz w:val="12"/>
          <w:szCs w:val="12"/>
          <w:color w:val="auto"/>
        </w:rPr>
        <w:t>“(a)</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1"/>
          <w:szCs w:val="11"/>
          <w:color w:val="auto"/>
        </w:rPr>
        <w:t>with respect to Term Loans, 5.00% in the case of Eurodollar Rate Loans and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4.00% in the case of Base Rate Loans; and”</w:t>
      </w:r>
    </w:p>
    <w:p>
      <w:pPr>
        <w:spacing w:after="0" w:line="170" w:lineRule="exact"/>
        <w:rPr>
          <w:sz w:val="20"/>
          <w:szCs w:val="20"/>
          <w:color w:val="auto"/>
        </w:rPr>
      </w:pPr>
    </w:p>
    <w:p>
      <w:pPr>
        <w:sectPr>
          <w:pgSz w:w="11900" w:h="16838" w:orient="portrait"/>
          <w:cols w:equalWidth="0" w:num="3">
            <w:col w:w="1020" w:space="440"/>
            <w:col w:w="4020" w:space="480"/>
            <w:col w:w="5440"/>
          </w:cols>
          <w:pgMar w:left="280" w:top="291" w:right="219" w:bottom="1440" w:gutter="0" w:footer="0" w:header="0"/>
          <w:type w:val="continuous"/>
        </w:sectPr>
      </w:pPr>
    </w:p>
    <w:p>
      <w:pPr>
        <w:ind w:left="2280" w:hanging="582"/>
        <w:spacing w:after="0"/>
        <w:tabs>
          <w:tab w:leader="none" w:pos="2280" w:val="left"/>
        </w:tabs>
        <w:numPr>
          <w:ilvl w:val="0"/>
          <w:numId w:val="28"/>
        </w:numPr>
        <w:rPr>
          <w:rFonts w:ascii="Arial" w:cs="Arial" w:eastAsia="Arial" w:hAnsi="Arial"/>
          <w:sz w:val="13"/>
          <w:szCs w:val="13"/>
          <w:color w:val="auto"/>
        </w:rPr>
      </w:pPr>
      <w:r>
        <w:rPr>
          <w:rFonts w:ascii="Arial" w:cs="Arial" w:eastAsia="Arial" w:hAnsi="Arial"/>
          <w:sz w:val="13"/>
          <w:szCs w:val="13"/>
          <w:color w:val="auto"/>
        </w:rPr>
        <w:t>The definition of “Available Amount” in Section 1.01 of the Credit Agreement is amended and restated as follows:</w:t>
      </w:r>
    </w:p>
    <w:p>
      <w:pPr>
        <w:spacing w:after="0" w:line="144" w:lineRule="exact"/>
        <w:rPr>
          <w:sz w:val="20"/>
          <w:szCs w:val="20"/>
          <w:color w:val="auto"/>
        </w:rPr>
      </w:pPr>
    </w:p>
    <w:p>
      <w:pPr>
        <w:ind w:left="1700"/>
        <w:spacing w:after="0"/>
        <w:rPr>
          <w:sz w:val="20"/>
          <w:szCs w:val="20"/>
          <w:color w:val="auto"/>
        </w:rPr>
      </w:pPr>
      <w:r>
        <w:rPr>
          <w:rFonts w:ascii="Arial" w:cs="Arial" w:eastAsia="Arial" w:hAnsi="Arial"/>
          <w:sz w:val="13"/>
          <w:szCs w:val="13"/>
          <w:color w:val="auto"/>
        </w:rPr>
        <w:t>“</w:t>
      </w:r>
      <w:r>
        <w:rPr>
          <w:rFonts w:ascii="Arial" w:cs="Arial" w:eastAsia="Arial" w:hAnsi="Arial"/>
          <w:sz w:val="13"/>
          <w:szCs w:val="13"/>
          <w:b w:val="1"/>
          <w:bCs w:val="1"/>
          <w:color w:val="auto"/>
        </w:rPr>
        <w:t>Available Amount</w:t>
      </w:r>
      <w:r>
        <w:rPr>
          <w:rFonts w:ascii="Arial" w:cs="Arial" w:eastAsia="Arial" w:hAnsi="Arial"/>
          <w:sz w:val="13"/>
          <w:szCs w:val="13"/>
          <w:color w:val="auto"/>
        </w:rPr>
        <w:t xml:space="preserve">” means, at any time, the sum of (a) $50 million </w:t>
      </w:r>
      <w:r>
        <w:rPr>
          <w:rFonts w:ascii="Arial" w:cs="Arial" w:eastAsia="Arial" w:hAnsi="Arial"/>
          <w:sz w:val="13"/>
          <w:szCs w:val="13"/>
          <w:i w:val="1"/>
          <w:iCs w:val="1"/>
          <w:color w:val="auto"/>
        </w:rPr>
        <w:t>plus</w:t>
      </w:r>
      <w:r>
        <w:rPr>
          <w:rFonts w:ascii="Arial" w:cs="Arial" w:eastAsia="Arial" w:hAnsi="Arial"/>
          <w:sz w:val="13"/>
          <w:szCs w:val="13"/>
          <w:color w:val="auto"/>
        </w:rPr>
        <w:t xml:space="preserve"> (b) 95%</w:t>
      </w:r>
    </w:p>
    <w:p>
      <w:pPr>
        <w:spacing w:after="0" w:line="18" w:lineRule="exact"/>
        <w:rPr>
          <w:sz w:val="20"/>
          <w:szCs w:val="20"/>
          <w:color w:val="auto"/>
        </w:rPr>
      </w:pPr>
    </w:p>
    <w:p>
      <w:pPr>
        <w:ind w:left="1700"/>
        <w:spacing w:after="0" w:line="267" w:lineRule="auto"/>
        <w:rPr>
          <w:sz w:val="20"/>
          <w:szCs w:val="20"/>
          <w:color w:val="auto"/>
        </w:rPr>
      </w:pPr>
      <w:r>
        <w:rPr>
          <w:rFonts w:ascii="Arial" w:cs="Arial" w:eastAsia="Arial" w:hAnsi="Arial"/>
          <w:sz w:val="12"/>
          <w:szCs w:val="12"/>
          <w:color w:val="auto"/>
        </w:rPr>
        <w:t xml:space="preserve">of Funds From Operations (or, if Funds From Operations is a loss, </w:t>
      </w:r>
      <w:r>
        <w:rPr>
          <w:rFonts w:ascii="Arial" w:cs="Arial" w:eastAsia="Arial" w:hAnsi="Arial"/>
          <w:sz w:val="12"/>
          <w:szCs w:val="12"/>
          <w:i w:val="1"/>
          <w:iCs w:val="1"/>
          <w:color w:val="auto"/>
        </w:rPr>
        <w:t>minus</w:t>
      </w:r>
      <w:r>
        <w:rPr>
          <w:rFonts w:ascii="Arial" w:cs="Arial" w:eastAsia="Arial" w:hAnsi="Arial"/>
          <w:sz w:val="12"/>
          <w:szCs w:val="12"/>
          <w:color w:val="auto"/>
        </w:rPr>
        <w:t xml:space="preserve"> 100% of the amount of such loss) for the period (taken as one accounting period) beginning on the first day of the fiscal quarter during which (x) the Closing Date occurs but excluding the period beginning from April 1, 2019 until the beginning of the fiscal quarter immediately following the Reversion Date or (y) solely with respect to use of the Available Amount pursuant to clause (s) of the definition of Permitted Investments, the Amendment No. 4 and Limited Waiver Effective Date occurs, to the end of Parent’s most recently completed fiscal quarter for which financial statements have been delivered pursuant to Section 6.01(a) or Section 6.01(b) at the time of such Restricted Payment </w:t>
      </w:r>
      <w:r>
        <w:rPr>
          <w:rFonts w:ascii="Arial" w:cs="Arial" w:eastAsia="Arial" w:hAnsi="Arial"/>
          <w:sz w:val="12"/>
          <w:szCs w:val="12"/>
          <w:i w:val="1"/>
          <w:iCs w:val="1"/>
          <w:color w:val="auto"/>
        </w:rPr>
        <w:t>plus</w:t>
      </w:r>
      <w:r>
        <w:rPr>
          <w:rFonts w:ascii="Arial" w:cs="Arial" w:eastAsia="Arial" w:hAnsi="Arial"/>
          <w:sz w:val="12"/>
          <w:szCs w:val="12"/>
          <w:color w:val="auto"/>
        </w:rPr>
        <w:t xml:space="preserve"> (c) 100% of the aggregate net cash proceeds and the fair market value, as determined in good faith by Parent, of marketable securities or other property received at or prior to such time by Parent or, in connection with “UPREIT” acquisitions, by CSL National following (x) the Closing Date but excluding the period from the Amendment No. 4 and Limited Waiver Effective Date until the Reversion Date or (y) solely with respect to use of the Available Amount pursuant to clause (s) of the definition of Permitted Investments, the Amendment No. 4 and Limited Waiver Effective Date, from the issue or sale of (i) Equity Interests of Parent or CSL National and (ii) Indebtedness or Disqualified Stock of Parent or a Restricted Subsidiary that has been converted into or exchanged for Equity Interests of Parent (</w:t>
      </w:r>
      <w:r>
        <w:rPr>
          <w:rFonts w:ascii="Arial" w:cs="Arial" w:eastAsia="Arial" w:hAnsi="Arial"/>
          <w:sz w:val="12"/>
          <w:szCs w:val="12"/>
          <w:i w:val="1"/>
          <w:iCs w:val="1"/>
          <w:color w:val="auto"/>
        </w:rPr>
        <w:t>provided</w:t>
      </w:r>
      <w:r>
        <w:rPr>
          <w:rFonts w:ascii="Arial" w:cs="Arial" w:eastAsia="Arial" w:hAnsi="Arial"/>
          <w:sz w:val="12"/>
          <w:szCs w:val="12"/>
          <w:color w:val="auto"/>
        </w:rPr>
        <w:t xml:space="preserve">, </w:t>
      </w:r>
      <w:r>
        <w:rPr>
          <w:rFonts w:ascii="Arial" w:cs="Arial" w:eastAsia="Arial" w:hAnsi="Arial"/>
          <w:sz w:val="12"/>
          <w:szCs w:val="12"/>
          <w:i w:val="1"/>
          <w:iCs w:val="1"/>
          <w:color w:val="auto"/>
        </w:rPr>
        <w:t>however</w:t>
      </w:r>
      <w:r>
        <w:rPr>
          <w:rFonts w:ascii="Arial" w:cs="Arial" w:eastAsia="Arial" w:hAnsi="Arial"/>
          <w:sz w:val="12"/>
          <w:szCs w:val="12"/>
          <w:color w:val="auto"/>
        </w:rPr>
        <w:t xml:space="preserve">, that this clause (ii) shall not include the proceeds of (x) Equity Interests, Indebtedness or Disqualified Stock of Parent or CSL National sold to a Restricted Subsidiary or Parent or (y) Disqualified Stock or Indebtedness that has been converted or exchanged into Disqualified Stock) </w:t>
      </w:r>
      <w:r>
        <w:rPr>
          <w:rFonts w:ascii="Arial" w:cs="Arial" w:eastAsia="Arial" w:hAnsi="Arial"/>
          <w:sz w:val="12"/>
          <w:szCs w:val="12"/>
          <w:i w:val="1"/>
          <w:iCs w:val="1"/>
          <w:color w:val="auto"/>
        </w:rPr>
        <w:t>plus</w:t>
      </w:r>
      <w:r>
        <w:rPr>
          <w:rFonts w:ascii="Arial" w:cs="Arial" w:eastAsia="Arial" w:hAnsi="Arial"/>
          <w:sz w:val="12"/>
          <w:szCs w:val="12"/>
          <w:color w:val="auto"/>
        </w:rPr>
        <w:t xml:space="preserve"> (d) 100% of the aggregate amount of cash and the fair market value, as determined in good faith by Parent, of marketable securities or other property contributed to the capital of Parent or, in connection with “UPREIT” acquisitions, of CSL National (other than by a Restricted Subsidiary or Parent) following (x) the Closing Date but excluding the period from the Amendment No. 4 and Limited Waiver Effective Date until the Reversion Date or (y) solely with respect to use of the Available Amount pursuant to clause (s) of the definition of Permitted Investments, the Amendment No. 4 and Limited Waiver Effective Date, at or prior to such time </w:t>
      </w:r>
      <w:r>
        <w:rPr>
          <w:rFonts w:ascii="Arial" w:cs="Arial" w:eastAsia="Arial" w:hAnsi="Arial"/>
          <w:sz w:val="12"/>
          <w:szCs w:val="12"/>
          <w:i w:val="1"/>
          <w:iCs w:val="1"/>
          <w:color w:val="auto"/>
        </w:rPr>
        <w:t>minus</w:t>
      </w:r>
      <w:r>
        <w:rPr>
          <w:rFonts w:ascii="Arial" w:cs="Arial" w:eastAsia="Arial" w:hAnsi="Arial"/>
          <w:sz w:val="12"/>
          <w:szCs w:val="12"/>
          <w:color w:val="auto"/>
        </w:rPr>
        <w:t xml:space="preserve"> (e) the aggregate amount of Restricted Payments made in reliance on the final paragraph of Section 7.05 at or prior to such time (or solely with respect to use of the Available Amount pursuant to clause (s) of the definition of Permitted Investments, made after the Amendment No. 4 and Limited Waiver Effective Date and at or prior to such time) </w:t>
      </w:r>
      <w:r>
        <w:rPr>
          <w:rFonts w:ascii="Arial" w:cs="Arial" w:eastAsia="Arial" w:hAnsi="Arial"/>
          <w:sz w:val="12"/>
          <w:szCs w:val="12"/>
          <w:i w:val="1"/>
          <w:iCs w:val="1"/>
          <w:color w:val="auto"/>
        </w:rPr>
        <w:t xml:space="preserve">minus </w:t>
      </w:r>
      <w:r>
        <w:rPr>
          <w:rFonts w:ascii="Arial" w:cs="Arial" w:eastAsia="Arial" w:hAnsi="Arial"/>
          <w:sz w:val="12"/>
          <w:szCs w:val="12"/>
          <w:color w:val="auto"/>
        </w:rPr>
        <w:t>(f) the aggregate amount of Restricted Payments made in reliance on Section 7.05(a) at or prior to such time (or solely with respect to use of the Available Amount pursuant to</w:t>
      </w:r>
      <w:r>
        <w:rPr>
          <w:rFonts w:ascii="Arial" w:cs="Arial" w:eastAsia="Arial" w:hAnsi="Arial"/>
          <w:sz w:val="12"/>
          <w:szCs w:val="12"/>
          <w:i w:val="1"/>
          <w:iCs w:val="1"/>
          <w:color w:val="auto"/>
        </w:rPr>
        <w:t xml:space="preserve"> </w:t>
      </w:r>
      <w:r>
        <w:rPr>
          <w:rFonts w:ascii="Arial" w:cs="Arial" w:eastAsia="Arial" w:hAnsi="Arial"/>
          <w:sz w:val="12"/>
          <w:szCs w:val="12"/>
          <w:color w:val="auto"/>
        </w:rPr>
        <w:t xml:space="preserve">clause (s) of the definition of Permitted Investments, made after the Amendment No. 4 and Limited Waiver Effective Date and at or prior to such time) </w:t>
      </w:r>
      <w:r>
        <w:rPr>
          <w:rFonts w:ascii="Arial" w:cs="Arial" w:eastAsia="Arial" w:hAnsi="Arial"/>
          <w:sz w:val="12"/>
          <w:szCs w:val="12"/>
          <w:i w:val="1"/>
          <w:iCs w:val="1"/>
          <w:color w:val="auto"/>
        </w:rPr>
        <w:t>minus</w:t>
      </w:r>
      <w:r>
        <w:rPr>
          <w:rFonts w:ascii="Arial" w:cs="Arial" w:eastAsia="Arial" w:hAnsi="Arial"/>
          <w:sz w:val="12"/>
          <w:szCs w:val="12"/>
          <w:color w:val="auto"/>
        </w:rPr>
        <w:t xml:space="preserve"> (g) the aggregate amount of Investments made in reliance on clause (s) of the definition of “Permitted Investment” at or prior to such time (or solely with respect to use of the Available Amount pursuant to clause (s) of the definition of Permitted Investments, made</w:t>
      </w:r>
    </w:p>
    <w:p>
      <w:pPr>
        <w:spacing w:after="0" w:line="126" w:lineRule="exact"/>
        <w:rPr>
          <w:sz w:val="20"/>
          <w:szCs w:val="20"/>
          <w:color w:val="auto"/>
        </w:rPr>
      </w:pPr>
    </w:p>
    <w:p>
      <w:pPr>
        <w:jc w:val="center"/>
        <w:ind w:right="60"/>
        <w:spacing w:after="0"/>
        <w:rPr>
          <w:sz w:val="20"/>
          <w:szCs w:val="20"/>
          <w:color w:val="auto"/>
        </w:rPr>
      </w:pPr>
      <w:r>
        <w:rPr>
          <w:rFonts w:ascii="Arial" w:cs="Arial" w:eastAsia="Arial" w:hAnsi="Arial"/>
          <w:sz w:val="13"/>
          <w:szCs w:val="13"/>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wp:posOffset>
            </wp:positionH>
            <wp:positionV relativeFrom="paragraph">
              <wp:posOffset>167640</wp:posOffset>
            </wp:positionV>
            <wp:extent cx="7329170" cy="3683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00"/>
          </w:cols>
          <w:pgMar w:left="280" w:top="291" w:right="219" w:bottom="1440" w:gutter="0" w:footer="0" w:header="0"/>
          <w:type w:val="continuous"/>
        </w:sectPr>
      </w:pPr>
    </w:p>
    <w:bookmarkStart w:id="127" w:name="page128"/>
    <w:bookmarkEnd w:id="127"/>
    <w:tbl>
      <w:tblPr>
        <w:tblLayout w:type="fixed"/>
        <w:tblInd w:w="0" w:type="dxa"/>
        <w:tblCellMar>
          <w:top w:w="0" w:type="dxa"/>
          <w:left w:w="0" w:type="dxa"/>
          <w:bottom w:w="0" w:type="dxa"/>
          <w:right w:w="0" w:type="dxa"/>
        </w:tblCellMar>
      </w:tblPr>
      <w:tr>
        <w:trPr>
          <w:trHeight w:val="166"/>
        </w:trPr>
        <w:tc>
          <w:tcPr>
            <w:tcW w:w="480" w:type="dxa"/>
            <w:vAlign w:val="bottom"/>
          </w:tcPr>
          <w:p>
            <w:pPr>
              <w:spacing w:after="0"/>
              <w:rPr>
                <w:sz w:val="14"/>
                <w:szCs w:val="14"/>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rPr>
              <w:t>after the Amendment No. 4 and Limited Waiver Effective Date and at or prior to such time).”</w:t>
            </w:r>
          </w:p>
        </w:tc>
      </w:tr>
      <w:tr>
        <w:trPr>
          <w:trHeight w:val="315"/>
        </w:trPr>
        <w:tc>
          <w:tcPr>
            <w:tcW w:w="480" w:type="dxa"/>
            <w:vAlign w:val="bottom"/>
          </w:tcPr>
          <w:p>
            <w:pPr>
              <w:spacing w:after="0"/>
              <w:rPr>
                <w:sz w:val="20"/>
                <w:szCs w:val="20"/>
                <w:color w:val="auto"/>
              </w:rPr>
            </w:pPr>
            <w:r>
              <w:rPr>
                <w:rFonts w:ascii="Arial" w:cs="Arial" w:eastAsia="Arial" w:hAnsi="Arial"/>
                <w:sz w:val="13"/>
                <w:szCs w:val="13"/>
                <w:color w:val="auto"/>
              </w:rPr>
              <w:t>(d)</w:t>
            </w:r>
          </w:p>
        </w:tc>
        <w:tc>
          <w:tcPr>
            <w:tcW w:w="10860" w:type="dxa"/>
            <w:vAlign w:val="bottom"/>
            <w:gridSpan w:val="3"/>
          </w:tcPr>
          <w:p>
            <w:pPr>
              <w:ind w:left="1140"/>
              <w:spacing w:after="0"/>
              <w:rPr>
                <w:sz w:val="20"/>
                <w:szCs w:val="20"/>
                <w:color w:val="auto"/>
              </w:rPr>
            </w:pPr>
            <w:r>
              <w:rPr>
                <w:rFonts w:ascii="Arial" w:cs="Arial" w:eastAsia="Arial" w:hAnsi="Arial"/>
                <w:sz w:val="13"/>
                <w:szCs w:val="13"/>
                <w:color w:val="auto"/>
              </w:rPr>
              <w:t>The definition of “Collateral” in Section 1.01 of the Credit Agreement is amended by adding the following immediately preceding the period at the end thereof:</w:t>
            </w:r>
          </w:p>
        </w:tc>
      </w:tr>
      <w:tr>
        <w:trPr>
          <w:trHeight w:val="268"/>
        </w:trPr>
        <w:tc>
          <w:tcPr>
            <w:tcW w:w="480" w:type="dxa"/>
            <w:vAlign w:val="bottom"/>
          </w:tcPr>
          <w:p>
            <w:pPr>
              <w:spacing w:after="0"/>
              <w:rPr>
                <w:sz w:val="23"/>
                <w:szCs w:val="23"/>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w w:val="93"/>
              </w:rPr>
              <w:t>“; for the avoidance of doubt, in addition to all other rights, interests and privileges of the Collateral Agent hereunder and under the other Loan Documents, and notwithstanding any</w:t>
            </w:r>
          </w:p>
        </w:tc>
      </w:tr>
      <w:tr>
        <w:trPr>
          <w:trHeight w:val="20"/>
        </w:trPr>
        <w:tc>
          <w:tcPr>
            <w:tcW w:w="4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8080" w:type="dxa"/>
            <w:vAlign w:val="bottom"/>
          </w:tcPr>
          <w:p>
            <w:pPr>
              <w:spacing w:after="0" w:line="20" w:lineRule="exact"/>
              <w:rPr>
                <w:sz w:val="1"/>
                <w:szCs w:val="1"/>
                <w:color w:val="auto"/>
              </w:rPr>
            </w:pPr>
          </w:p>
        </w:tc>
      </w:tr>
      <w:tr>
        <w:trPr>
          <w:trHeight w:val="150"/>
        </w:trPr>
        <w:tc>
          <w:tcPr>
            <w:tcW w:w="480" w:type="dxa"/>
            <w:vAlign w:val="bottom"/>
          </w:tcPr>
          <w:p>
            <w:pPr>
              <w:spacing w:after="0"/>
              <w:rPr>
                <w:sz w:val="13"/>
                <w:szCs w:val="13"/>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w w:val="95"/>
              </w:rPr>
              <w:t>exclusions or limitations set forth in the Loan Documents, it is the intention of the parties that the Master Lease and all rights and interests therein and all proceeds thereof shall</w:t>
            </w:r>
          </w:p>
        </w:tc>
      </w:tr>
      <w:tr>
        <w:trPr>
          <w:trHeight w:val="166"/>
        </w:trPr>
        <w:tc>
          <w:tcPr>
            <w:tcW w:w="480" w:type="dxa"/>
            <w:vAlign w:val="bottom"/>
          </w:tcPr>
          <w:p>
            <w:pPr>
              <w:spacing w:after="0"/>
              <w:rPr>
                <w:sz w:val="14"/>
                <w:szCs w:val="14"/>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rPr>
              <w:t>constitute Collateral under, and for all purposes of, the Loan Documents”.</w:t>
            </w:r>
          </w:p>
        </w:tc>
      </w:tr>
      <w:tr>
        <w:trPr>
          <w:trHeight w:val="297"/>
        </w:trPr>
        <w:tc>
          <w:tcPr>
            <w:tcW w:w="480" w:type="dxa"/>
            <w:vAlign w:val="bottom"/>
          </w:tcPr>
          <w:p>
            <w:pPr>
              <w:spacing w:after="0"/>
              <w:rPr>
                <w:sz w:val="20"/>
                <w:szCs w:val="20"/>
                <w:color w:val="auto"/>
              </w:rPr>
            </w:pPr>
            <w:r>
              <w:rPr>
                <w:rFonts w:ascii="Arial" w:cs="Arial" w:eastAsia="Arial" w:hAnsi="Arial"/>
                <w:sz w:val="13"/>
                <w:szCs w:val="13"/>
                <w:color w:val="auto"/>
              </w:rPr>
              <w:t>(e)</w:t>
            </w:r>
          </w:p>
        </w:tc>
        <w:tc>
          <w:tcPr>
            <w:tcW w:w="10860" w:type="dxa"/>
            <w:vAlign w:val="bottom"/>
            <w:gridSpan w:val="3"/>
          </w:tcPr>
          <w:p>
            <w:pPr>
              <w:ind w:left="1140"/>
              <w:spacing w:after="0"/>
              <w:rPr>
                <w:sz w:val="20"/>
                <w:szCs w:val="20"/>
                <w:color w:val="auto"/>
              </w:rPr>
            </w:pPr>
            <w:r>
              <w:rPr>
                <w:rFonts w:ascii="Arial" w:cs="Arial" w:eastAsia="Arial" w:hAnsi="Arial"/>
                <w:sz w:val="13"/>
                <w:szCs w:val="13"/>
                <w:color w:val="auto"/>
              </w:rPr>
              <w:t>The definition of “Permitted Investments” in Section 1.01 of the Credit Agreement is amended by amending and restating clause (s) as follows:</w:t>
            </w:r>
          </w:p>
        </w:tc>
      </w:tr>
      <w:tr>
        <w:trPr>
          <w:trHeight w:val="285"/>
        </w:trPr>
        <w:tc>
          <w:tcPr>
            <w:tcW w:w="480" w:type="dxa"/>
            <w:vAlign w:val="bottom"/>
          </w:tcPr>
          <w:p>
            <w:pPr>
              <w:spacing w:after="0"/>
              <w:rPr>
                <w:sz w:val="24"/>
                <w:szCs w:val="24"/>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w w:val="92"/>
              </w:rPr>
              <w:t>“(19) so long as no Default or Event of Default shall have occurred and be continuing or would occur as a consequence thereof and Parent and its Restricted Subsidiaries shall be in</w:t>
            </w:r>
          </w:p>
        </w:tc>
      </w:tr>
      <w:tr>
        <w:trPr>
          <w:trHeight w:val="153"/>
        </w:trPr>
        <w:tc>
          <w:tcPr>
            <w:tcW w:w="480" w:type="dxa"/>
            <w:vAlign w:val="bottom"/>
          </w:tcPr>
          <w:p>
            <w:pPr>
              <w:spacing w:after="0"/>
              <w:rPr>
                <w:sz w:val="13"/>
                <w:szCs w:val="13"/>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w w:val="94"/>
              </w:rPr>
              <w:t>Pro Forma Compliance with Section 7.09 for the most recently ended Test Period for which internal financial statements are available, Investments (other than Investments in any</w:t>
            </w:r>
          </w:p>
        </w:tc>
      </w:tr>
      <w:tr>
        <w:trPr>
          <w:trHeight w:val="166"/>
        </w:trPr>
        <w:tc>
          <w:tcPr>
            <w:tcW w:w="480" w:type="dxa"/>
            <w:vAlign w:val="bottom"/>
          </w:tcPr>
          <w:p>
            <w:pPr>
              <w:spacing w:after="0"/>
              <w:rPr>
                <w:sz w:val="14"/>
                <w:szCs w:val="14"/>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rPr>
              <w:t>Restricted Subsidiary that is not a Loan Party or in any Unrestricted Subsidiary) in an aggregate amount not toexceed the Available Amount and”</w:t>
            </w:r>
          </w:p>
        </w:tc>
      </w:tr>
      <w:tr>
        <w:trPr>
          <w:trHeight w:val="303"/>
        </w:trPr>
        <w:tc>
          <w:tcPr>
            <w:tcW w:w="480" w:type="dxa"/>
            <w:vAlign w:val="bottom"/>
          </w:tcPr>
          <w:p>
            <w:pPr>
              <w:spacing w:after="0"/>
              <w:rPr>
                <w:sz w:val="20"/>
                <w:szCs w:val="20"/>
                <w:color w:val="auto"/>
              </w:rPr>
            </w:pPr>
            <w:r>
              <w:rPr>
                <w:rFonts w:ascii="Arial" w:cs="Arial" w:eastAsia="Arial" w:hAnsi="Arial"/>
                <w:sz w:val="13"/>
                <w:szCs w:val="13"/>
                <w:color w:val="auto"/>
              </w:rPr>
              <w:t>(f)</w:t>
            </w:r>
          </w:p>
        </w:tc>
        <w:tc>
          <w:tcPr>
            <w:tcW w:w="10860" w:type="dxa"/>
            <w:vAlign w:val="bottom"/>
            <w:gridSpan w:val="3"/>
          </w:tcPr>
          <w:p>
            <w:pPr>
              <w:ind w:left="1140"/>
              <w:spacing w:after="0"/>
              <w:rPr>
                <w:sz w:val="20"/>
                <w:szCs w:val="20"/>
                <w:color w:val="auto"/>
              </w:rPr>
            </w:pPr>
            <w:r>
              <w:rPr>
                <w:rFonts w:ascii="Arial" w:cs="Arial" w:eastAsia="Arial" w:hAnsi="Arial"/>
                <w:sz w:val="13"/>
                <w:szCs w:val="13"/>
                <w:color w:val="auto"/>
                <w:w w:val="94"/>
              </w:rPr>
              <w:t>The definition of “Restricted Indebtedness” in Section 1.01 of the Credit Agreement is amended by adding immediately prior to the comma the phrase “(including the 7.125% Senior</w:t>
            </w:r>
          </w:p>
        </w:tc>
      </w:tr>
      <w:tr>
        <w:trPr>
          <w:trHeight w:val="166"/>
        </w:trPr>
        <w:tc>
          <w:tcPr>
            <w:tcW w:w="480" w:type="dxa"/>
            <w:vAlign w:val="bottom"/>
          </w:tcPr>
          <w:p>
            <w:pPr>
              <w:spacing w:after="0"/>
              <w:rPr>
                <w:sz w:val="14"/>
                <w:szCs w:val="14"/>
                <w:color w:val="auto"/>
              </w:rPr>
            </w:pPr>
          </w:p>
        </w:tc>
        <w:tc>
          <w:tcPr>
            <w:tcW w:w="10860" w:type="dxa"/>
            <w:vAlign w:val="bottom"/>
            <w:gridSpan w:val="3"/>
          </w:tcPr>
          <w:p>
            <w:pPr>
              <w:ind w:left="340"/>
              <w:spacing w:after="0"/>
              <w:rPr>
                <w:sz w:val="20"/>
                <w:szCs w:val="20"/>
                <w:color w:val="auto"/>
              </w:rPr>
            </w:pPr>
            <w:r>
              <w:rPr>
                <w:rFonts w:ascii="Arial" w:cs="Arial" w:eastAsia="Arial" w:hAnsi="Arial"/>
                <w:sz w:val="13"/>
                <w:szCs w:val="13"/>
                <w:color w:val="auto"/>
              </w:rPr>
              <w:t>Unsecured Notes due December 15, 2024)”.</w:t>
            </w:r>
          </w:p>
        </w:tc>
      </w:tr>
      <w:tr>
        <w:trPr>
          <w:trHeight w:val="297"/>
        </w:trPr>
        <w:tc>
          <w:tcPr>
            <w:tcW w:w="480" w:type="dxa"/>
            <w:vAlign w:val="bottom"/>
          </w:tcPr>
          <w:p>
            <w:pPr>
              <w:spacing w:after="0"/>
              <w:rPr>
                <w:sz w:val="20"/>
                <w:szCs w:val="20"/>
                <w:color w:val="auto"/>
              </w:rPr>
            </w:pPr>
            <w:r>
              <w:rPr>
                <w:rFonts w:ascii="Arial" w:cs="Arial" w:eastAsia="Arial" w:hAnsi="Arial"/>
                <w:sz w:val="13"/>
                <w:szCs w:val="13"/>
                <w:color w:val="auto"/>
              </w:rPr>
              <w:t>(g)</w:t>
            </w:r>
          </w:p>
        </w:tc>
        <w:tc>
          <w:tcPr>
            <w:tcW w:w="10860" w:type="dxa"/>
            <w:vAlign w:val="bottom"/>
            <w:gridSpan w:val="3"/>
          </w:tcPr>
          <w:p>
            <w:pPr>
              <w:ind w:left="1140"/>
              <w:spacing w:after="0"/>
              <w:rPr>
                <w:sz w:val="20"/>
                <w:szCs w:val="20"/>
                <w:color w:val="auto"/>
              </w:rPr>
            </w:pPr>
            <w:r>
              <w:rPr>
                <w:rFonts w:ascii="Arial" w:cs="Arial" w:eastAsia="Arial" w:hAnsi="Arial"/>
                <w:sz w:val="13"/>
                <w:szCs w:val="13"/>
                <w:color w:val="auto"/>
              </w:rPr>
              <w:t>Section 7.05 of the Credit Agreement is amended by adding the following additional final paragraph of Section 7.05:</w:t>
            </w:r>
          </w:p>
        </w:tc>
      </w:tr>
      <w:tr>
        <w:trPr>
          <w:trHeight w:val="285"/>
        </w:trPr>
        <w:tc>
          <w:tcPr>
            <w:tcW w:w="480" w:type="dxa"/>
            <w:vAlign w:val="bottom"/>
          </w:tcPr>
          <w:p>
            <w:pPr>
              <w:spacing w:after="0"/>
              <w:rPr>
                <w:sz w:val="24"/>
                <w:szCs w:val="24"/>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w w:val="93"/>
              </w:rPr>
              <w:t>“Notwithstanding any other provision of this Section 7.05, from and after the Amendment No. 4 and Limited Waiver Effective Date until the Reversion Date, Parent and its Restricted</w:t>
            </w:r>
          </w:p>
        </w:tc>
      </w:tr>
      <w:tr>
        <w:trPr>
          <w:trHeight w:val="166"/>
        </w:trPr>
        <w:tc>
          <w:tcPr>
            <w:tcW w:w="480" w:type="dxa"/>
            <w:vAlign w:val="bottom"/>
          </w:tcPr>
          <w:p>
            <w:pPr>
              <w:spacing w:after="0"/>
              <w:rPr>
                <w:sz w:val="14"/>
                <w:szCs w:val="14"/>
                <w:color w:val="auto"/>
              </w:rPr>
            </w:pPr>
          </w:p>
        </w:tc>
        <w:tc>
          <w:tcPr>
            <w:tcW w:w="10860" w:type="dxa"/>
            <w:vAlign w:val="bottom"/>
            <w:gridSpan w:val="3"/>
          </w:tcPr>
          <w:p>
            <w:pPr>
              <w:ind w:left="1220"/>
              <w:spacing w:after="0"/>
              <w:rPr>
                <w:sz w:val="20"/>
                <w:szCs w:val="20"/>
                <w:color w:val="auto"/>
              </w:rPr>
            </w:pPr>
            <w:r>
              <w:rPr>
                <w:rFonts w:ascii="Arial" w:cs="Arial" w:eastAsia="Arial" w:hAnsi="Arial"/>
                <w:sz w:val="13"/>
                <w:szCs w:val="13"/>
                <w:color w:val="auto"/>
              </w:rPr>
              <w:t>Subsidiaries shall not, directly or indirectly:</w:t>
            </w:r>
          </w:p>
        </w:tc>
      </w:tr>
    </w:tbl>
    <w:p>
      <w:pPr>
        <w:spacing w:after="0" w:line="132" w:lineRule="exact"/>
        <w:rPr>
          <w:sz w:val="20"/>
          <w:szCs w:val="20"/>
          <w:color w:val="auto"/>
        </w:rPr>
      </w:pPr>
    </w:p>
    <w:p>
      <w:pPr>
        <w:ind w:left="1700" w:hanging="2"/>
        <w:spacing w:after="0" w:line="268" w:lineRule="auto"/>
        <w:tabs>
          <w:tab w:leader="none" w:pos="1858" w:val="left"/>
        </w:tabs>
        <w:numPr>
          <w:ilvl w:val="0"/>
          <w:numId w:val="29"/>
        </w:numPr>
        <w:rPr>
          <w:rFonts w:ascii="Arial" w:cs="Arial" w:eastAsia="Arial" w:hAnsi="Arial"/>
          <w:sz w:val="12"/>
          <w:szCs w:val="12"/>
          <w:color w:val="auto"/>
        </w:rPr>
      </w:pPr>
      <w:r>
        <w:rPr>
          <w:rFonts w:ascii="Arial" w:cs="Arial" w:eastAsia="Arial" w:hAnsi="Arial"/>
          <w:sz w:val="12"/>
          <w:szCs w:val="12"/>
          <w:color w:val="auto"/>
        </w:rPr>
        <w:t xml:space="preserve">declare or make any Restricted Payment other than (A) pursuant to Sections </w:t>
      </w:r>
      <w:r>
        <w:rPr>
          <w:rFonts w:ascii="Arial" w:cs="Arial" w:eastAsia="Arial" w:hAnsi="Arial"/>
          <w:sz w:val="12"/>
          <w:szCs w:val="12"/>
          <w:u w:val="single" w:color="auto"/>
          <w:color w:val="auto"/>
        </w:rPr>
        <w:t>7.05(b)</w:t>
      </w:r>
      <w:r>
        <w:rPr>
          <w:rFonts w:ascii="Arial" w:cs="Arial" w:eastAsia="Arial" w:hAnsi="Arial"/>
          <w:sz w:val="12"/>
          <w:szCs w:val="12"/>
          <w:color w:val="auto"/>
        </w:rPr>
        <w:t xml:space="preserve">, </w:t>
      </w:r>
      <w:r>
        <w:rPr>
          <w:rFonts w:ascii="Arial" w:cs="Arial" w:eastAsia="Arial" w:hAnsi="Arial"/>
          <w:sz w:val="12"/>
          <w:szCs w:val="12"/>
          <w:u w:val="single" w:color="auto"/>
          <w:color w:val="auto"/>
        </w:rPr>
        <w:t>(c)</w:t>
      </w:r>
      <w:r>
        <w:rPr>
          <w:rFonts w:ascii="Arial" w:cs="Arial" w:eastAsia="Arial" w:hAnsi="Arial"/>
          <w:sz w:val="12"/>
          <w:szCs w:val="12"/>
          <w:color w:val="auto"/>
        </w:rPr>
        <w:t xml:space="preserve">, </w:t>
      </w:r>
      <w:r>
        <w:rPr>
          <w:rFonts w:ascii="Arial" w:cs="Arial" w:eastAsia="Arial" w:hAnsi="Arial"/>
          <w:sz w:val="12"/>
          <w:szCs w:val="12"/>
          <w:u w:val="single" w:color="auto"/>
          <w:color w:val="auto"/>
        </w:rPr>
        <w:t>(d)</w:t>
      </w:r>
      <w:r>
        <w:rPr>
          <w:rFonts w:ascii="Arial" w:cs="Arial" w:eastAsia="Arial" w:hAnsi="Arial"/>
          <w:sz w:val="12"/>
          <w:szCs w:val="12"/>
          <w:color w:val="auto"/>
        </w:rPr>
        <w:t xml:space="preserve"> (subject to clause (ii) below), </w:t>
      </w:r>
      <w:r>
        <w:rPr>
          <w:rFonts w:ascii="Arial" w:cs="Arial" w:eastAsia="Arial" w:hAnsi="Arial"/>
          <w:sz w:val="12"/>
          <w:szCs w:val="12"/>
          <w:u w:val="single" w:color="auto"/>
          <w:color w:val="auto"/>
        </w:rPr>
        <w:t>(e)</w:t>
      </w:r>
      <w:r>
        <w:rPr>
          <w:rFonts w:ascii="Arial" w:cs="Arial" w:eastAsia="Arial" w:hAnsi="Arial"/>
          <w:sz w:val="12"/>
          <w:szCs w:val="12"/>
          <w:color w:val="auto"/>
        </w:rPr>
        <w:t xml:space="preserve">, </w:t>
      </w:r>
      <w:r>
        <w:rPr>
          <w:rFonts w:ascii="Arial" w:cs="Arial" w:eastAsia="Arial" w:hAnsi="Arial"/>
          <w:sz w:val="12"/>
          <w:szCs w:val="12"/>
          <w:u w:val="single" w:color="auto"/>
          <w:color w:val="auto"/>
        </w:rPr>
        <w:t>(f)</w:t>
      </w:r>
      <w:r>
        <w:rPr>
          <w:rFonts w:ascii="Arial" w:cs="Arial" w:eastAsia="Arial" w:hAnsi="Arial"/>
          <w:sz w:val="12"/>
          <w:szCs w:val="12"/>
          <w:color w:val="auto"/>
        </w:rPr>
        <w:t xml:space="preserve">, </w:t>
      </w:r>
      <w:r>
        <w:rPr>
          <w:rFonts w:ascii="Arial" w:cs="Arial" w:eastAsia="Arial" w:hAnsi="Arial"/>
          <w:sz w:val="12"/>
          <w:szCs w:val="12"/>
          <w:u w:val="single" w:color="auto"/>
          <w:color w:val="auto"/>
        </w:rPr>
        <w:t>(h)</w:t>
      </w:r>
      <w:r>
        <w:rPr>
          <w:rFonts w:ascii="Arial" w:cs="Arial" w:eastAsia="Arial" w:hAnsi="Arial"/>
          <w:sz w:val="12"/>
          <w:szCs w:val="12"/>
          <w:color w:val="auto"/>
        </w:rPr>
        <w:t xml:space="preserve">, </w:t>
      </w:r>
      <w:r>
        <w:rPr>
          <w:rFonts w:ascii="Arial" w:cs="Arial" w:eastAsia="Arial" w:hAnsi="Arial"/>
          <w:sz w:val="12"/>
          <w:szCs w:val="12"/>
          <w:u w:val="single" w:color="auto"/>
          <w:color w:val="auto"/>
        </w:rPr>
        <w:t>(i)</w:t>
      </w:r>
      <w:r>
        <w:rPr>
          <w:rFonts w:ascii="Arial" w:cs="Arial" w:eastAsia="Arial" w:hAnsi="Arial"/>
          <w:sz w:val="12"/>
          <w:szCs w:val="12"/>
          <w:color w:val="auto"/>
        </w:rPr>
        <w:t xml:space="preserve">, </w:t>
      </w:r>
      <w:r>
        <w:rPr>
          <w:rFonts w:ascii="Arial" w:cs="Arial" w:eastAsia="Arial" w:hAnsi="Arial"/>
          <w:sz w:val="12"/>
          <w:szCs w:val="12"/>
          <w:u w:val="single" w:color="auto"/>
          <w:color w:val="auto"/>
        </w:rPr>
        <w:t>(l)</w:t>
      </w:r>
      <w:r>
        <w:rPr>
          <w:rFonts w:ascii="Arial" w:cs="Arial" w:eastAsia="Arial" w:hAnsi="Arial"/>
          <w:sz w:val="12"/>
          <w:szCs w:val="12"/>
          <w:color w:val="auto"/>
        </w:rPr>
        <w:t xml:space="preserve">, </w:t>
      </w:r>
      <w:r>
        <w:rPr>
          <w:rFonts w:ascii="Arial" w:cs="Arial" w:eastAsia="Arial" w:hAnsi="Arial"/>
          <w:sz w:val="12"/>
          <w:szCs w:val="12"/>
          <w:u w:val="single" w:color="auto"/>
          <w:color w:val="auto"/>
        </w:rPr>
        <w:t>(o)</w:t>
      </w:r>
      <w:r>
        <w:rPr>
          <w:rFonts w:ascii="Arial" w:cs="Arial" w:eastAsia="Arial" w:hAnsi="Arial"/>
          <w:sz w:val="12"/>
          <w:szCs w:val="12"/>
          <w:color w:val="auto"/>
        </w:rPr>
        <w:t xml:space="preserve"> and </w:t>
      </w:r>
      <w:r>
        <w:rPr>
          <w:rFonts w:ascii="Arial" w:cs="Arial" w:eastAsia="Arial" w:hAnsi="Arial"/>
          <w:sz w:val="12"/>
          <w:szCs w:val="12"/>
          <w:u w:val="single" w:color="auto"/>
          <w:color w:val="auto"/>
        </w:rPr>
        <w:t>(q)</w:t>
      </w:r>
      <w:r>
        <w:rPr>
          <w:rFonts w:ascii="Arial" w:cs="Arial" w:eastAsia="Arial" w:hAnsi="Arial"/>
          <w:sz w:val="12"/>
          <w:szCs w:val="12"/>
          <w:color w:val="auto"/>
        </w:rPr>
        <w:t>, (B) any dividend or distribution (including any cash dividend or cash distribution) on or in respect of (x) Parent’s Capital Stock, in each case constituting a Restricted Payment, to holders of such Capital Stock (including, for the avoidance of doubt, dividends or distributions that are made on a pro rata basis to all holders, including unrelated holders, of any class of such Capital Stock) solely to the extent that Parent believes in good faith that Holdings qualifies as a REIT and solely to the extent that Parent believes in good faith that the declaration or payment of a dividend or making of a distribution in such amount is necessary to (i) maintain Holdings’ status as a REIT (including, for the avoidance of doubt, Holdings’ eligibility to be taxed as a REIT under Section 857(b)) for any taxable year, determined without regard to any ability of Holdings to maintain its status as a REIT (and eligibility to be taxed as a REIT under Section 857(b)) for any taxable year by declaring or paying a dividend or making a distribution in whole or in part in any form other than cash, including shares of Parent’s or Holdings’ Capital Stock, with such dividend to be paid or distribution to be made as and when determined by Parent, whether during or after the end of the relevant taxable year, and</w:t>
      </w:r>
    </w:p>
    <w:p>
      <w:pPr>
        <w:spacing w:after="0" w:line="2" w:lineRule="exact"/>
        <w:rPr>
          <w:rFonts w:ascii="Arial" w:cs="Arial" w:eastAsia="Arial" w:hAnsi="Arial"/>
          <w:sz w:val="12"/>
          <w:szCs w:val="12"/>
          <w:color w:val="auto"/>
        </w:rPr>
      </w:pPr>
    </w:p>
    <w:p>
      <w:pPr>
        <w:ind w:left="1900" w:hanging="202"/>
        <w:spacing w:after="0"/>
        <w:tabs>
          <w:tab w:leader="none" w:pos="1900" w:val="left"/>
        </w:tabs>
        <w:numPr>
          <w:ilvl w:val="0"/>
          <w:numId w:val="29"/>
        </w:numPr>
        <w:rPr>
          <w:rFonts w:ascii="Arial" w:cs="Arial" w:eastAsia="Arial" w:hAnsi="Arial"/>
          <w:sz w:val="13"/>
          <w:szCs w:val="13"/>
          <w:color w:val="auto"/>
        </w:rPr>
      </w:pPr>
      <w:r>
        <w:rPr>
          <w:rFonts w:ascii="Arial" w:cs="Arial" w:eastAsia="Arial" w:hAnsi="Arial"/>
          <w:sz w:val="13"/>
          <w:szCs w:val="13"/>
          <w:color w:val="auto"/>
        </w:rPr>
        <w:t>permit Holdings to pay an amount equal to any corporate-level U.S. federal and applicable state and local income</w:t>
      </w:r>
    </w:p>
    <w:p>
      <w:pPr>
        <w:spacing w:after="0" w:line="138" w:lineRule="exact"/>
        <w:rPr>
          <w:sz w:val="20"/>
          <w:szCs w:val="20"/>
          <w:color w:val="auto"/>
        </w:rPr>
      </w:pPr>
    </w:p>
    <w:p>
      <w:pPr>
        <w:jc w:val="center"/>
        <w:ind w:right="40"/>
        <w:spacing w:after="0"/>
        <w:rPr>
          <w:sz w:val="20"/>
          <w:szCs w:val="20"/>
          <w:color w:val="auto"/>
        </w:rPr>
      </w:pPr>
      <w:r>
        <w:rPr>
          <w:rFonts w:ascii="Arial" w:cs="Arial" w:eastAsia="Arial" w:hAnsi="Arial"/>
          <w:sz w:val="13"/>
          <w:szCs w:val="13"/>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wp:posOffset>
            </wp:positionH>
            <wp:positionV relativeFrom="paragraph">
              <wp:posOffset>167640</wp:posOffset>
            </wp:positionV>
            <wp:extent cx="7329170" cy="3683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380"/>
          </w:cols>
          <w:pgMar w:left="280" w:top="291" w:right="239" w:bottom="1440" w:gutter="0" w:footer="0" w:header="0"/>
        </w:sectPr>
      </w:pPr>
    </w:p>
    <w:bookmarkStart w:id="128" w:name="page129"/>
    <w:bookmarkEnd w:id="128"/>
    <w:p>
      <w:pPr>
        <w:ind w:left="540"/>
        <w:spacing w:after="0" w:line="268" w:lineRule="auto"/>
        <w:rPr>
          <w:sz w:val="20"/>
          <w:szCs w:val="20"/>
          <w:color w:val="auto"/>
        </w:rPr>
      </w:pPr>
      <w:r>
        <w:rPr>
          <w:rFonts w:ascii="Arial" w:cs="Arial" w:eastAsia="Arial" w:hAnsi="Arial"/>
          <w:sz w:val="12"/>
          <w:szCs w:val="12"/>
          <w:color w:val="auto"/>
        </w:rPr>
        <w:t>taxes payable by Holdings with respect to any undistributed taxable income (including any undistributed capital gains) (collectively, for each taxable year, the “</w:t>
      </w:r>
      <w:r>
        <w:rPr>
          <w:rFonts w:ascii="Arial" w:cs="Arial" w:eastAsia="Arial" w:hAnsi="Arial"/>
          <w:sz w:val="12"/>
          <w:szCs w:val="12"/>
          <w:u w:val="single" w:color="auto"/>
          <w:color w:val="auto"/>
        </w:rPr>
        <w:t>Minimum Required</w:t>
      </w:r>
      <w:r>
        <w:rPr>
          <w:rFonts w:ascii="Arial" w:cs="Arial" w:eastAsia="Arial" w:hAnsi="Arial"/>
          <w:sz w:val="12"/>
          <w:szCs w:val="12"/>
          <w:color w:val="auto"/>
        </w:rPr>
        <w:t xml:space="preserve"> </w:t>
      </w:r>
      <w:r>
        <w:rPr>
          <w:rFonts w:ascii="Arial" w:cs="Arial" w:eastAsia="Arial" w:hAnsi="Arial"/>
          <w:sz w:val="12"/>
          <w:szCs w:val="12"/>
          <w:u w:val="single" w:color="auto"/>
          <w:color w:val="auto"/>
        </w:rPr>
        <w:t>Distribution Amount</w:t>
      </w:r>
      <w:r>
        <w:rPr>
          <w:rFonts w:ascii="Arial" w:cs="Arial" w:eastAsia="Arial" w:hAnsi="Arial"/>
          <w:sz w:val="12"/>
          <w:szCs w:val="12"/>
          <w:color w:val="auto"/>
        </w:rPr>
        <w:t xml:space="preserve">”) or (y) shares of preferred stock issued on customary terms by a Restricted Subsidiary solely to permit such Restricted Subsidiary to qualify as a REIT, not to exceed in the aggregate for all such dividends and distributions pursuant to this clause (y) $50,000 per annum; </w:t>
      </w:r>
      <w:r>
        <w:rPr>
          <w:rFonts w:ascii="Arial" w:cs="Arial" w:eastAsia="Arial" w:hAnsi="Arial"/>
          <w:sz w:val="12"/>
          <w:szCs w:val="12"/>
          <w:i w:val="1"/>
          <w:iCs w:val="1"/>
          <w:color w:val="auto"/>
        </w:rPr>
        <w:t>provided</w:t>
      </w:r>
      <w:r>
        <w:rPr>
          <w:rFonts w:ascii="Arial" w:cs="Arial" w:eastAsia="Arial" w:hAnsi="Arial"/>
          <w:sz w:val="12"/>
          <w:szCs w:val="12"/>
          <w:color w:val="auto"/>
        </w:rPr>
        <w:t xml:space="preserve"> that (i) no cash dividend or distribution shall be permitted under this clause (B) to the extent that a Specified Event of Default has occurred and is continuing or the Obligations have been accelerated following any other Event of Default; (ii) notwithstanding the foregoing, any distributions made pursuant to subclause (x) of this clause (B) shall not exceed the amount of dividends or distributions that could have been paid or made by Parent at such time pursuant to such subclause (x) if, in the relevant taxable year, Holdings had held no assets, other than a direct or indirect equity interest in Parent, and had recognized no income, gain, loss, deduction or other tax items, other than such items of Parent allocable directly or indirectly to Holdings or, if Holdings is a REIT, dividends from Parent, and prior to or concurrent with paying or making any such dividend or distribution in reliance on this paragraph, Parent shall provide the Administrative Agent a certification in reasonable detail to such effect and (iii) dividends and distributions paid or made pursuant to this clause (B) shall be permitted only so long as Parent is a REIT, a disregarded qualified REIT subsidiary, a disregarded entity or a partnership for U.S. federal income tax purposes; and </w:t>
      </w:r>
      <w:r>
        <w:rPr>
          <w:rFonts w:ascii="Arial" w:cs="Arial" w:eastAsia="Arial" w:hAnsi="Arial"/>
          <w:sz w:val="12"/>
          <w:szCs w:val="12"/>
          <w:i w:val="1"/>
          <w:iCs w:val="1"/>
          <w:color w:val="auto"/>
        </w:rPr>
        <w:t>provided</w:t>
      </w:r>
      <w:r>
        <w:rPr>
          <w:rFonts w:ascii="Arial" w:cs="Arial" w:eastAsia="Arial" w:hAnsi="Arial"/>
          <w:sz w:val="12"/>
          <w:szCs w:val="12"/>
          <w:color w:val="auto"/>
        </w:rPr>
        <w:t xml:space="preserve">, </w:t>
      </w:r>
      <w:r>
        <w:rPr>
          <w:rFonts w:ascii="Arial" w:cs="Arial" w:eastAsia="Arial" w:hAnsi="Arial"/>
          <w:sz w:val="12"/>
          <w:szCs w:val="12"/>
          <w:i w:val="1"/>
          <w:iCs w:val="1"/>
          <w:color w:val="auto"/>
        </w:rPr>
        <w:t>however</w:t>
      </w:r>
      <w:r>
        <w:rPr>
          <w:rFonts w:ascii="Arial" w:cs="Arial" w:eastAsia="Arial" w:hAnsi="Arial"/>
          <w:sz w:val="12"/>
          <w:szCs w:val="12"/>
          <w:color w:val="auto"/>
        </w:rPr>
        <w:t xml:space="preserve">, that (i) Parent shall be permitted to make or pay cash dividends or distributions pursuant to subclause (x) of this clause (B) in amounts and at times sufficient to permit Holdings to declare and pay quarterly cash dividends in each taxable year, in each case, not to exceed one quarter of Parent’s good faith estimate, as of the date on which the first quarterly dividend for each taxable year is declared by Holdings, of the Minimum Required Distribution Amount for such taxable year (with any unused capacity for the taxable year carrying forward to subsequent quarters of such taxable year), and (ii) Parent shall not declare or pay cash dividends or distributions pursuant to subclause (x) of this clause (B) for any taxable year except (u) as provided in the immediately preceding clause (i) of this proviso or (y) in or after the last fiscal quarter of such taxable year and (C) without duplication of any amounts used pursuant to any subsection of Section 7.05 or section (ii) below, Restricted Payments in an aggregate amount not to exceed 100% of </w:t>
      </w:r>
      <w:r>
        <w:rPr>
          <w:rFonts w:ascii="Arial" w:cs="Arial" w:eastAsia="Arial" w:hAnsi="Arial"/>
          <w:sz w:val="13"/>
          <w:szCs w:val="13"/>
          <w:color w:val="auto"/>
        </w:rPr>
        <w:t>the</w:t>
      </w:r>
      <w:r>
        <w:rPr>
          <w:rFonts w:ascii="Arial" w:cs="Arial" w:eastAsia="Arial" w:hAnsi="Arial"/>
          <w:sz w:val="12"/>
          <w:szCs w:val="12"/>
          <w:color w:val="auto"/>
        </w:rPr>
        <w:t xml:space="preserve"> aggregate net cash proceeds received at or prior to such time by Parent following the Amendment No. 4 and Limited Waiver Effective Date from the issuance or sale of Equity Interests of Parent; </w:t>
      </w:r>
      <w:r>
        <w:rPr>
          <w:rFonts w:ascii="Arial" w:cs="Arial" w:eastAsia="Arial" w:hAnsi="Arial"/>
          <w:sz w:val="12"/>
          <w:szCs w:val="12"/>
          <w:i w:val="1"/>
          <w:iCs w:val="1"/>
          <w:color w:val="auto"/>
        </w:rPr>
        <w:t>provided</w:t>
      </w:r>
      <w:r>
        <w:rPr>
          <w:rFonts w:ascii="Arial" w:cs="Arial" w:eastAsia="Arial" w:hAnsi="Arial"/>
          <w:sz w:val="12"/>
          <w:szCs w:val="12"/>
          <w:color w:val="auto"/>
        </w:rPr>
        <w:t xml:space="preserve">, </w:t>
      </w:r>
      <w:r>
        <w:rPr>
          <w:rFonts w:ascii="Arial" w:cs="Arial" w:eastAsia="Arial" w:hAnsi="Arial"/>
          <w:sz w:val="12"/>
          <w:szCs w:val="12"/>
          <w:i w:val="1"/>
          <w:iCs w:val="1"/>
          <w:color w:val="auto"/>
        </w:rPr>
        <w:t>however</w:t>
      </w:r>
      <w:r>
        <w:rPr>
          <w:rFonts w:ascii="Arial" w:cs="Arial" w:eastAsia="Arial" w:hAnsi="Arial"/>
          <w:sz w:val="12"/>
          <w:szCs w:val="12"/>
          <w:color w:val="auto"/>
        </w:rPr>
        <w:t>, that this clause (C) shall not include the proceeds of Equity Interests of Parent sold to a Restricted Subsidiary or of Disqualified Stock; or</w:t>
      </w:r>
    </w:p>
    <w:p>
      <w:pPr>
        <w:spacing w:after="0" w:line="123" w:lineRule="exact"/>
        <w:rPr>
          <w:sz w:val="20"/>
          <w:szCs w:val="20"/>
          <w:color w:val="auto"/>
        </w:rPr>
      </w:pPr>
    </w:p>
    <w:p>
      <w:pPr>
        <w:ind w:left="540" w:right="40" w:hanging="2"/>
        <w:spacing w:after="0" w:line="274" w:lineRule="auto"/>
        <w:tabs>
          <w:tab w:leader="none" w:pos="734" w:val="left"/>
        </w:tabs>
        <w:numPr>
          <w:ilvl w:val="0"/>
          <w:numId w:val="30"/>
        </w:numPr>
        <w:rPr>
          <w:rFonts w:ascii="Arial" w:cs="Arial" w:eastAsia="Arial" w:hAnsi="Arial"/>
          <w:sz w:val="12"/>
          <w:szCs w:val="12"/>
          <w:color w:val="auto"/>
        </w:rPr>
      </w:pPr>
      <w:r>
        <w:rPr>
          <w:rFonts w:ascii="Arial" w:cs="Arial" w:eastAsia="Arial" w:hAnsi="Arial"/>
          <w:sz w:val="12"/>
          <w:szCs w:val="12"/>
          <w:color w:val="auto"/>
        </w:rPr>
        <w:t xml:space="preserve">(A) make any principal payment on, or redeem, repurchase, defease or otherwise acquire or retire for value (including by any exchange or conversion) in each case, prior to any scheduled repayment, sinking fund payment or maturity any Junior Financing other than (i) pursuant to Sections 7.05(c) and (h), (ii) pursuant to Section 7.05(d) with the proceeds of any Refinancing Indebtedness permitted by Section 7.02(b)(xii); </w:t>
      </w:r>
      <w:r>
        <w:rPr>
          <w:rFonts w:ascii="Arial" w:cs="Arial" w:eastAsia="Arial" w:hAnsi="Arial"/>
          <w:sz w:val="12"/>
          <w:szCs w:val="12"/>
          <w:i w:val="1"/>
          <w:iCs w:val="1"/>
          <w:color w:val="auto"/>
        </w:rPr>
        <w:t>provided</w:t>
      </w:r>
      <w:r>
        <w:rPr>
          <w:rFonts w:ascii="Arial" w:cs="Arial" w:eastAsia="Arial" w:hAnsi="Arial"/>
          <w:sz w:val="12"/>
          <w:szCs w:val="12"/>
          <w:color w:val="auto"/>
        </w:rPr>
        <w:t xml:space="preserve"> that such Refinancing Indebtedness shall also not (w) have a shorter final maturity than the Junior Financing being refinanced, (x) have any issuers, borrowers or guarantors other than the Junior Financing being refinanced, (y) have any collateral and (z) have any mandatory prepayment requirements other than customary asset sale or change of control provisions consistent with those of the Junior Financing being refinanced or (iii) without duplication of any amounts used pursuant to any subsection of Section 7.05 or section (i) above, with 100% of the net cash proceeds received at or prior to such time by Parent following the Amendment No. 4 and Limited Waiver Effective Date from the issuance or sale of Equity Interests of Parent; </w:t>
      </w:r>
      <w:r>
        <w:rPr>
          <w:rFonts w:ascii="Arial" w:cs="Arial" w:eastAsia="Arial" w:hAnsi="Arial"/>
          <w:sz w:val="12"/>
          <w:szCs w:val="12"/>
          <w:i w:val="1"/>
          <w:iCs w:val="1"/>
          <w:color w:val="auto"/>
        </w:rPr>
        <w:t>provided</w:t>
      </w:r>
      <w:r>
        <w:rPr>
          <w:rFonts w:ascii="Arial" w:cs="Arial" w:eastAsia="Arial" w:hAnsi="Arial"/>
          <w:sz w:val="12"/>
          <w:szCs w:val="12"/>
          <w:color w:val="auto"/>
        </w:rPr>
        <w:t xml:space="preserve">, </w:t>
      </w:r>
      <w:r>
        <w:rPr>
          <w:rFonts w:ascii="Arial" w:cs="Arial" w:eastAsia="Arial" w:hAnsi="Arial"/>
          <w:sz w:val="12"/>
          <w:szCs w:val="12"/>
          <w:i w:val="1"/>
          <w:iCs w:val="1"/>
          <w:color w:val="auto"/>
        </w:rPr>
        <w:t>however</w:t>
      </w:r>
      <w:r>
        <w:rPr>
          <w:rFonts w:ascii="Arial" w:cs="Arial" w:eastAsia="Arial" w:hAnsi="Arial"/>
          <w:sz w:val="12"/>
          <w:szCs w:val="12"/>
          <w:color w:val="auto"/>
        </w:rPr>
        <w:t>, that this clause (iii) shall not</w:t>
      </w:r>
    </w:p>
    <w:p>
      <w:pPr>
        <w:spacing w:after="0" w:line="113" w:lineRule="exact"/>
        <w:rPr>
          <w:sz w:val="20"/>
          <w:szCs w:val="20"/>
          <w:color w:val="auto"/>
        </w:rPr>
      </w:pPr>
    </w:p>
    <w:p>
      <w:pPr>
        <w:ind w:left="4440"/>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-791845</wp:posOffset>
            </wp:positionH>
            <wp:positionV relativeFrom="paragraph">
              <wp:posOffset>167640</wp:posOffset>
            </wp:positionV>
            <wp:extent cx="7329170" cy="3683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240"/>
          </w:cols>
          <w:pgMar w:left="1440" w:top="291" w:right="219" w:bottom="1440" w:gutter="0" w:footer="0" w:header="0"/>
        </w:sectPr>
      </w:pPr>
    </w:p>
    <w:bookmarkStart w:id="129" w:name="page130"/>
    <w:bookmarkEnd w:id="129"/>
    <w:p>
      <w:pPr>
        <w:ind w:left="885" w:right="160"/>
        <w:spacing w:after="0" w:line="258" w:lineRule="auto"/>
        <w:rPr>
          <w:sz w:val="20"/>
          <w:szCs w:val="20"/>
          <w:color w:val="auto"/>
        </w:rPr>
      </w:pPr>
      <w:r>
        <w:rPr>
          <w:rFonts w:ascii="Arial" w:cs="Arial" w:eastAsia="Arial" w:hAnsi="Arial"/>
          <w:sz w:val="13"/>
          <w:szCs w:val="13"/>
          <w:color w:val="auto"/>
        </w:rPr>
        <w:t>include the proceeds of Equity Interests of Parent sold to a Restricted Subsidiary or of Disqualified Stock or (B) amend or modify the terms or provisions of any Junior Financing to the extent such amendments or modifications would not be permitted with respect to any Refinancing Indebtedness thereof pursuant to Section 7.02(b)(xii) and the proviso to the preceding clause (A)(ii)."</w:t>
      </w:r>
    </w:p>
    <w:p>
      <w:pPr>
        <w:spacing w:after="0" w:line="139" w:lineRule="exact"/>
        <w:rPr>
          <w:sz w:val="20"/>
          <w:szCs w:val="20"/>
          <w:color w:val="auto"/>
        </w:rPr>
      </w:pPr>
    </w:p>
    <w:p>
      <w:pPr>
        <w:ind w:left="525" w:hanging="525"/>
        <w:spacing w:after="0"/>
        <w:tabs>
          <w:tab w:leader="none" w:pos="525" w:val="left"/>
        </w:tabs>
        <w:numPr>
          <w:ilvl w:val="0"/>
          <w:numId w:val="31"/>
        </w:numPr>
        <w:rPr>
          <w:rFonts w:ascii="Arial" w:cs="Arial" w:eastAsia="Arial" w:hAnsi="Arial"/>
          <w:sz w:val="13"/>
          <w:szCs w:val="13"/>
          <w:color w:val="auto"/>
        </w:rPr>
      </w:pPr>
      <w:r>
        <w:rPr>
          <w:rFonts w:ascii="Arial" w:cs="Arial" w:eastAsia="Arial" w:hAnsi="Arial"/>
          <w:sz w:val="13"/>
          <w:szCs w:val="13"/>
          <w:u w:val="single" w:color="auto"/>
          <w:color w:val="auto"/>
        </w:rPr>
        <w:t>Amendments to the Security Agreement</w:t>
      </w:r>
      <w:r>
        <w:rPr>
          <w:rFonts w:ascii="Arial" w:cs="Arial" w:eastAsia="Arial" w:hAnsi="Arial"/>
          <w:sz w:val="13"/>
          <w:szCs w:val="13"/>
          <w:color w:val="auto"/>
        </w:rPr>
        <w:t>. The Security Agreement is, effective as of the Effective Date (as defined below), hereby amended as follows:</w:t>
      </w:r>
    </w:p>
    <w:p>
      <w:pPr>
        <w:spacing w:after="0" w:line="166" w:lineRule="exact"/>
        <w:rPr>
          <w:sz w:val="20"/>
          <w:szCs w:val="20"/>
          <w:color w:val="auto"/>
        </w:rPr>
      </w:pPr>
    </w:p>
    <w:p>
      <w:pPr>
        <w:jc w:val="both"/>
        <w:ind w:left="5" w:right="60" w:firstLine="815"/>
        <w:spacing w:after="0" w:line="314" w:lineRule="auto"/>
        <w:rPr>
          <w:sz w:val="20"/>
          <w:szCs w:val="20"/>
          <w:color w:val="auto"/>
        </w:rPr>
      </w:pPr>
      <w:r>
        <w:rPr>
          <w:rFonts w:ascii="Arial" w:cs="Arial" w:eastAsia="Arial" w:hAnsi="Arial"/>
          <w:sz w:val="12"/>
          <w:szCs w:val="12"/>
          <w:color w:val="auto"/>
        </w:rPr>
        <w:t>(a) The definition of “Excluded Assets” in Section 1.02 of the Security Agreement is hereby amended by (x) adding “subject to the definition of “Collateral” in the Credit Agreement” after the term “means” and before “(a)” and (y) deleting clauses (j) and (l) of the definition of “Excluded Assets” in their entirety and replacing such clauses with “[reserved]”.</w:t>
      </w:r>
    </w:p>
    <w:p>
      <w:pPr>
        <w:spacing w:after="0" w:line="89" w:lineRule="exact"/>
        <w:rPr>
          <w:sz w:val="20"/>
          <w:szCs w:val="20"/>
          <w:color w:val="auto"/>
        </w:rPr>
      </w:pPr>
    </w:p>
    <w:p>
      <w:pPr>
        <w:ind w:left="1405" w:hanging="590"/>
        <w:spacing w:after="0"/>
        <w:tabs>
          <w:tab w:leader="none" w:pos="1405" w:val="left"/>
        </w:tabs>
        <w:numPr>
          <w:ilvl w:val="0"/>
          <w:numId w:val="32"/>
        </w:numPr>
        <w:rPr>
          <w:rFonts w:ascii="Arial" w:cs="Arial" w:eastAsia="Arial" w:hAnsi="Arial"/>
          <w:sz w:val="13"/>
          <w:szCs w:val="13"/>
          <w:color w:val="auto"/>
        </w:rPr>
      </w:pPr>
      <w:r>
        <w:rPr>
          <w:rFonts w:ascii="Arial" w:cs="Arial" w:eastAsia="Arial" w:hAnsi="Arial"/>
          <w:sz w:val="13"/>
          <w:szCs w:val="13"/>
          <w:color w:val="auto"/>
        </w:rPr>
        <w:t>Section 1.02 of the Security Agreement is hereby amended by adding the following definitions in appropriate alphabetical order:</w:t>
      </w:r>
    </w:p>
    <w:p>
      <w:pPr>
        <w:spacing w:after="0" w:line="148" w:lineRule="exact"/>
        <w:rPr>
          <w:sz w:val="20"/>
          <w:szCs w:val="20"/>
          <w:color w:val="auto"/>
        </w:rPr>
      </w:pPr>
    </w:p>
    <w:p>
      <w:pPr>
        <w:ind w:left="885"/>
        <w:spacing w:after="0" w:line="251" w:lineRule="auto"/>
        <w:rPr>
          <w:sz w:val="20"/>
          <w:szCs w:val="20"/>
          <w:color w:val="auto"/>
        </w:rPr>
      </w:pPr>
      <w:r>
        <w:rPr>
          <w:rFonts w:ascii="Arial" w:cs="Arial" w:eastAsia="Arial" w:hAnsi="Arial"/>
          <w:sz w:val="13"/>
          <w:szCs w:val="13"/>
          <w:color w:val="auto"/>
        </w:rPr>
        <w:t>“</w:t>
      </w:r>
      <w:r>
        <w:rPr>
          <w:rFonts w:ascii="Arial" w:cs="Arial" w:eastAsia="Arial" w:hAnsi="Arial"/>
          <w:sz w:val="13"/>
          <w:szCs w:val="13"/>
          <w:u w:val="single" w:color="auto"/>
          <w:color w:val="auto"/>
        </w:rPr>
        <w:t>Excluded Deposit Account</w:t>
      </w:r>
      <w:r>
        <w:rPr>
          <w:rFonts w:ascii="Arial" w:cs="Arial" w:eastAsia="Arial" w:hAnsi="Arial"/>
          <w:sz w:val="13"/>
          <w:szCs w:val="13"/>
          <w:color w:val="auto"/>
        </w:rPr>
        <w:t>” shall mean a segregated Deposit Account that holds solely (a) funds used or to be used for payroll and payroll taxes and other employee benefit payments to or for the benefit of the employees of the Borrowers sand the Guarantors, (b) funds used or to be used to pay any taxes required to be collected, remitted or withheld during the current period, (c) funds which the Borrowers or a Guarantor holds in escrow or as a fiduciary for the benefit of a third person that is not the Borrowers, Holdings, Parent or a Subsidiary, (d) any deposit account that is a zero-balance disbursement account and (e) any Deposit Account holding less than an average daily balance of $2,000,000 with all such Deposit Accounts excluded pursuant to this clause (e) not to exceed an aggregate average daily balance of $25,000,000. For the avoidance of doubt, no Rent Account shall constitute an Excluded Deposit Account.”</w:t>
      </w:r>
    </w:p>
    <w:p>
      <w:pPr>
        <w:spacing w:after="0" w:line="125" w:lineRule="exact"/>
        <w:rPr>
          <w:sz w:val="20"/>
          <w:szCs w:val="20"/>
          <w:color w:val="auto"/>
        </w:rPr>
      </w:pPr>
    </w:p>
    <w:p>
      <w:pPr>
        <w:ind w:left="1385" w:hanging="570"/>
        <w:spacing w:after="0"/>
        <w:tabs>
          <w:tab w:leader="none" w:pos="1385" w:val="left"/>
        </w:tabs>
        <w:numPr>
          <w:ilvl w:val="0"/>
          <w:numId w:val="33"/>
        </w:numPr>
        <w:rPr>
          <w:rFonts w:ascii="Arial" w:cs="Arial" w:eastAsia="Arial" w:hAnsi="Arial"/>
          <w:sz w:val="13"/>
          <w:szCs w:val="13"/>
          <w:color w:val="auto"/>
        </w:rPr>
      </w:pPr>
      <w:r>
        <w:rPr>
          <w:rFonts w:ascii="Arial" w:cs="Arial" w:eastAsia="Arial" w:hAnsi="Arial"/>
          <w:sz w:val="13"/>
          <w:szCs w:val="13"/>
          <w:color w:val="auto"/>
        </w:rPr>
        <w:t>Section 3.01 of the Security Agreement is hereby amended by deleting clause (f) thereof and replacing such clause (f) with the following:</w:t>
      </w:r>
    </w:p>
    <w:p>
      <w:pPr>
        <w:spacing w:after="0" w:line="148" w:lineRule="exact"/>
        <w:rPr>
          <w:sz w:val="20"/>
          <w:szCs w:val="20"/>
          <w:color w:val="auto"/>
        </w:rPr>
      </w:pPr>
    </w:p>
    <w:p>
      <w:pPr>
        <w:ind w:left="885" w:right="20" w:firstLine="747"/>
        <w:spacing w:after="0" w:line="272" w:lineRule="auto"/>
        <w:rPr>
          <w:sz w:val="20"/>
          <w:szCs w:val="20"/>
          <w:color w:val="auto"/>
        </w:rPr>
      </w:pPr>
      <w:r>
        <w:rPr>
          <w:rFonts w:ascii="Arial" w:cs="Arial" w:eastAsia="Arial" w:hAnsi="Arial"/>
          <w:sz w:val="12"/>
          <w:szCs w:val="12"/>
          <w:color w:val="auto"/>
        </w:rPr>
        <w:t>“(f) Notwithstanding anything to the contrary in the Loan Documents, none of the Grantors shall be required to perfect the Security Interests granted by this Security Agreement (including Security Interests in Investment Property and Fixtures) by any means other than by (A) filings pursuant to the Uniform Commercial Code of the relevant State(s), (B) filings in USPTO or the USCO, as applicable, with respect to Intellectual Property as expressly required elsewhere herein, (C) delivery to the Collateral Agent to be held in its possession of all Collateral consisting of Instruments or Pledged Securities as expressly required elsewhere herein or in the Credit Agreement, (D) Fixture filings in the applicable real estate records with respect to any Fixtures associated with Material Real Property that is subject to a Mortgage and (E) with respect to any Deposit Account (other than any Excluded Deposit Account), entry into Deposit Account Control Agreements. No Grantor shall be required (i) to establish Collateral Agent’s “control” over any Electronic Chattel Paper; (ii) to establish the Agent’s “control” (within the meaning of Section 16 of the Uniform Electronic Transactions Act as in effect in the applicable jurisdiction (the “UETA”)) over any “transferable records” (as defined in UETA), (iii) to take any action (other than the actions listed in clauses (A) and (C) of the preceding sentence) with respect to any assets located outside of the United States or (iv) to perfect in any assets subject to a certificate of title statute.”</w:t>
      </w:r>
    </w:p>
    <w:p>
      <w:pPr>
        <w:spacing w:after="0" w:line="115" w:lineRule="exact"/>
        <w:rPr>
          <w:sz w:val="20"/>
          <w:szCs w:val="20"/>
          <w:color w:val="auto"/>
        </w:rPr>
      </w:pPr>
    </w:p>
    <w:p>
      <w:pPr>
        <w:ind w:left="4785"/>
        <w:spacing w:after="0"/>
        <w:rPr>
          <w:sz w:val="20"/>
          <w:szCs w:val="20"/>
          <w:color w:val="auto"/>
        </w:rPr>
      </w:pPr>
      <w:r>
        <w:rPr>
          <w:rFonts w:ascii="Arial" w:cs="Arial" w:eastAsia="Arial" w:hAnsi="Arial"/>
          <w:sz w:val="13"/>
          <w:szCs w:val="13"/>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-572770</wp:posOffset>
            </wp:positionH>
            <wp:positionV relativeFrom="paragraph">
              <wp:posOffset>167640</wp:posOffset>
            </wp:positionV>
            <wp:extent cx="7329170" cy="3683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565"/>
          </w:cols>
          <w:pgMar w:left="1095" w:top="291" w:right="239" w:bottom="1440" w:gutter="0" w:footer="0" w:header="0"/>
        </w:sectPr>
      </w:pPr>
    </w:p>
    <w:bookmarkStart w:id="130" w:name="page131"/>
    <w:bookmarkEnd w:id="130"/>
    <w:p>
      <w:pPr>
        <w:ind w:left="1740" w:right="1260" w:hanging="770"/>
        <w:spacing w:after="0" w:line="481" w:lineRule="auto"/>
        <w:tabs>
          <w:tab w:leader="none" w:pos="1558" w:val="left"/>
        </w:tabs>
        <w:numPr>
          <w:ilvl w:val="0"/>
          <w:numId w:val="34"/>
        </w:numPr>
        <w:rPr>
          <w:rFonts w:ascii="Arial" w:cs="Arial" w:eastAsia="Arial" w:hAnsi="Arial"/>
          <w:sz w:val="13"/>
          <w:szCs w:val="13"/>
          <w:color w:val="auto"/>
        </w:rPr>
      </w:pPr>
      <w:r>
        <w:rPr>
          <w:rFonts w:ascii="Arial" w:cs="Arial" w:eastAsia="Arial" w:hAnsi="Arial"/>
          <w:sz w:val="13"/>
          <w:szCs w:val="13"/>
          <w:color w:val="auto"/>
        </w:rPr>
        <w:t xml:space="preserve">Section 3.05 of the Security Agreement is hereby amended by deleting such Section in its entirety and replacing such Section 3.05 with the following: Section 3.05. </w:t>
      </w:r>
      <w:r>
        <w:rPr>
          <w:rFonts w:ascii="Arial" w:cs="Arial" w:eastAsia="Arial" w:hAnsi="Arial"/>
          <w:sz w:val="13"/>
          <w:szCs w:val="13"/>
          <w:i w:val="1"/>
          <w:iCs w:val="1"/>
          <w:color w:val="auto"/>
        </w:rPr>
        <w:t>Rents; Controlled Deposit Accounts.</w:t>
      </w:r>
      <w:r>
        <w:rPr>
          <w:rFonts w:ascii="Arial" w:cs="Arial" w:eastAsia="Arial" w:hAnsi="Arial"/>
          <w:sz w:val="13"/>
          <w:szCs w:val="13"/>
          <w:color w:val="auto"/>
        </w:rPr>
        <w:t xml:space="preserve"> Each Grantor represents, warrants and covenants as follows:</w:t>
      </w:r>
    </w:p>
    <w:p>
      <w:pPr>
        <w:sectPr>
          <w:pgSz w:w="11900" w:h="16838" w:orient="portrait"/>
          <w:cols w:equalWidth="0" w:num="1">
            <w:col w:w="10740"/>
          </w:cols>
          <w:pgMar w:left="940" w:top="291" w:right="219" w:bottom="1440" w:gutter="0" w:footer="0" w:header="0"/>
        </w:sectPr>
      </w:pPr>
    </w:p>
    <w:p>
      <w:pPr>
        <w:ind w:left="220"/>
        <w:spacing w:after="0"/>
        <w:rPr>
          <w:sz w:val="20"/>
          <w:szCs w:val="20"/>
          <w:color w:val="auto"/>
        </w:rPr>
      </w:pPr>
      <w:r>
        <w:rPr>
          <w:rFonts w:ascii="Arial" w:cs="Arial" w:eastAsia="Arial" w:hAnsi="Arial"/>
          <w:sz w:val="13"/>
          <w:szCs w:val="13"/>
          <w:color w:val="auto"/>
        </w:rPr>
        <w:t>(a)</w:t>
      </w:r>
    </w:p>
    <w:p>
      <w:pPr>
        <w:spacing w:after="0" w:line="20" w:lineRule="exact"/>
        <w:rPr>
          <w:sz w:val="20"/>
          <w:szCs w:val="20"/>
          <w:color w:val="auto"/>
        </w:rPr>
      </w:pPr>
      <w:r>
        <w:rPr>
          <w:sz w:val="20"/>
          <w:szCs w:val="20"/>
          <w:color w:val="auto"/>
        </w:rPr>
        <w:br w:type="column"/>
      </w:r>
    </w:p>
    <w:p>
      <w:pPr>
        <w:ind w:right="160" w:firstLine="747"/>
        <w:spacing w:after="0" w:line="271" w:lineRule="auto"/>
        <w:rPr>
          <w:sz w:val="20"/>
          <w:szCs w:val="20"/>
          <w:color w:val="auto"/>
        </w:rPr>
      </w:pPr>
      <w:r>
        <w:rPr>
          <w:rFonts w:ascii="Arial" w:cs="Arial" w:eastAsia="Arial" w:hAnsi="Arial"/>
          <w:sz w:val="13"/>
          <w:szCs w:val="13"/>
          <w:color w:val="auto"/>
        </w:rPr>
        <w:t>As of the Amendment No. 4 and Limited Waiver Effective Date, no Grantor has any Rent Accounts other than Deposit Account listed in the Perfection Certificate that was delivered by the Grantors on the Closing Date, and such Rent Account is a Controlled Deposit Account.</w:t>
      </w:r>
    </w:p>
    <w:p>
      <w:pPr>
        <w:spacing w:after="0" w:line="109" w:lineRule="exact"/>
        <w:rPr>
          <w:sz w:val="20"/>
          <w:szCs w:val="20"/>
          <w:color w:val="auto"/>
        </w:rPr>
      </w:pPr>
    </w:p>
    <w:p>
      <w:pPr>
        <w:sectPr>
          <w:pgSz w:w="11900" w:h="16838" w:orient="portrait"/>
          <w:cols w:equalWidth="0" w:num="2">
            <w:col w:w="380" w:space="660"/>
            <w:col w:w="9700"/>
          </w:cols>
          <w:pgMar w:left="940" w:top="291" w:right="219" w:bottom="1440" w:gutter="0" w:footer="0" w:header="0"/>
          <w:type w:val="continuous"/>
        </w:sectPr>
      </w:pPr>
    </w:p>
    <w:p>
      <w:pPr>
        <w:ind w:left="220"/>
        <w:spacing w:after="0"/>
        <w:rPr>
          <w:sz w:val="20"/>
          <w:szCs w:val="20"/>
          <w:color w:val="auto"/>
        </w:rPr>
      </w:pPr>
      <w:r>
        <w:rPr>
          <w:rFonts w:ascii="Arial" w:cs="Arial" w:eastAsia="Arial" w:hAnsi="Arial"/>
          <w:sz w:val="14"/>
          <w:szCs w:val="14"/>
          <w:color w:val="auto"/>
        </w:rPr>
        <w:t>(b)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2"/>
          <w:szCs w:val="12"/>
          <w:color w:val="auto"/>
        </w:rPr>
        <w:t>At all times, all Rents will be deposited, upon or promptly after the receipt thereof, in one or more Controlled Deposit Accounts.</w:t>
      </w:r>
    </w:p>
    <w:p>
      <w:pPr>
        <w:spacing w:after="0" w:line="164" w:lineRule="exact"/>
        <w:rPr>
          <w:sz w:val="20"/>
          <w:szCs w:val="20"/>
          <w:color w:val="auto"/>
        </w:rPr>
      </w:pPr>
    </w:p>
    <w:p>
      <w:pPr>
        <w:sectPr>
          <w:pgSz w:w="11900" w:h="16838" w:orient="portrait"/>
          <w:cols w:equalWidth="0" w:num="2">
            <w:col w:w="1060" w:space="720"/>
            <w:col w:w="8960"/>
          </w:cols>
          <w:pgMar w:left="940" w:top="291" w:right="219" w:bottom="1440" w:gutter="0" w:footer="0" w:header="0"/>
          <w:type w:val="continuous"/>
        </w:sectPr>
      </w:pPr>
    </w:p>
    <w:p>
      <w:pPr>
        <w:ind w:left="220"/>
        <w:spacing w:after="0"/>
        <w:rPr>
          <w:sz w:val="20"/>
          <w:szCs w:val="20"/>
          <w:color w:val="auto"/>
        </w:rPr>
      </w:pPr>
      <w:r>
        <w:rPr>
          <w:rFonts w:ascii="Arial" w:cs="Arial" w:eastAsia="Arial" w:hAnsi="Arial"/>
          <w:sz w:val="13"/>
          <w:szCs w:val="13"/>
          <w:color w:val="auto"/>
        </w:rPr>
        <w:t>(c)</w:t>
      </w:r>
    </w:p>
    <w:p>
      <w:pPr>
        <w:spacing w:after="0" w:line="20" w:lineRule="exact"/>
        <w:rPr>
          <w:sz w:val="20"/>
          <w:szCs w:val="20"/>
          <w:color w:val="auto"/>
        </w:rPr>
      </w:pPr>
      <w:r>
        <w:rPr>
          <w:sz w:val="20"/>
          <w:szCs w:val="20"/>
          <w:color w:val="auto"/>
        </w:rPr>
        <w:br w:type="column"/>
      </w:r>
    </w:p>
    <w:p>
      <w:pPr>
        <w:ind w:firstLine="747"/>
        <w:spacing w:after="0" w:line="249" w:lineRule="auto"/>
        <w:rPr>
          <w:sz w:val="20"/>
          <w:szCs w:val="20"/>
          <w:color w:val="auto"/>
        </w:rPr>
      </w:pPr>
      <w:r>
        <w:rPr>
          <w:rFonts w:ascii="Arial" w:cs="Arial" w:eastAsia="Arial" w:hAnsi="Arial"/>
          <w:sz w:val="13"/>
          <w:szCs w:val="13"/>
          <w:color w:val="auto"/>
        </w:rPr>
        <w:t>To the extent not constituting a Controlled Deposit Account on the Amendment No. 4 and Limited Waiver Effective Date, each Grantor shall promptly, and in any event, within 15 days (or such later date as the Collateral Agent may agree) of the Amendment No. 4 and Limited Waiver Effective Date (or such later date as the Collateral Agent may agree) deliver to the Collateral Agent a duly executed Deposit Account Control Agreement with respect to each Deposit Account (other than an Excluded Deposit Account) maintained by such Grantor as of the Amendment No. 4 and Limited Waiver Effective Date. In the event a Grantor shall hereafter establish (including by acquisition) any Deposit Account (other than an Excluded Deposit Account) it shall deliver a duly executed Deposit Account Control Agreement to the Collateral Agent with respect to such Deposit Account, promptly and in any event within 15 days (or such later date as the Collateral Agent may agree) of the establishment or acquisition of such Deposit Account. In respect of each Controlled Deposit Account, the Depositary Bank’s jurisdiction (determined as provided in UCC Section 9-304) will at all times be a jurisdiction in which Article 9 of the Uniform Commercial Code is in effect.</w:t>
      </w:r>
    </w:p>
    <w:p>
      <w:pPr>
        <w:spacing w:after="0" w:line="125" w:lineRule="exact"/>
        <w:rPr>
          <w:sz w:val="20"/>
          <w:szCs w:val="20"/>
          <w:color w:val="auto"/>
        </w:rPr>
      </w:pPr>
    </w:p>
    <w:p>
      <w:pPr>
        <w:sectPr>
          <w:pgSz w:w="11900" w:h="16838" w:orient="portrait"/>
          <w:cols w:equalWidth="0" w:num="2">
            <w:col w:w="380" w:space="660"/>
            <w:col w:w="9700"/>
          </w:cols>
          <w:pgMar w:left="940" w:top="291" w:right="219" w:bottom="1440" w:gutter="0" w:footer="0" w:header="0"/>
          <w:type w:val="continuous"/>
        </w:sectPr>
      </w:pPr>
    </w:p>
    <w:p>
      <w:pPr>
        <w:ind w:left="220"/>
        <w:spacing w:after="0"/>
        <w:rPr>
          <w:sz w:val="20"/>
          <w:szCs w:val="20"/>
          <w:color w:val="auto"/>
        </w:rPr>
      </w:pPr>
      <w:r>
        <w:rPr>
          <w:rFonts w:ascii="Arial" w:cs="Arial" w:eastAsia="Arial" w:hAnsi="Arial"/>
          <w:sz w:val="14"/>
          <w:szCs w:val="14"/>
          <w:color w:val="auto"/>
        </w:rPr>
        <w:t>(d)</w:t>
      </w:r>
    </w:p>
    <w:p>
      <w:pPr>
        <w:spacing w:after="0" w:line="20" w:lineRule="exact"/>
        <w:rPr>
          <w:sz w:val="20"/>
          <w:szCs w:val="20"/>
          <w:color w:val="auto"/>
        </w:rPr>
      </w:pPr>
      <w:r>
        <w:rPr>
          <w:sz w:val="20"/>
          <w:szCs w:val="20"/>
          <w:color w:val="auto"/>
        </w:rPr>
        <w:br w:type="column"/>
      </w:r>
    </w:p>
    <w:p>
      <w:pPr>
        <w:ind w:right="180" w:firstLine="747"/>
        <w:spacing w:after="0" w:line="258" w:lineRule="auto"/>
        <w:rPr>
          <w:sz w:val="20"/>
          <w:szCs w:val="20"/>
          <w:color w:val="auto"/>
        </w:rPr>
      </w:pPr>
      <w:r>
        <w:rPr>
          <w:rFonts w:ascii="Arial" w:cs="Arial" w:eastAsia="Arial" w:hAnsi="Arial"/>
          <w:sz w:val="13"/>
          <w:szCs w:val="13"/>
          <w:color w:val="auto"/>
        </w:rPr>
        <w:t>So long as the Collateral Agent has Control of a Controlled Deposit Account, the Security Interest in such Controlled Deposit Account will be perfected, subject to no prior Liens or rights of others (except the Depositary Bank’s right to deduct its normal operating charges and any uncollected funds previously credited thereto) and other non-consensual liens arising as a matter of law.</w:t>
      </w:r>
    </w:p>
    <w:p>
      <w:pPr>
        <w:spacing w:after="0" w:line="121" w:lineRule="exact"/>
        <w:rPr>
          <w:sz w:val="20"/>
          <w:szCs w:val="20"/>
          <w:color w:val="auto"/>
        </w:rPr>
      </w:pPr>
    </w:p>
    <w:p>
      <w:pPr>
        <w:sectPr>
          <w:pgSz w:w="11900" w:h="16838" w:orient="portrait"/>
          <w:cols w:equalWidth="0" w:num="2">
            <w:col w:w="400" w:space="640"/>
            <w:col w:w="9700"/>
          </w:cols>
          <w:pgMar w:left="940" w:top="291" w:right="219" w:bottom="1440" w:gutter="0" w:footer="0" w:header="0"/>
          <w:type w:val="continuous"/>
        </w:sectPr>
      </w:pPr>
    </w:p>
    <w:p>
      <w:pPr>
        <w:ind w:left="540" w:hanging="532"/>
        <w:spacing w:after="0"/>
        <w:tabs>
          <w:tab w:leader="none" w:pos="540" w:val="left"/>
        </w:tabs>
        <w:numPr>
          <w:ilvl w:val="0"/>
          <w:numId w:val="35"/>
        </w:numPr>
        <w:rPr>
          <w:rFonts w:ascii="Arial" w:cs="Arial" w:eastAsia="Arial" w:hAnsi="Arial"/>
          <w:sz w:val="13"/>
          <w:szCs w:val="13"/>
          <w:color w:val="auto"/>
        </w:rPr>
      </w:pPr>
      <w:r>
        <w:rPr>
          <w:rFonts w:ascii="Arial" w:cs="Arial" w:eastAsia="Arial" w:hAnsi="Arial"/>
          <w:sz w:val="13"/>
          <w:szCs w:val="13"/>
          <w:u w:val="single" w:color="auto"/>
          <w:color w:val="auto"/>
        </w:rPr>
        <w:t>Conditions Precedent</w:t>
      </w:r>
      <w:r>
        <w:rPr>
          <w:rFonts w:ascii="Arial" w:cs="Arial" w:eastAsia="Arial" w:hAnsi="Arial"/>
          <w:sz w:val="13"/>
          <w:szCs w:val="13"/>
          <w:color w:val="auto"/>
        </w:rPr>
        <w:t>. This Amendment No. 4 and Limited Waiver shall become effective on the date when the following conditions are met (the “</w:t>
      </w:r>
      <w:r>
        <w:rPr>
          <w:rFonts w:ascii="Arial" w:cs="Arial" w:eastAsia="Arial" w:hAnsi="Arial"/>
          <w:sz w:val="13"/>
          <w:szCs w:val="13"/>
          <w:u w:val="single" w:color="auto"/>
          <w:color w:val="auto"/>
        </w:rPr>
        <w:t>Effective Date</w:t>
      </w:r>
      <w:r>
        <w:rPr>
          <w:rFonts w:ascii="Arial" w:cs="Arial" w:eastAsia="Arial" w:hAnsi="Arial"/>
          <w:sz w:val="13"/>
          <w:szCs w:val="13"/>
          <w:color w:val="auto"/>
        </w:rPr>
        <w:t>”):</w:t>
      </w:r>
    </w:p>
    <w:p>
      <w:pPr>
        <w:spacing w:after="0" w:line="148" w:lineRule="exact"/>
        <w:rPr>
          <w:sz w:val="20"/>
          <w:szCs w:val="20"/>
          <w:color w:val="auto"/>
        </w:rPr>
      </w:pPr>
    </w:p>
    <w:p>
      <w:pPr>
        <w:ind w:right="60" w:firstLine="1240"/>
        <w:spacing w:after="0" w:line="271" w:lineRule="auto"/>
        <w:rPr>
          <w:sz w:val="20"/>
          <w:szCs w:val="20"/>
          <w:color w:val="auto"/>
        </w:rPr>
      </w:pPr>
      <w:r>
        <w:rPr>
          <w:rFonts w:ascii="Arial" w:cs="Arial" w:eastAsia="Arial" w:hAnsi="Arial"/>
          <w:sz w:val="13"/>
          <w:szCs w:val="13"/>
          <w:color w:val="auto"/>
        </w:rPr>
        <w:t>(i) the Administrative Agent shall have received a counterpart signature page of this Amendment No. 4 and Limited Waiver duly executed by each of the Parent Guarantor, the Borrowers, the Guarantors, the Administrative Agent and Lenders constituting the Required Lenders;</w:t>
      </w:r>
    </w:p>
    <w:p>
      <w:pPr>
        <w:spacing w:after="0" w:line="113" w:lineRule="exact"/>
        <w:rPr>
          <w:sz w:val="20"/>
          <w:szCs w:val="20"/>
          <w:color w:val="auto"/>
        </w:rPr>
      </w:pPr>
    </w:p>
    <w:p>
      <w:pPr>
        <w:ind w:right="120" w:firstLine="1248"/>
        <w:spacing w:after="0" w:line="271" w:lineRule="auto"/>
        <w:tabs>
          <w:tab w:leader="none" w:pos="2554" w:val="left"/>
        </w:tabs>
        <w:numPr>
          <w:ilvl w:val="0"/>
          <w:numId w:val="36"/>
        </w:numPr>
        <w:rPr>
          <w:rFonts w:ascii="Arial" w:cs="Arial" w:eastAsia="Arial" w:hAnsi="Arial"/>
          <w:sz w:val="13"/>
          <w:szCs w:val="13"/>
          <w:color w:val="auto"/>
        </w:rPr>
      </w:pPr>
      <w:r>
        <w:rPr>
          <w:rFonts w:ascii="Arial" w:cs="Arial" w:eastAsia="Arial" w:hAnsi="Arial"/>
          <w:sz w:val="13"/>
          <w:szCs w:val="13"/>
          <w:color w:val="auto"/>
        </w:rPr>
        <w:t>the Borrowers shall have paid to the Administrative Agent, for the account of each Lender that has delivered a counterpart to this Amendment No. 4 and Limited Waiver, a consent fee equal to 1.25% of the aggregate principal amount of the Commitments and outstanding Loans held by such Lender;</w:t>
      </w:r>
    </w:p>
    <w:p>
      <w:pPr>
        <w:spacing w:after="0" w:line="112" w:lineRule="exact"/>
        <w:rPr>
          <w:rFonts w:ascii="Arial" w:cs="Arial" w:eastAsia="Arial" w:hAnsi="Arial"/>
          <w:sz w:val="13"/>
          <w:szCs w:val="13"/>
          <w:color w:val="auto"/>
        </w:rPr>
      </w:pPr>
    </w:p>
    <w:p>
      <w:pPr>
        <w:ind w:left="2600" w:hanging="1352"/>
        <w:spacing w:after="0"/>
        <w:tabs>
          <w:tab w:leader="none" w:pos="2600" w:val="left"/>
        </w:tabs>
        <w:numPr>
          <w:ilvl w:val="0"/>
          <w:numId w:val="36"/>
        </w:numPr>
        <w:rPr>
          <w:rFonts w:ascii="Arial" w:cs="Arial" w:eastAsia="Arial" w:hAnsi="Arial"/>
          <w:sz w:val="11"/>
          <w:szCs w:val="11"/>
          <w:color w:val="auto"/>
        </w:rPr>
      </w:pPr>
      <w:r>
        <w:rPr>
          <w:rFonts w:ascii="Arial" w:cs="Arial" w:eastAsia="Arial" w:hAnsi="Arial"/>
          <w:sz w:val="11"/>
          <w:szCs w:val="11"/>
          <w:color w:val="auto"/>
        </w:rPr>
        <w:t>the Administrative Agent shall have received such documents and certificates as the Administrative Agent or its counsel may reasonably request relating</w:t>
      </w:r>
    </w:p>
    <w:p>
      <w:pPr>
        <w:spacing w:after="0" w:line="36" w:lineRule="exact"/>
        <w:rPr>
          <w:rFonts w:ascii="Arial" w:cs="Arial" w:eastAsia="Arial" w:hAnsi="Arial"/>
          <w:sz w:val="11"/>
          <w:szCs w:val="11"/>
          <w:color w:val="auto"/>
        </w:rPr>
      </w:pPr>
    </w:p>
    <w:p>
      <w:pPr>
        <w:spacing w:after="0"/>
        <w:rPr>
          <w:rFonts w:ascii="Arial" w:cs="Arial" w:eastAsia="Arial" w:hAnsi="Arial"/>
          <w:sz w:val="11"/>
          <w:szCs w:val="11"/>
          <w:color w:val="auto"/>
        </w:rPr>
      </w:pPr>
      <w:r>
        <w:rPr>
          <w:rFonts w:ascii="Arial" w:cs="Arial" w:eastAsia="Arial" w:hAnsi="Arial"/>
          <w:sz w:val="13"/>
          <w:szCs w:val="13"/>
          <w:color w:val="auto"/>
        </w:rPr>
        <w:t>to the organization,</w:t>
      </w:r>
    </w:p>
    <w:p>
      <w:pPr>
        <w:spacing w:after="0" w:line="138" w:lineRule="exact"/>
        <w:rPr>
          <w:sz w:val="20"/>
          <w:szCs w:val="20"/>
          <w:color w:val="auto"/>
        </w:rPr>
      </w:pPr>
    </w:p>
    <w:p>
      <w:pPr>
        <w:ind w:left="4940"/>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-474345</wp:posOffset>
            </wp:positionH>
            <wp:positionV relativeFrom="paragraph">
              <wp:posOffset>167640</wp:posOffset>
            </wp:positionV>
            <wp:extent cx="7329170" cy="3683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740"/>
          </w:cols>
          <w:pgMar w:left="940" w:top="291" w:right="219" w:bottom="1440" w:gutter="0" w:footer="0" w:header="0"/>
          <w:type w:val="continuous"/>
        </w:sectPr>
      </w:pPr>
    </w:p>
    <w:bookmarkStart w:id="131" w:name="page132"/>
    <w:bookmarkEnd w:id="131"/>
    <w:p>
      <w:pPr>
        <w:ind w:right="220"/>
        <w:spacing w:after="0" w:line="314" w:lineRule="auto"/>
        <w:rPr>
          <w:sz w:val="20"/>
          <w:szCs w:val="20"/>
          <w:color w:val="auto"/>
        </w:rPr>
      </w:pPr>
      <w:r>
        <w:rPr>
          <w:rFonts w:ascii="Arial" w:cs="Arial" w:eastAsia="Arial" w:hAnsi="Arial"/>
          <w:sz w:val="12"/>
          <w:szCs w:val="12"/>
          <w:color w:val="auto"/>
        </w:rPr>
        <w:t>existence and good standing of each Loan Party, the authorization of execution, delivery and performance of this Amendment No. 4 and Limited Waiver, the performance of the Credit Agreement and each other applicable Loan Document and any other legal matters relating to the Loan Documents, all in form and substance reasonably satisfactory to the Administrative Agent and its counsel;</w:t>
      </w:r>
    </w:p>
    <w:p>
      <w:pPr>
        <w:spacing w:after="0" w:line="89" w:lineRule="exact"/>
        <w:rPr>
          <w:sz w:val="20"/>
          <w:szCs w:val="20"/>
          <w:color w:val="auto"/>
        </w:rPr>
      </w:pPr>
    </w:p>
    <w:p>
      <w:pPr>
        <w:ind w:left="1240"/>
        <w:spacing w:after="0"/>
        <w:rPr>
          <w:sz w:val="20"/>
          <w:szCs w:val="20"/>
          <w:color w:val="auto"/>
        </w:rPr>
      </w:pPr>
      <w:r>
        <w:rPr>
          <w:rFonts w:ascii="Arial" w:cs="Arial" w:eastAsia="Arial" w:hAnsi="Arial"/>
          <w:sz w:val="12"/>
          <w:szCs w:val="12"/>
          <w:color w:val="auto"/>
        </w:rPr>
        <w:t>(iv) the Loan Parties shall have provided to the Administrative Agent an updated Perfection Certificate in form and substance reasonably satisfactory to the Administrative Agent</w:t>
      </w:r>
    </w:p>
    <w:p>
      <w:pPr>
        <w:spacing w:after="0" w:line="25" w:lineRule="exact"/>
        <w:rPr>
          <w:sz w:val="20"/>
          <w:szCs w:val="20"/>
          <w:color w:val="auto"/>
        </w:rPr>
      </w:pPr>
    </w:p>
    <w:p>
      <w:pPr>
        <w:spacing w:after="0"/>
        <w:rPr>
          <w:sz w:val="20"/>
          <w:szCs w:val="20"/>
          <w:color w:val="auto"/>
        </w:rPr>
      </w:pPr>
      <w:r>
        <w:rPr>
          <w:rFonts w:ascii="Arial" w:cs="Arial" w:eastAsia="Arial" w:hAnsi="Arial"/>
          <w:sz w:val="13"/>
          <w:szCs w:val="13"/>
          <w:color w:val="auto"/>
        </w:rPr>
        <w:t>and its counsel;</w:t>
      </w:r>
    </w:p>
    <w:p>
      <w:pPr>
        <w:spacing w:after="0" w:line="138" w:lineRule="exact"/>
        <w:rPr>
          <w:sz w:val="20"/>
          <w:szCs w:val="20"/>
          <w:color w:val="auto"/>
        </w:rPr>
      </w:pPr>
    </w:p>
    <w:p>
      <w:pPr>
        <w:ind w:right="200" w:firstLine="1248"/>
        <w:spacing w:after="0" w:line="258" w:lineRule="auto"/>
        <w:tabs>
          <w:tab w:leader="none" w:pos="2547" w:val="left"/>
        </w:tabs>
        <w:numPr>
          <w:ilvl w:val="0"/>
          <w:numId w:val="37"/>
        </w:numPr>
        <w:rPr>
          <w:rFonts w:ascii="Arial" w:cs="Arial" w:eastAsia="Arial" w:hAnsi="Arial"/>
          <w:sz w:val="13"/>
          <w:szCs w:val="13"/>
          <w:color w:val="auto"/>
        </w:rPr>
      </w:pPr>
      <w:r>
        <w:rPr>
          <w:rFonts w:ascii="Arial" w:cs="Arial" w:eastAsia="Arial" w:hAnsi="Arial"/>
          <w:sz w:val="13"/>
          <w:szCs w:val="13"/>
          <w:color w:val="auto"/>
        </w:rPr>
        <w:t>the Administrative Agent shall have received a certificate, dated as of the Effective Date, signed by a Responsible Officer certifying that each of the Master Lease and the Recognition Agreement (and in each case any amendments thereto) are in full force and effect and attaching executed copies of the Master Lease and the Recognition Agreement (and in each case any amendments thereto); and</w:t>
      </w:r>
    </w:p>
    <w:p>
      <w:pPr>
        <w:spacing w:after="0" w:line="121" w:lineRule="exact"/>
        <w:rPr>
          <w:sz w:val="20"/>
          <w:szCs w:val="20"/>
          <w:color w:val="auto"/>
        </w:rPr>
      </w:pPr>
    </w:p>
    <w:p>
      <w:pPr>
        <w:jc w:val="both"/>
        <w:ind w:right="40" w:firstLine="1248"/>
        <w:spacing w:after="0" w:line="282" w:lineRule="auto"/>
        <w:tabs>
          <w:tab w:leader="none" w:pos="1501" w:val="left"/>
        </w:tabs>
        <w:numPr>
          <w:ilvl w:val="1"/>
          <w:numId w:val="38"/>
        </w:numPr>
        <w:rPr>
          <w:rFonts w:ascii="Arial" w:cs="Arial" w:eastAsia="Arial" w:hAnsi="Arial"/>
          <w:sz w:val="12"/>
          <w:szCs w:val="12"/>
          <w:color w:val="auto"/>
        </w:rPr>
      </w:pPr>
      <w:r>
        <w:rPr>
          <w:rFonts w:ascii="Arial" w:cs="Arial" w:eastAsia="Arial" w:hAnsi="Arial"/>
          <w:sz w:val="12"/>
          <w:szCs w:val="12"/>
          <w:color w:val="auto"/>
        </w:rPr>
        <w:t>the Borrowers shall have paid all fees and amounts due and payable pursuant to this Amendment No. 4 and Limited Waiver, including, to the extent invoiced, reimbursement or payment of documented and reasonable out-of-pocket expenses in connection with this Amendment No. 4 and Limited Waiver and related matters (including the reasonable and documented fees and expenses of Cahill Gordon &amp; Reindel LLP, counsel to the Administrative Agent and Weil, Gotshal &amp; Manges LLP, counsel to the ad-hoc group of Term Lenders), any other out-of-pocket expenses of the Administrative Agent required to be paid or reimbursed pursuant to the Credit Agreement and any fees and expense payable to the Administrative Agent or its affiliates as separately agreed.</w:t>
      </w:r>
    </w:p>
    <w:p>
      <w:pPr>
        <w:spacing w:after="0" w:line="108" w:lineRule="exact"/>
        <w:rPr>
          <w:rFonts w:ascii="Arial" w:cs="Arial" w:eastAsia="Arial" w:hAnsi="Arial"/>
          <w:sz w:val="12"/>
          <w:szCs w:val="12"/>
          <w:color w:val="auto"/>
        </w:rPr>
      </w:pPr>
    </w:p>
    <w:p>
      <w:pPr>
        <w:ind w:left="720" w:hanging="565"/>
        <w:spacing w:after="0"/>
        <w:tabs>
          <w:tab w:leader="none" w:pos="720" w:val="left"/>
        </w:tabs>
        <w:numPr>
          <w:ilvl w:val="0"/>
          <w:numId w:val="39"/>
        </w:numPr>
        <w:rPr>
          <w:rFonts w:ascii="Arial" w:cs="Arial" w:eastAsia="Arial" w:hAnsi="Arial"/>
          <w:sz w:val="13"/>
          <w:szCs w:val="13"/>
          <w:color w:val="auto"/>
        </w:rPr>
      </w:pPr>
      <w:r>
        <w:rPr>
          <w:rFonts w:ascii="Arial" w:cs="Arial" w:eastAsia="Arial" w:hAnsi="Arial"/>
          <w:sz w:val="13"/>
          <w:szCs w:val="13"/>
          <w:u w:val="single" w:color="auto"/>
          <w:color w:val="auto"/>
        </w:rPr>
        <w:t>Representations and Warranties</w:t>
      </w:r>
      <w:r>
        <w:rPr>
          <w:rFonts w:ascii="Arial" w:cs="Arial" w:eastAsia="Arial" w:hAnsi="Arial"/>
          <w:sz w:val="13"/>
          <w:szCs w:val="13"/>
          <w:color w:val="auto"/>
        </w:rPr>
        <w:t>. Each Loan Party represents and warrants to the Administrative Agent and the Lenders as of the Effective Date:</w:t>
      </w:r>
    </w:p>
    <w:p>
      <w:pPr>
        <w:spacing w:after="0" w:line="148" w:lineRule="exact"/>
        <w:rPr>
          <w:sz w:val="20"/>
          <w:szCs w:val="20"/>
          <w:color w:val="auto"/>
        </w:rPr>
      </w:pPr>
    </w:p>
    <w:p>
      <w:pPr>
        <w:ind w:right="180" w:firstLine="1240"/>
        <w:spacing w:after="0" w:line="254" w:lineRule="auto"/>
        <w:rPr>
          <w:sz w:val="20"/>
          <w:szCs w:val="20"/>
          <w:color w:val="auto"/>
        </w:rPr>
      </w:pPr>
      <w:r>
        <w:rPr>
          <w:rFonts w:ascii="Arial" w:cs="Arial" w:eastAsia="Arial" w:hAnsi="Arial"/>
          <w:sz w:val="13"/>
          <w:szCs w:val="13"/>
          <w:color w:val="auto"/>
        </w:rPr>
        <w:t xml:space="preserve">(i) the representations and warranties of each Loan Party contained in Article 5 of the Credit Agreement and in each other Loan Document (and acknowledging that this Amendment No. 4 and Limited Waiver is a Loan Document) are true and correct in all material respects as of the date hereof (except to the extent that such representations and warranties specifically refer to an earlier date, in which case they were true and correct as of such earlier date); </w:t>
      </w:r>
      <w:r>
        <w:rPr>
          <w:rFonts w:ascii="Arial" w:cs="Arial" w:eastAsia="Arial" w:hAnsi="Arial"/>
          <w:sz w:val="13"/>
          <w:szCs w:val="13"/>
          <w:i w:val="1"/>
          <w:iCs w:val="1"/>
          <w:color w:val="auto"/>
        </w:rPr>
        <w:t>provided</w:t>
      </w:r>
      <w:r>
        <w:rPr>
          <w:rFonts w:ascii="Arial" w:cs="Arial" w:eastAsia="Arial" w:hAnsi="Arial"/>
          <w:sz w:val="13"/>
          <w:szCs w:val="13"/>
          <w:color w:val="auto"/>
        </w:rPr>
        <w:t xml:space="preserve"> that, to the extent that such representations and warranties are qualified by materiality, material adverse effect or similar language, they are true and correct in all respects;</w:t>
      </w:r>
    </w:p>
    <w:p>
      <w:pPr>
        <w:spacing w:after="0" w:line="124" w:lineRule="exact"/>
        <w:rPr>
          <w:sz w:val="20"/>
          <w:szCs w:val="20"/>
          <w:color w:val="auto"/>
        </w:rPr>
      </w:pPr>
    </w:p>
    <w:p>
      <w:pPr>
        <w:ind w:left="2560" w:hanging="1312"/>
        <w:spacing w:after="0"/>
        <w:tabs>
          <w:tab w:leader="none" w:pos="2560" w:val="left"/>
        </w:tabs>
        <w:numPr>
          <w:ilvl w:val="0"/>
          <w:numId w:val="40"/>
        </w:numPr>
        <w:rPr>
          <w:rFonts w:ascii="Arial" w:cs="Arial" w:eastAsia="Arial" w:hAnsi="Arial"/>
          <w:sz w:val="13"/>
          <w:szCs w:val="13"/>
          <w:color w:val="auto"/>
        </w:rPr>
      </w:pPr>
      <w:r>
        <w:rPr>
          <w:rFonts w:ascii="Arial" w:cs="Arial" w:eastAsia="Arial" w:hAnsi="Arial"/>
          <w:sz w:val="13"/>
          <w:szCs w:val="13"/>
          <w:color w:val="auto"/>
        </w:rPr>
        <w:t>no Default or Event of Default exists or will result from this Amendment No. 4 and Limited Waiver;</w:t>
      </w:r>
    </w:p>
    <w:p>
      <w:pPr>
        <w:spacing w:after="0" w:line="147" w:lineRule="exact"/>
        <w:rPr>
          <w:rFonts w:ascii="Arial" w:cs="Arial" w:eastAsia="Arial" w:hAnsi="Arial"/>
          <w:sz w:val="13"/>
          <w:szCs w:val="13"/>
          <w:color w:val="auto"/>
        </w:rPr>
      </w:pPr>
    </w:p>
    <w:p>
      <w:pPr>
        <w:ind w:firstLine="1248"/>
        <w:spacing w:after="0" w:line="254" w:lineRule="auto"/>
        <w:tabs>
          <w:tab w:leader="none" w:pos="2591" w:val="left"/>
        </w:tabs>
        <w:numPr>
          <w:ilvl w:val="0"/>
          <w:numId w:val="40"/>
        </w:numPr>
        <w:rPr>
          <w:rFonts w:ascii="Arial" w:cs="Arial" w:eastAsia="Arial" w:hAnsi="Arial"/>
          <w:sz w:val="13"/>
          <w:szCs w:val="13"/>
          <w:color w:val="auto"/>
        </w:rPr>
      </w:pPr>
      <w:r>
        <w:rPr>
          <w:rFonts w:ascii="Arial" w:cs="Arial" w:eastAsia="Arial" w:hAnsi="Arial"/>
          <w:sz w:val="13"/>
          <w:szCs w:val="13"/>
          <w:color w:val="auto"/>
        </w:rPr>
        <w:t>the Persons appearing as Borrowers and Guarantors on the signature pages to this Agreement constitute all Persons who are required to be Borrowers or Guarantors pursuant to the terms of the Credit Agreement and the other Loan Documents, including without limitation all Persons who were required to become Borrowers or Guarantors after the Closing Date, the Borrowers and each such Person that is a Guarantor has executed and delivered the Credit Agreement as a Borrower or a Guaranty as a Guarantor and the Loan Parties have complied with their obligations under Sections 6.02(c) and 6.11 of the Credit Agreement and under the Collateral Documents; and</w:t>
      </w:r>
    </w:p>
    <w:p>
      <w:pPr>
        <w:spacing w:after="0" w:line="123" w:lineRule="exact"/>
        <w:rPr>
          <w:rFonts w:ascii="Arial" w:cs="Arial" w:eastAsia="Arial" w:hAnsi="Arial"/>
          <w:sz w:val="13"/>
          <w:szCs w:val="13"/>
          <w:color w:val="auto"/>
        </w:rPr>
      </w:pPr>
    </w:p>
    <w:p>
      <w:pPr>
        <w:ind w:left="1480" w:hanging="232"/>
        <w:spacing w:after="0"/>
        <w:tabs>
          <w:tab w:leader="none" w:pos="1480" w:val="left"/>
        </w:tabs>
        <w:numPr>
          <w:ilvl w:val="0"/>
          <w:numId w:val="40"/>
        </w:numPr>
        <w:rPr>
          <w:rFonts w:ascii="Arial" w:cs="Arial" w:eastAsia="Arial" w:hAnsi="Arial"/>
          <w:sz w:val="11"/>
          <w:szCs w:val="11"/>
          <w:color w:val="auto"/>
        </w:rPr>
      </w:pPr>
      <w:r>
        <w:rPr>
          <w:rFonts w:ascii="Arial" w:cs="Arial" w:eastAsia="Arial" w:hAnsi="Arial"/>
          <w:sz w:val="11"/>
          <w:szCs w:val="11"/>
          <w:color w:val="auto"/>
        </w:rPr>
        <w:t>Attached hereto as Schedule 1 is a true and complete list of all Deposit Accounts (as defined in the Security Agreement) maintained by each Loan Party, including the name of</w:t>
      </w:r>
    </w:p>
    <w:p>
      <w:pPr>
        <w:spacing w:after="0" w:line="36" w:lineRule="exact"/>
        <w:rPr>
          <w:rFonts w:ascii="Arial" w:cs="Arial" w:eastAsia="Arial" w:hAnsi="Arial"/>
          <w:sz w:val="11"/>
          <w:szCs w:val="11"/>
          <w:color w:val="auto"/>
        </w:rPr>
      </w:pPr>
    </w:p>
    <w:p>
      <w:pPr>
        <w:spacing w:after="0"/>
        <w:rPr>
          <w:rFonts w:ascii="Arial" w:cs="Arial" w:eastAsia="Arial" w:hAnsi="Arial"/>
          <w:sz w:val="11"/>
          <w:szCs w:val="11"/>
          <w:color w:val="auto"/>
        </w:rPr>
      </w:pPr>
      <w:r>
        <w:rPr>
          <w:rFonts w:ascii="Arial" w:cs="Arial" w:eastAsia="Arial" w:hAnsi="Arial"/>
          <w:sz w:val="13"/>
          <w:szCs w:val="13"/>
          <w:color w:val="auto"/>
        </w:rPr>
        <w:t>each</w:t>
      </w:r>
    </w:p>
    <w:p>
      <w:pPr>
        <w:spacing w:after="0" w:line="138" w:lineRule="exact"/>
        <w:rPr>
          <w:sz w:val="20"/>
          <w:szCs w:val="20"/>
          <w:color w:val="auto"/>
        </w:rPr>
      </w:pPr>
    </w:p>
    <w:p>
      <w:pPr>
        <w:ind w:left="4940"/>
        <w:spacing w:after="0"/>
        <w:rPr>
          <w:sz w:val="20"/>
          <w:szCs w:val="20"/>
          <w:color w:val="auto"/>
        </w:rPr>
      </w:pPr>
      <w:r>
        <w:rPr>
          <w:rFonts w:ascii="Arial" w:cs="Arial" w:eastAsia="Arial" w:hAnsi="Arial"/>
          <w:sz w:val="13"/>
          <w:szCs w:val="13"/>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-474345</wp:posOffset>
            </wp:positionH>
            <wp:positionV relativeFrom="paragraph">
              <wp:posOffset>167640</wp:posOffset>
            </wp:positionV>
            <wp:extent cx="7329170" cy="3683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740"/>
          </w:cols>
          <w:pgMar w:left="940" w:top="291" w:right="219" w:bottom="1440" w:gutter="0" w:footer="0" w:header="0"/>
        </w:sectPr>
      </w:pPr>
    </w:p>
    <w:bookmarkStart w:id="132" w:name="page133"/>
    <w:bookmarkEnd w:id="132"/>
    <w:p>
      <w:pPr>
        <w:ind w:left="700" w:right="260"/>
        <w:spacing w:after="0" w:line="271" w:lineRule="auto"/>
        <w:rPr>
          <w:sz w:val="20"/>
          <w:szCs w:val="20"/>
          <w:color w:val="auto"/>
        </w:rPr>
      </w:pPr>
      <w:r>
        <w:rPr>
          <w:rFonts w:ascii="Arial" w:cs="Arial" w:eastAsia="Arial" w:hAnsi="Arial"/>
          <w:sz w:val="13"/>
          <w:szCs w:val="13"/>
          <w:color w:val="auto"/>
        </w:rPr>
        <w:t>institution where each such account is held, the name of each such account, the name of each entity that holds each account and stating if such account is required to be subject to a control agreement pursuant to the Security Agreement and the reason for such account to be excluded from the control agreement requirement.</w:t>
      </w:r>
    </w:p>
    <w:p>
      <w:pPr>
        <w:spacing w:after="0" w:line="113" w:lineRule="exact"/>
        <w:rPr>
          <w:sz w:val="20"/>
          <w:szCs w:val="20"/>
          <w:color w:val="auto"/>
        </w:rPr>
      </w:pPr>
    </w:p>
    <w:p>
      <w:pPr>
        <w:ind w:left="-20" w:firstLine="875"/>
        <w:spacing w:after="0" w:line="309" w:lineRule="auto"/>
        <w:tabs>
          <w:tab w:leader="none" w:pos="1460" w:val="left"/>
        </w:tabs>
        <w:numPr>
          <w:ilvl w:val="0"/>
          <w:numId w:val="41"/>
        </w:numPr>
        <w:rPr>
          <w:rFonts w:ascii="Arial" w:cs="Arial" w:eastAsia="Arial" w:hAnsi="Arial"/>
          <w:sz w:val="11"/>
          <w:szCs w:val="11"/>
          <w:color w:val="auto"/>
        </w:rPr>
      </w:pPr>
      <w:r>
        <w:rPr>
          <w:rFonts w:ascii="Arial" w:cs="Arial" w:eastAsia="Arial" w:hAnsi="Arial"/>
          <w:sz w:val="11"/>
          <w:szCs w:val="11"/>
          <w:u w:val="single" w:color="auto"/>
          <w:color w:val="auto"/>
        </w:rPr>
        <w:t>Costs and Expenses</w:t>
      </w:r>
      <w:r>
        <w:rPr>
          <w:rFonts w:ascii="Arial" w:cs="Arial" w:eastAsia="Arial" w:hAnsi="Arial"/>
          <w:sz w:val="11"/>
          <w:szCs w:val="11"/>
          <w:color w:val="auto"/>
        </w:rPr>
        <w:t>. The Borrowers agree to pay (i) all reasonable and documented out-of-pocket costs and expenses of the Administrative Agent (including the reasonable and documented fees and expenses of Cahill Gordon &amp; Reindel LLP, counsel to the Administrative Agent) in connection with the preparation, execution, delivery and administration of this Amendment No. 4 and Limited Waiver, the other instruments and documents to be delivered hereunder and related matters with respect to the Loan Documents and transactions contemplated hereby and (ii) all reasonable and documented out-of-pocket costs and expenses of the ad-hoc group of Term Lenders (limited to the reasonable and documented fees and expenses of Weil, Gotshal &amp; Manges LLP, counsel to the ad-hoc group of Term Lenders) in connection with the preparation, execution, delivery and administration of this Amendment No. 4 and Limited Waiver (or any subject matter contained herein) and the other instruments and documents to be delivered hereunder.</w:t>
      </w:r>
    </w:p>
    <w:p>
      <w:pPr>
        <w:spacing w:after="0" w:line="95" w:lineRule="exact"/>
        <w:rPr>
          <w:rFonts w:ascii="Arial" w:cs="Arial" w:eastAsia="Arial" w:hAnsi="Arial"/>
          <w:sz w:val="11"/>
          <w:szCs w:val="11"/>
          <w:color w:val="auto"/>
        </w:rPr>
      </w:pPr>
    </w:p>
    <w:p>
      <w:pPr>
        <w:ind w:left="1420" w:hanging="565"/>
        <w:spacing w:after="0"/>
        <w:tabs>
          <w:tab w:leader="none" w:pos="1420" w:val="left"/>
        </w:tabs>
        <w:numPr>
          <w:ilvl w:val="0"/>
          <w:numId w:val="41"/>
        </w:numPr>
        <w:rPr>
          <w:rFonts w:ascii="Arial" w:cs="Arial" w:eastAsia="Arial" w:hAnsi="Arial"/>
          <w:sz w:val="13"/>
          <w:szCs w:val="13"/>
          <w:color w:val="auto"/>
        </w:rPr>
      </w:pPr>
      <w:r>
        <w:rPr>
          <w:rFonts w:ascii="Arial" w:cs="Arial" w:eastAsia="Arial" w:hAnsi="Arial"/>
          <w:sz w:val="13"/>
          <w:szCs w:val="13"/>
          <w:u w:val="single" w:color="auto"/>
          <w:color w:val="auto"/>
        </w:rPr>
        <w:t>Governing Law</w:t>
      </w:r>
      <w:r>
        <w:rPr>
          <w:rFonts w:ascii="Arial" w:cs="Arial" w:eastAsia="Arial" w:hAnsi="Arial"/>
          <w:sz w:val="13"/>
          <w:szCs w:val="13"/>
          <w:color w:val="auto"/>
        </w:rPr>
        <w:t>. This Amendment No. 4 and Limited Waiver shall be governed by and construed in accordance with the law of the State of New York.</w:t>
      </w:r>
    </w:p>
    <w:p>
      <w:pPr>
        <w:spacing w:after="0" w:line="147" w:lineRule="exact"/>
        <w:rPr>
          <w:rFonts w:ascii="Arial" w:cs="Arial" w:eastAsia="Arial" w:hAnsi="Arial"/>
          <w:sz w:val="13"/>
          <w:szCs w:val="13"/>
          <w:color w:val="auto"/>
        </w:rPr>
      </w:pPr>
    </w:p>
    <w:p>
      <w:pPr>
        <w:ind w:left="-20" w:right="100" w:firstLine="875"/>
        <w:spacing w:after="0" w:line="271" w:lineRule="auto"/>
        <w:tabs>
          <w:tab w:leader="none" w:pos="1428" w:val="left"/>
        </w:tabs>
        <w:numPr>
          <w:ilvl w:val="0"/>
          <w:numId w:val="41"/>
        </w:numPr>
        <w:rPr>
          <w:rFonts w:ascii="Arial" w:cs="Arial" w:eastAsia="Arial" w:hAnsi="Arial"/>
          <w:sz w:val="13"/>
          <w:szCs w:val="13"/>
          <w:color w:val="auto"/>
        </w:rPr>
      </w:pPr>
      <w:r>
        <w:rPr>
          <w:rFonts w:ascii="Arial" w:cs="Arial" w:eastAsia="Arial" w:hAnsi="Arial"/>
          <w:sz w:val="13"/>
          <w:szCs w:val="13"/>
          <w:u w:val="single" w:color="auto"/>
          <w:color w:val="auto"/>
        </w:rPr>
        <w:t>Counterparts</w:t>
      </w:r>
      <w:r>
        <w:rPr>
          <w:rFonts w:ascii="Arial" w:cs="Arial" w:eastAsia="Arial" w:hAnsi="Arial"/>
          <w:sz w:val="13"/>
          <w:szCs w:val="13"/>
          <w:color w:val="auto"/>
        </w:rPr>
        <w:t>. This Amendment No. 4 and Limited Waiver may be signed in any number of counterparts, each of which shall be an original, with the same effect as if the signatures thereto and hereto were upon the same instrument.</w:t>
      </w:r>
    </w:p>
    <w:p>
      <w:pPr>
        <w:spacing w:after="0" w:line="112" w:lineRule="exact"/>
        <w:rPr>
          <w:rFonts w:ascii="Arial" w:cs="Arial" w:eastAsia="Arial" w:hAnsi="Arial"/>
          <w:sz w:val="13"/>
          <w:szCs w:val="13"/>
          <w:color w:val="auto"/>
        </w:rPr>
      </w:pPr>
    </w:p>
    <w:p>
      <w:pPr>
        <w:ind w:left="1460" w:hanging="605"/>
        <w:spacing w:after="0"/>
        <w:tabs>
          <w:tab w:leader="none" w:pos="1460" w:val="left"/>
        </w:tabs>
        <w:numPr>
          <w:ilvl w:val="0"/>
          <w:numId w:val="41"/>
        </w:numPr>
        <w:rPr>
          <w:rFonts w:ascii="Arial" w:cs="Arial" w:eastAsia="Arial" w:hAnsi="Arial"/>
          <w:sz w:val="13"/>
          <w:szCs w:val="13"/>
          <w:color w:val="auto"/>
        </w:rPr>
      </w:pPr>
      <w:r>
        <w:rPr>
          <w:rFonts w:ascii="Arial" w:cs="Arial" w:eastAsia="Arial" w:hAnsi="Arial"/>
          <w:sz w:val="13"/>
          <w:szCs w:val="13"/>
          <w:u w:val="single" w:color="auto"/>
          <w:color w:val="auto"/>
        </w:rPr>
        <w:t>Waiver of Right of Trial by Jury</w:t>
      </w:r>
      <w:r>
        <w:rPr>
          <w:rFonts w:ascii="Arial" w:cs="Arial" w:eastAsia="Arial" w:hAnsi="Arial"/>
          <w:sz w:val="13"/>
          <w:szCs w:val="13"/>
          <w:color w:val="auto"/>
        </w:rPr>
        <w:t xml:space="preserve">. Section 10.16 of the Credit Agreement is incorporated herein by reference, </w:t>
      </w:r>
      <w:r>
        <w:rPr>
          <w:rFonts w:ascii="Arial" w:cs="Arial" w:eastAsia="Arial" w:hAnsi="Arial"/>
          <w:sz w:val="13"/>
          <w:szCs w:val="13"/>
          <w:i w:val="1"/>
          <w:iCs w:val="1"/>
          <w:color w:val="auto"/>
        </w:rPr>
        <w:t>mutatis mutandis</w:t>
      </w:r>
      <w:r>
        <w:rPr>
          <w:rFonts w:ascii="Arial" w:cs="Arial" w:eastAsia="Arial" w:hAnsi="Arial"/>
          <w:sz w:val="13"/>
          <w:szCs w:val="13"/>
          <w:color w:val="auto"/>
        </w:rPr>
        <w:t>.</w:t>
      </w:r>
    </w:p>
    <w:p>
      <w:pPr>
        <w:spacing w:after="0" w:line="147" w:lineRule="exact"/>
        <w:rPr>
          <w:rFonts w:ascii="Arial" w:cs="Arial" w:eastAsia="Arial" w:hAnsi="Arial"/>
          <w:sz w:val="13"/>
          <w:szCs w:val="13"/>
          <w:color w:val="auto"/>
        </w:rPr>
      </w:pPr>
    </w:p>
    <w:p>
      <w:pPr>
        <w:ind w:left="-20" w:right="60" w:firstLine="875"/>
        <w:spacing w:after="0" w:line="271" w:lineRule="auto"/>
        <w:tabs>
          <w:tab w:leader="none" w:pos="1526" w:val="left"/>
        </w:tabs>
        <w:numPr>
          <w:ilvl w:val="0"/>
          <w:numId w:val="41"/>
        </w:numPr>
        <w:rPr>
          <w:rFonts w:ascii="Arial" w:cs="Arial" w:eastAsia="Arial" w:hAnsi="Arial"/>
          <w:sz w:val="12"/>
          <w:szCs w:val="12"/>
          <w:color w:val="auto"/>
        </w:rPr>
      </w:pPr>
      <w:r>
        <w:rPr>
          <w:rFonts w:ascii="Arial" w:cs="Arial" w:eastAsia="Arial" w:hAnsi="Arial"/>
          <w:sz w:val="12"/>
          <w:szCs w:val="12"/>
          <w:u w:val="single" w:color="auto"/>
          <w:color w:val="auto"/>
        </w:rPr>
        <w:t>Effect of Amendment No. 4 and Limited Waiver</w:t>
      </w:r>
      <w:r>
        <w:rPr>
          <w:rFonts w:ascii="Arial" w:cs="Arial" w:eastAsia="Arial" w:hAnsi="Arial"/>
          <w:sz w:val="12"/>
          <w:szCs w:val="12"/>
          <w:color w:val="auto"/>
        </w:rPr>
        <w:t>. Except as expressly set forth herein, (i) this Amendment No. 4 and Limited Waiver shall not by implication or otherwise limit, impair, constitute a waiver of or otherwise affect the rights and remedies of the Lenders, the Administrative Agent or any other Agent, in each case under the Credit Agreement or any other Loan Document, and (ii) shall not alter, modify, amend or in any way affect any of the terms, conditions, obligations, covenants or agreements contained in the Credit Agreement or any other provision of either such agreement or any other Loan Document. Each and every term, condition, obligation, covenant and agreement contained in the Credit Agreement as amended hereby, or any other Loan Document, is hereby ratified and re-affirmed in all respects and shall continue in full force and effect. This Amendment No. 4 and Limited Waiver shall constitute a Loan Document for all purposes and from and after the Effective Date, all references to the Credit Agreement in any Loan Document and all references in the Credit Agreement to “this Agreement”, “hereunder”, “hereof” or words of like import referring to the Credit Agreement, shall, unless expressly provided otherwise, refer to the Credit Agreement after giving effect to this Amendment No. 4 and Limited Waiver. Each of the Loan Parties hereby consents to this Amendment No. 4 and Limited Waiver and confirms and reaffirms (i) that all obligations of such Loan Party under the Loan Documents to which such Loan Party is a party shall continue to apply to the Credit Agreement as amended hereby, (ii) its guaranty of the Obligations, (iii) its prior pledges and grants of security interests and Liens on the Collateral to secure the Obligations pursuant to the Collateral Documents and (iv) such Guarantees, prior pledges and grants of security interests and liens on the Collateral to secure the Obligations, as applicable, shall continue to be in full force and effect and shall continue to inure to the benefit of the Collateral Agent, the Lenders and the other Secured Parties. This Agreement shall not constitute a novation of the Credit Agreement or any other Loan Document.</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167640</wp:posOffset>
            </wp:positionV>
            <wp:extent cx="7329170" cy="3683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40"/>
          </w:cols>
          <w:pgMar w:left="240" w:top="291" w:right="219" w:bottom="1440" w:gutter="0" w:footer="0" w:header="0"/>
        </w:sectPr>
      </w:pPr>
    </w:p>
    <w:bookmarkStart w:id="133" w:name="page134"/>
    <w:bookmarkEnd w:id="133"/>
    <w:p>
      <w:pPr>
        <w:ind w:left="-40" w:firstLine="875"/>
        <w:spacing w:after="0" w:line="271" w:lineRule="auto"/>
        <w:tabs>
          <w:tab w:leader="none" w:pos="1436" w:val="left"/>
        </w:tabs>
        <w:numPr>
          <w:ilvl w:val="0"/>
          <w:numId w:val="42"/>
        </w:numPr>
        <w:rPr>
          <w:rFonts w:ascii="Arial" w:cs="Arial" w:eastAsia="Arial" w:hAnsi="Arial"/>
          <w:sz w:val="13"/>
          <w:szCs w:val="13"/>
          <w:color w:val="auto"/>
        </w:rPr>
      </w:pPr>
      <w:r>
        <w:rPr>
          <w:rFonts w:ascii="Arial" w:cs="Arial" w:eastAsia="Arial" w:hAnsi="Arial"/>
          <w:sz w:val="13"/>
          <w:szCs w:val="13"/>
          <w:u w:val="single" w:color="auto"/>
          <w:color w:val="auto"/>
        </w:rPr>
        <w:t>Amendment No. 4 and Limited Waiver Lead Arranger</w:t>
      </w:r>
      <w:r>
        <w:rPr>
          <w:rFonts w:ascii="Arial" w:cs="Arial" w:eastAsia="Arial" w:hAnsi="Arial"/>
          <w:sz w:val="13"/>
          <w:szCs w:val="13"/>
          <w:color w:val="auto"/>
        </w:rPr>
        <w:t>. Merrill Lynch, Pierce, Fenner &amp; Smith Incorporated is acting as lead arranger in connection with the Amendment No. 4 and Limited Waiver and shall be entitled to all rights, indemnities, privileges and immunities applicable to the “Arrangers” under the Loan Documents in connection herewith.</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[Signature pages follow]</w:t>
      </w: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wp:posOffset>
            </wp:positionH>
            <wp:positionV relativeFrom="paragraph">
              <wp:posOffset>167640</wp:posOffset>
            </wp:positionV>
            <wp:extent cx="7329170" cy="3683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00"/>
          </w:cols>
          <w:pgMar w:left="260" w:top="291" w:right="239" w:bottom="1440" w:gutter="0" w:footer="0" w:header="0"/>
        </w:sectPr>
      </w:pPr>
    </w:p>
    <w:bookmarkStart w:id="134" w:name="page135"/>
    <w:bookmarkEnd w:id="134"/>
    <w:p>
      <w:pPr>
        <w:spacing w:after="0"/>
        <w:rPr>
          <w:sz w:val="20"/>
          <w:szCs w:val="20"/>
          <w:color w:val="auto"/>
        </w:rPr>
      </w:pPr>
      <w:r>
        <w:rPr>
          <w:rFonts w:ascii="Arial" w:cs="Arial" w:eastAsia="Arial" w:hAnsi="Arial"/>
          <w:sz w:val="13"/>
          <w:szCs w:val="13"/>
          <w:color w:val="auto"/>
        </w:rPr>
        <w:t>IN WITNESS WHEREOF, the parties hereto have caused this Amendment No. 4 and Limited Waiver to be duly executed as of the date first above written.</w:t>
      </w:r>
    </w:p>
    <w:p>
      <w:pPr>
        <w:spacing w:after="0" w:line="148" w:lineRule="exact"/>
        <w:rPr>
          <w:sz w:val="20"/>
          <w:szCs w:val="20"/>
          <w:color w:val="auto"/>
        </w:rPr>
      </w:pPr>
    </w:p>
    <w:p>
      <w:pPr>
        <w:ind w:left="5220"/>
        <w:spacing w:after="0"/>
        <w:rPr>
          <w:sz w:val="20"/>
          <w:szCs w:val="20"/>
          <w:color w:val="auto"/>
        </w:rPr>
      </w:pPr>
      <w:r>
        <w:rPr>
          <w:rFonts w:ascii="Arial" w:cs="Arial" w:eastAsia="Arial" w:hAnsi="Arial"/>
          <w:sz w:val="13"/>
          <w:szCs w:val="13"/>
          <w:color w:val="auto"/>
        </w:rPr>
        <w:t>UNITI GROUP INC.</w:t>
      </w:r>
    </w:p>
    <w:p>
      <w:pPr>
        <w:spacing w:after="0" w:line="310" w:lineRule="exact"/>
        <w:rPr>
          <w:sz w:val="20"/>
          <w:szCs w:val="20"/>
          <w:color w:val="auto"/>
        </w:rPr>
      </w:pPr>
    </w:p>
    <w:tbl>
      <w:tblPr>
        <w:tblLayout w:type="fixed"/>
        <w:tblInd w:w="5220" w:type="dxa"/>
        <w:tblCellMar>
          <w:top w:w="0" w:type="dxa"/>
          <w:left w:w="0" w:type="dxa"/>
          <w:bottom w:w="0" w:type="dxa"/>
          <w:right w:w="0" w:type="dxa"/>
        </w:tblCellMar>
      </w:tblPr>
      <w:tr>
        <w:trPr>
          <w:trHeight w:val="164"/>
        </w:trPr>
        <w:tc>
          <w:tcPr>
            <w:tcW w:w="940" w:type="dxa"/>
            <w:vAlign w:val="bottom"/>
          </w:tcPr>
          <w:p>
            <w:pPr>
              <w:spacing w:after="0"/>
              <w:rPr>
                <w:sz w:val="20"/>
                <w:szCs w:val="20"/>
                <w:color w:val="auto"/>
              </w:rPr>
            </w:pPr>
            <w:r>
              <w:rPr>
                <w:rFonts w:ascii="Arial" w:cs="Arial" w:eastAsia="Arial" w:hAnsi="Arial"/>
                <w:sz w:val="13"/>
                <w:szCs w:val="13"/>
                <w:color w:val="auto"/>
              </w:rPr>
              <w:t>By:</w:t>
            </w:r>
          </w:p>
        </w:tc>
        <w:tc>
          <w:tcPr>
            <w:tcW w:w="4280" w:type="dxa"/>
            <w:vAlign w:val="bottom"/>
            <w:tcBorders>
              <w:bottom w:val="single" w:sz="8" w:color="auto"/>
            </w:tcBorders>
            <w:gridSpan w:val="3"/>
          </w:tcPr>
          <w:p>
            <w:pPr>
              <w:spacing w:after="0"/>
              <w:rPr>
                <w:sz w:val="20"/>
                <w:szCs w:val="20"/>
                <w:color w:val="auto"/>
              </w:rPr>
            </w:pPr>
            <w:r>
              <w:rPr>
                <w:rFonts w:ascii="Arial" w:cs="Arial" w:eastAsia="Arial" w:hAnsi="Arial"/>
                <w:sz w:val="13"/>
                <w:szCs w:val="13"/>
                <w:color w:val="auto"/>
              </w:rPr>
              <w:t>/s/ Daniel Heard</w:t>
            </w:r>
          </w:p>
        </w:tc>
      </w:tr>
      <w:tr>
        <w:trPr>
          <w:trHeight w:val="141"/>
        </w:trPr>
        <w:tc>
          <w:tcPr>
            <w:tcW w:w="940" w:type="dxa"/>
            <w:vAlign w:val="bottom"/>
          </w:tcPr>
          <w:p>
            <w:pPr>
              <w:spacing w:after="0"/>
              <w:rPr>
                <w:sz w:val="12"/>
                <w:szCs w:val="12"/>
                <w:color w:val="auto"/>
              </w:rPr>
            </w:pPr>
          </w:p>
        </w:tc>
        <w:tc>
          <w:tcPr>
            <w:tcW w:w="4280" w:type="dxa"/>
            <w:vAlign w:val="bottom"/>
            <w:gridSpan w:val="3"/>
          </w:tcPr>
          <w:p>
            <w:pPr>
              <w:spacing w:after="0" w:line="141" w:lineRule="exact"/>
              <w:rPr>
                <w:sz w:val="20"/>
                <w:szCs w:val="20"/>
                <w:color w:val="auto"/>
              </w:rPr>
            </w:pPr>
            <w:r>
              <w:rPr>
                <w:rFonts w:ascii="Arial" w:cs="Arial" w:eastAsia="Arial" w:hAnsi="Arial"/>
                <w:sz w:val="13"/>
                <w:szCs w:val="13"/>
                <w:color w:val="auto"/>
              </w:rPr>
              <w:t>Name: Daniel Heard</w:t>
            </w:r>
          </w:p>
        </w:tc>
      </w:tr>
      <w:tr>
        <w:trPr>
          <w:trHeight w:val="166"/>
        </w:trPr>
        <w:tc>
          <w:tcPr>
            <w:tcW w:w="940" w:type="dxa"/>
            <w:vAlign w:val="bottom"/>
          </w:tcPr>
          <w:p>
            <w:pPr>
              <w:spacing w:after="0"/>
              <w:rPr>
                <w:sz w:val="14"/>
                <w:szCs w:val="14"/>
                <w:color w:val="auto"/>
              </w:rPr>
            </w:pPr>
          </w:p>
        </w:tc>
        <w:tc>
          <w:tcPr>
            <w:tcW w:w="4280" w:type="dxa"/>
            <w:vAlign w:val="bottom"/>
            <w:gridSpan w:val="3"/>
          </w:tcPr>
          <w:p>
            <w:pPr>
              <w:spacing w:after="0"/>
              <w:rPr>
                <w:sz w:val="20"/>
                <w:szCs w:val="20"/>
                <w:color w:val="auto"/>
              </w:rPr>
            </w:pPr>
            <w:r>
              <w:rPr>
                <w:rFonts w:ascii="Arial" w:cs="Arial" w:eastAsia="Arial" w:hAnsi="Arial"/>
                <w:sz w:val="13"/>
                <w:szCs w:val="13"/>
                <w:color w:val="auto"/>
              </w:rPr>
              <w:t>Title:Executive Vice President – General Counsel and Secretary</w:t>
            </w:r>
          </w:p>
        </w:tc>
      </w:tr>
      <w:tr>
        <w:trPr>
          <w:trHeight w:val="315"/>
        </w:trPr>
        <w:tc>
          <w:tcPr>
            <w:tcW w:w="5220" w:type="dxa"/>
            <w:vAlign w:val="bottom"/>
            <w:gridSpan w:val="4"/>
          </w:tcPr>
          <w:p>
            <w:pPr>
              <w:spacing w:after="0"/>
              <w:rPr>
                <w:sz w:val="20"/>
                <w:szCs w:val="20"/>
                <w:color w:val="auto"/>
              </w:rPr>
            </w:pPr>
            <w:r>
              <w:rPr>
                <w:rFonts w:ascii="Arial" w:cs="Arial" w:eastAsia="Arial" w:hAnsi="Arial"/>
                <w:sz w:val="13"/>
                <w:szCs w:val="13"/>
                <w:color w:val="auto"/>
              </w:rPr>
              <w:t>UNITI GROUP LP</w:t>
            </w:r>
          </w:p>
        </w:tc>
      </w:tr>
      <w:tr>
        <w:trPr>
          <w:trHeight w:val="481"/>
        </w:trPr>
        <w:tc>
          <w:tcPr>
            <w:tcW w:w="940" w:type="dxa"/>
            <w:vAlign w:val="bottom"/>
          </w:tcPr>
          <w:p>
            <w:pPr>
              <w:spacing w:after="0"/>
              <w:rPr>
                <w:sz w:val="20"/>
                <w:szCs w:val="20"/>
                <w:color w:val="auto"/>
              </w:rPr>
            </w:pPr>
            <w:r>
              <w:rPr>
                <w:rFonts w:ascii="Arial" w:cs="Arial" w:eastAsia="Arial" w:hAnsi="Arial"/>
                <w:sz w:val="13"/>
                <w:szCs w:val="13"/>
                <w:color w:val="auto"/>
              </w:rPr>
              <w:t>By:</w:t>
            </w: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8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80" w:type="dxa"/>
            <w:vAlign w:val="bottom"/>
          </w:tcPr>
          <w:p>
            <w:pPr>
              <w:spacing w:after="0" w:line="144" w:lineRule="exact"/>
              <w:rPr>
                <w:sz w:val="20"/>
                <w:szCs w:val="20"/>
                <w:color w:val="auto"/>
              </w:rPr>
            </w:pPr>
            <w:r>
              <w:rPr>
                <w:rFonts w:ascii="Arial" w:cs="Arial" w:eastAsia="Arial" w:hAnsi="Arial"/>
                <w:sz w:val="13"/>
                <w:szCs w:val="13"/>
                <w:color w:val="auto"/>
              </w:rPr>
              <w:t>Name:Daniel Heard</w:t>
            </w:r>
          </w:p>
        </w:tc>
      </w:tr>
      <w:tr>
        <w:trPr>
          <w:trHeight w:val="166"/>
        </w:trPr>
        <w:tc>
          <w:tcPr>
            <w:tcW w:w="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80" w:type="dxa"/>
            <w:vAlign w:val="bottom"/>
          </w:tcPr>
          <w:p>
            <w:pPr>
              <w:spacing w:after="0"/>
              <w:rPr>
                <w:sz w:val="20"/>
                <w:szCs w:val="20"/>
                <w:color w:val="auto"/>
              </w:rPr>
            </w:pPr>
            <w:r>
              <w:rPr>
                <w:rFonts w:ascii="Arial" w:cs="Arial" w:eastAsia="Arial" w:hAnsi="Arial"/>
                <w:sz w:val="13"/>
                <w:szCs w:val="13"/>
                <w:color w:val="auto"/>
              </w:rPr>
              <w:t>Title:Executive Vice President – General Counsel and Secretary</w:t>
            </w:r>
          </w:p>
        </w:tc>
      </w:tr>
      <w:tr>
        <w:trPr>
          <w:trHeight w:val="856"/>
        </w:trPr>
        <w:tc>
          <w:tcPr>
            <w:tcW w:w="5220" w:type="dxa"/>
            <w:vAlign w:val="bottom"/>
            <w:gridSpan w:val="4"/>
          </w:tcPr>
          <w:p>
            <w:pPr>
              <w:spacing w:after="0"/>
              <w:rPr>
                <w:sz w:val="20"/>
                <w:szCs w:val="20"/>
                <w:color w:val="auto"/>
              </w:rPr>
            </w:pPr>
            <w:r>
              <w:rPr>
                <w:rFonts w:ascii="Arial" w:cs="Arial" w:eastAsia="Arial" w:hAnsi="Arial"/>
                <w:sz w:val="13"/>
                <w:szCs w:val="13"/>
                <w:color w:val="auto"/>
              </w:rPr>
              <w:t>UNITI GROUP FINANCE INC.</w:t>
            </w:r>
          </w:p>
        </w:tc>
      </w:tr>
      <w:tr>
        <w:trPr>
          <w:trHeight w:val="310"/>
        </w:trPr>
        <w:tc>
          <w:tcPr>
            <w:tcW w:w="940" w:type="dxa"/>
            <w:vAlign w:val="bottom"/>
          </w:tcPr>
          <w:p>
            <w:pPr>
              <w:spacing w:after="0"/>
              <w:rPr>
                <w:sz w:val="20"/>
                <w:szCs w:val="20"/>
                <w:color w:val="auto"/>
              </w:rPr>
            </w:pPr>
            <w:r>
              <w:rPr>
                <w:rFonts w:ascii="Arial" w:cs="Arial" w:eastAsia="Arial" w:hAnsi="Arial"/>
                <w:sz w:val="13"/>
                <w:szCs w:val="13"/>
                <w:color w:val="auto"/>
              </w:rPr>
              <w:t>By:</w:t>
            </w: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8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80" w:type="dxa"/>
            <w:vAlign w:val="bottom"/>
          </w:tcPr>
          <w:p>
            <w:pPr>
              <w:spacing w:after="0" w:line="144" w:lineRule="exact"/>
              <w:rPr>
                <w:sz w:val="20"/>
                <w:szCs w:val="20"/>
                <w:color w:val="auto"/>
              </w:rPr>
            </w:pPr>
            <w:r>
              <w:rPr>
                <w:rFonts w:ascii="Arial" w:cs="Arial" w:eastAsia="Arial" w:hAnsi="Arial"/>
                <w:sz w:val="13"/>
                <w:szCs w:val="13"/>
                <w:color w:val="auto"/>
              </w:rPr>
              <w:t>Name:Daniel Heard</w:t>
            </w:r>
          </w:p>
        </w:tc>
      </w:tr>
      <w:tr>
        <w:trPr>
          <w:trHeight w:val="166"/>
        </w:trPr>
        <w:tc>
          <w:tcPr>
            <w:tcW w:w="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80" w:type="dxa"/>
            <w:vAlign w:val="bottom"/>
          </w:tcPr>
          <w:p>
            <w:pPr>
              <w:spacing w:after="0"/>
              <w:rPr>
                <w:sz w:val="20"/>
                <w:szCs w:val="20"/>
                <w:color w:val="auto"/>
              </w:rPr>
            </w:pPr>
            <w:r>
              <w:rPr>
                <w:rFonts w:ascii="Arial" w:cs="Arial" w:eastAsia="Arial" w:hAnsi="Arial"/>
                <w:sz w:val="13"/>
                <w:szCs w:val="13"/>
                <w:color w:val="auto"/>
              </w:rPr>
              <w:t>Title:Executive Vice President – General Counsel and Secretary</w:t>
            </w:r>
          </w:p>
        </w:tc>
      </w:tr>
      <w:tr>
        <w:trPr>
          <w:trHeight w:val="856"/>
        </w:trPr>
        <w:tc>
          <w:tcPr>
            <w:tcW w:w="5220" w:type="dxa"/>
            <w:vAlign w:val="bottom"/>
            <w:gridSpan w:val="4"/>
          </w:tcPr>
          <w:p>
            <w:pPr>
              <w:spacing w:after="0"/>
              <w:rPr>
                <w:sz w:val="20"/>
                <w:szCs w:val="20"/>
                <w:color w:val="auto"/>
              </w:rPr>
            </w:pPr>
            <w:r>
              <w:rPr>
                <w:rFonts w:ascii="Arial" w:cs="Arial" w:eastAsia="Arial" w:hAnsi="Arial"/>
                <w:sz w:val="13"/>
                <w:szCs w:val="13"/>
                <w:color w:val="auto"/>
              </w:rPr>
              <w:t>UNITI FIBER HOLDINGS INC.</w:t>
            </w:r>
          </w:p>
        </w:tc>
      </w:tr>
      <w:tr>
        <w:trPr>
          <w:trHeight w:val="457"/>
        </w:trPr>
        <w:tc>
          <w:tcPr>
            <w:tcW w:w="940" w:type="dxa"/>
            <w:vAlign w:val="bottom"/>
          </w:tcPr>
          <w:p>
            <w:pPr>
              <w:spacing w:after="0"/>
              <w:rPr>
                <w:sz w:val="20"/>
                <w:szCs w:val="20"/>
                <w:color w:val="auto"/>
              </w:rPr>
            </w:pPr>
            <w:r>
              <w:rPr>
                <w:rFonts w:ascii="Arial" w:cs="Arial" w:eastAsia="Arial" w:hAnsi="Arial"/>
                <w:sz w:val="13"/>
                <w:szCs w:val="13"/>
                <w:color w:val="auto"/>
              </w:rPr>
              <w:t>By:</w:t>
            </w:r>
          </w:p>
        </w:tc>
        <w:tc>
          <w:tcPr>
            <w:tcW w:w="20" w:type="dxa"/>
            <w:vAlign w:val="bottom"/>
          </w:tcPr>
          <w:p>
            <w:pPr>
              <w:spacing w:after="0"/>
              <w:rPr>
                <w:sz w:val="24"/>
                <w:szCs w:val="24"/>
                <w:color w:val="auto"/>
              </w:rPr>
            </w:pPr>
          </w:p>
        </w:tc>
        <w:tc>
          <w:tcPr>
            <w:tcW w:w="4260" w:type="dxa"/>
            <w:vAlign w:val="bottom"/>
            <w:tcBorders>
              <w:bottom w:val="single" w:sz="8" w:color="auto"/>
            </w:tcBorders>
            <w:gridSpan w:val="2"/>
          </w:tcPr>
          <w:p>
            <w:pPr>
              <w:spacing w:after="0"/>
              <w:rPr>
                <w:sz w:val="20"/>
                <w:szCs w:val="20"/>
                <w:color w:val="auto"/>
              </w:rPr>
            </w:pPr>
            <w:r>
              <w:rPr>
                <w:rFonts w:ascii="Arial" w:cs="Arial" w:eastAsia="Arial" w:hAnsi="Arial"/>
                <w:sz w:val="13"/>
                <w:szCs w:val="13"/>
                <w:color w:val="auto"/>
              </w:rPr>
              <w:t>/s/ Daniel Heard</w:t>
            </w:r>
          </w:p>
        </w:tc>
      </w:tr>
      <w:tr>
        <w:trPr>
          <w:trHeight w:val="141"/>
        </w:trPr>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60" w:type="dxa"/>
            <w:vAlign w:val="bottom"/>
            <w:gridSpan w:val="2"/>
          </w:tcPr>
          <w:p>
            <w:pPr>
              <w:spacing w:after="0" w:line="141" w:lineRule="exact"/>
              <w:rPr>
                <w:sz w:val="20"/>
                <w:szCs w:val="20"/>
                <w:color w:val="auto"/>
              </w:rPr>
            </w:pPr>
            <w:r>
              <w:rPr>
                <w:rFonts w:ascii="Arial" w:cs="Arial" w:eastAsia="Arial" w:hAnsi="Arial"/>
                <w:sz w:val="13"/>
                <w:szCs w:val="13"/>
                <w:color w:val="auto"/>
              </w:rPr>
              <w:t>Name:Daniel Heard</w:t>
            </w:r>
          </w:p>
        </w:tc>
      </w:tr>
      <w:tr>
        <w:trPr>
          <w:trHeight w:val="166"/>
        </w:trPr>
        <w:tc>
          <w:tcPr>
            <w:tcW w:w="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60" w:type="dxa"/>
            <w:vAlign w:val="bottom"/>
            <w:gridSpan w:val="2"/>
          </w:tcPr>
          <w:p>
            <w:pPr>
              <w:spacing w:after="0"/>
              <w:rPr>
                <w:sz w:val="20"/>
                <w:szCs w:val="20"/>
                <w:color w:val="auto"/>
              </w:rPr>
            </w:pPr>
            <w:r>
              <w:rPr>
                <w:rFonts w:ascii="Arial" w:cs="Arial" w:eastAsia="Arial" w:hAnsi="Arial"/>
                <w:sz w:val="13"/>
                <w:szCs w:val="13"/>
                <w:color w:val="auto"/>
              </w:rPr>
              <w:t>Title:Executive Vice President – General Counsel and Secretary</w:t>
            </w:r>
          </w:p>
        </w:tc>
      </w:tr>
      <w:tr>
        <w:trPr>
          <w:trHeight w:val="324"/>
        </w:trPr>
        <w:tc>
          <w:tcPr>
            <w:tcW w:w="5220" w:type="dxa"/>
            <w:vAlign w:val="bottom"/>
            <w:gridSpan w:val="4"/>
          </w:tcPr>
          <w:p>
            <w:pPr>
              <w:spacing w:after="0"/>
              <w:rPr>
                <w:sz w:val="20"/>
                <w:szCs w:val="20"/>
                <w:color w:val="auto"/>
              </w:rPr>
            </w:pPr>
            <w:r>
              <w:rPr>
                <w:rFonts w:ascii="Arial" w:cs="Arial" w:eastAsia="Arial" w:hAnsi="Arial"/>
                <w:sz w:val="13"/>
                <w:szCs w:val="13"/>
                <w:color w:val="auto"/>
              </w:rPr>
              <w:t>CSL CAPITAL, LLC</w:t>
            </w:r>
          </w:p>
        </w:tc>
      </w:tr>
      <w:tr>
        <w:trPr>
          <w:trHeight w:val="457"/>
        </w:trPr>
        <w:tc>
          <w:tcPr>
            <w:tcW w:w="940" w:type="dxa"/>
            <w:vAlign w:val="bottom"/>
          </w:tcPr>
          <w:p>
            <w:pPr>
              <w:spacing w:after="0"/>
              <w:rPr>
                <w:sz w:val="20"/>
                <w:szCs w:val="20"/>
                <w:color w:val="auto"/>
              </w:rPr>
            </w:pPr>
            <w:r>
              <w:rPr>
                <w:rFonts w:ascii="Arial" w:cs="Arial" w:eastAsia="Arial" w:hAnsi="Arial"/>
                <w:sz w:val="13"/>
                <w:szCs w:val="13"/>
                <w:color w:val="auto"/>
              </w:rPr>
              <w:t>By:</w:t>
            </w:r>
          </w:p>
        </w:tc>
        <w:tc>
          <w:tcPr>
            <w:tcW w:w="20" w:type="dxa"/>
            <w:vAlign w:val="bottom"/>
          </w:tcPr>
          <w:p>
            <w:pPr>
              <w:spacing w:after="0"/>
              <w:rPr>
                <w:sz w:val="24"/>
                <w:szCs w:val="24"/>
                <w:color w:val="auto"/>
              </w:rPr>
            </w:pPr>
          </w:p>
        </w:tc>
        <w:tc>
          <w:tcPr>
            <w:tcW w:w="4260" w:type="dxa"/>
            <w:vAlign w:val="bottom"/>
            <w:tcBorders>
              <w:bottom w:val="single" w:sz="8" w:color="auto"/>
            </w:tcBorders>
            <w:gridSpan w:val="2"/>
          </w:tcPr>
          <w:p>
            <w:pPr>
              <w:spacing w:after="0"/>
              <w:rPr>
                <w:sz w:val="20"/>
                <w:szCs w:val="20"/>
                <w:color w:val="auto"/>
              </w:rPr>
            </w:pPr>
            <w:r>
              <w:rPr>
                <w:rFonts w:ascii="Arial" w:cs="Arial" w:eastAsia="Arial" w:hAnsi="Arial"/>
                <w:sz w:val="13"/>
                <w:szCs w:val="13"/>
                <w:color w:val="auto"/>
              </w:rPr>
              <w:t>/s/ Daniel Heard</w:t>
            </w:r>
          </w:p>
        </w:tc>
      </w:tr>
      <w:tr>
        <w:trPr>
          <w:trHeight w:val="155"/>
        </w:trPr>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60" w:type="dxa"/>
            <w:vAlign w:val="bottom"/>
            <w:gridSpan w:val="2"/>
          </w:tcPr>
          <w:p>
            <w:pPr>
              <w:spacing w:after="0"/>
              <w:rPr>
                <w:sz w:val="20"/>
                <w:szCs w:val="20"/>
                <w:color w:val="auto"/>
              </w:rPr>
            </w:pPr>
            <w:r>
              <w:rPr>
                <w:rFonts w:ascii="Arial" w:cs="Arial" w:eastAsia="Arial" w:hAnsi="Arial"/>
                <w:sz w:val="13"/>
                <w:szCs w:val="13"/>
                <w:color w:val="auto"/>
              </w:rPr>
              <w:t>Name:Daniel Heard</w:t>
            </w:r>
          </w:p>
        </w:tc>
      </w:tr>
    </w:tbl>
    <w:p>
      <w:pPr>
        <w:spacing w:after="0" w:line="130" w:lineRule="exact"/>
        <w:rPr>
          <w:sz w:val="20"/>
          <w:szCs w:val="20"/>
          <w:color w:val="auto"/>
        </w:rPr>
      </w:pPr>
    </w:p>
    <w:p>
      <w:pPr>
        <w:ind w:left="3140"/>
        <w:spacing w:after="0"/>
        <w:rPr>
          <w:sz w:val="20"/>
          <w:szCs w:val="20"/>
          <w:color w:val="auto"/>
        </w:rPr>
      </w:pPr>
      <w:r>
        <w:rPr>
          <w:rFonts w:ascii="Arial" w:cs="Arial" w:eastAsia="Arial" w:hAnsi="Arial"/>
          <w:sz w:val="13"/>
          <w:szCs w:val="13"/>
          <w:color w:val="auto"/>
        </w:rPr>
        <w:t>[Signature Page to Amendment No. 4 and Limited Waiver]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-677545</wp:posOffset>
            </wp:positionH>
            <wp:positionV relativeFrom="paragraph">
              <wp:posOffset>207645</wp:posOffset>
            </wp:positionV>
            <wp:extent cx="7329170" cy="3683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440"/>
          </w:cols>
          <w:pgMar w:left="1260" w:top="291" w:right="199" w:bottom="1440" w:gutter="0" w:footer="0" w:header="0"/>
        </w:sectPr>
      </w:pPr>
    </w:p>
    <w:bookmarkStart w:id="135" w:name="page136"/>
    <w:bookmarkEnd w:id="135"/>
    <w:p>
      <w:pPr>
        <w:jc w:val="right"/>
        <w:spacing w:after="0"/>
        <w:rPr>
          <w:sz w:val="20"/>
          <w:szCs w:val="20"/>
          <w:color w:val="auto"/>
        </w:rPr>
      </w:pPr>
      <w:r>
        <w:rPr>
          <w:rFonts w:ascii="Arial" w:cs="Arial" w:eastAsia="Arial" w:hAnsi="Arial"/>
          <w:sz w:val="13"/>
          <w:szCs w:val="13"/>
          <w:color w:val="auto"/>
        </w:rPr>
        <w:t>Title:Executive Vice President – General Counsel and Secretary</w:t>
      </w: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2"/>
          <w:szCs w:val="12"/>
          <w:color w:val="auto"/>
        </w:rPr>
        <w:t>[Signature Page to Amendment No. 4 and Limited Waiver]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-791845</wp:posOffset>
            </wp:positionH>
            <wp:positionV relativeFrom="paragraph">
              <wp:posOffset>215265</wp:posOffset>
            </wp:positionV>
            <wp:extent cx="7329170" cy="3683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9380"/>
          </w:cols>
          <w:pgMar w:left="1440" w:top="291" w:right="1079" w:bottom="1440" w:gutter="0" w:footer="0" w:header="0"/>
        </w:sectPr>
      </w:pPr>
    </w:p>
    <w:bookmarkStart w:id="136" w:name="page137"/>
    <w:bookmarkEnd w:id="136"/>
    <w:p>
      <w:pPr>
        <w:ind w:left="5860"/>
        <w:spacing w:after="0"/>
        <w:rPr>
          <w:sz w:val="20"/>
          <w:szCs w:val="20"/>
          <w:color w:val="auto"/>
        </w:rPr>
      </w:pPr>
      <w:r>
        <w:rPr>
          <w:rFonts w:ascii="Arial" w:cs="Arial" w:eastAsia="Arial" w:hAnsi="Arial"/>
          <w:sz w:val="13"/>
          <w:szCs w:val="13"/>
          <w:color w:val="auto"/>
        </w:rPr>
        <w:t>CONTACT NETWORK, LLC</w:t>
      </w:r>
    </w:p>
    <w:p>
      <w:pPr>
        <w:spacing w:after="0" w:line="1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NATIONAL GP,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ALABAMA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ARKANSAS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FLORIDA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IOWA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MISSISSIPPI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MISSOURI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NEW MEXICO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OHIO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OKLAHOMA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REALTY,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TEXAS SYSTEM,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NORTH CAROLINA REALTY GP,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TENNESSEE REALTY PARTNER,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CSL TENNESSEE REALTY,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HUNT TELECOMMUNICATIONS,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2"/>
          <w:szCs w:val="12"/>
          <w:color w:val="auto"/>
        </w:rPr>
        <w:t>INFORMATION TRANSPORT SOLUTIONS, INC.</w:t>
      </w:r>
    </w:p>
    <w:p>
      <w:pPr>
        <w:spacing w:after="0" w:line="15"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NEXUS SYSTEMS, INC.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DC,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DE,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IA,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LA,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MA,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MS,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TX,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PEG BANDWIDTH VA,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DARK FIBER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FIBER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LEASING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LEASING X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LEASING XI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TOWERS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TOWERS NMS HOLDINGS LLC</w:t>
      </w:r>
    </w:p>
    <w:p>
      <w:pPr>
        <w:spacing w:after="0" w:line="4" w:lineRule="exact"/>
        <w:rPr>
          <w:sz w:val="20"/>
          <w:szCs w:val="20"/>
          <w:color w:val="auto"/>
        </w:rPr>
      </w:pPr>
    </w:p>
    <w:p>
      <w:pPr>
        <w:ind w:left="5860"/>
        <w:spacing w:after="0"/>
        <w:rPr>
          <w:sz w:val="20"/>
          <w:szCs w:val="20"/>
          <w:color w:val="auto"/>
        </w:rPr>
      </w:pPr>
      <w:r>
        <w:rPr>
          <w:rFonts w:ascii="Arial" w:cs="Arial" w:eastAsia="Arial" w:hAnsi="Arial"/>
          <w:sz w:val="13"/>
          <w:szCs w:val="13"/>
          <w:color w:val="auto"/>
        </w:rPr>
        <w:t>UNITI TOWERS – NMS INVESTOR LLC</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1260" w:type="dxa"/>
            <w:vAlign w:val="bottom"/>
          </w:tcPr>
          <w:p>
            <w:pPr>
              <w:spacing w:after="0"/>
              <w:rPr>
                <w:sz w:val="20"/>
                <w:szCs w:val="20"/>
                <w:color w:val="auto"/>
              </w:rPr>
            </w:pPr>
            <w:r>
              <w:rPr>
                <w:rFonts w:ascii="Arial" w:cs="Arial" w:eastAsia="Arial" w:hAnsi="Arial"/>
                <w:sz w:val="13"/>
                <w:szCs w:val="13"/>
                <w:color w:val="auto"/>
              </w:rPr>
              <w:t>By:</w:t>
            </w:r>
          </w:p>
        </w:tc>
        <w:tc>
          <w:tcPr>
            <w:tcW w:w="558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1"/>
        </w:trPr>
        <w:tc>
          <w:tcPr>
            <w:tcW w:w="1260" w:type="dxa"/>
            <w:vAlign w:val="bottom"/>
          </w:tcPr>
          <w:p>
            <w:pPr>
              <w:spacing w:after="0"/>
              <w:rPr>
                <w:sz w:val="12"/>
                <w:szCs w:val="12"/>
                <w:color w:val="auto"/>
              </w:rPr>
            </w:pPr>
          </w:p>
        </w:tc>
        <w:tc>
          <w:tcPr>
            <w:tcW w:w="5580" w:type="dxa"/>
            <w:vAlign w:val="bottom"/>
          </w:tcPr>
          <w:p>
            <w:pPr>
              <w:spacing w:after="0" w:line="141" w:lineRule="exact"/>
              <w:rPr>
                <w:sz w:val="20"/>
                <w:szCs w:val="20"/>
                <w:color w:val="auto"/>
              </w:rPr>
            </w:pPr>
            <w:r>
              <w:rPr>
                <w:rFonts w:ascii="Arial" w:cs="Arial" w:eastAsia="Arial" w:hAnsi="Arial"/>
                <w:sz w:val="13"/>
                <w:szCs w:val="13"/>
                <w:color w:val="auto"/>
              </w:rPr>
              <w:t>Name:Daniel Heard</w:t>
            </w:r>
          </w:p>
        </w:tc>
      </w:tr>
      <w:tr>
        <w:trPr>
          <w:trHeight w:val="166"/>
        </w:trPr>
        <w:tc>
          <w:tcPr>
            <w:tcW w:w="1260" w:type="dxa"/>
            <w:vAlign w:val="bottom"/>
          </w:tcPr>
          <w:p>
            <w:pPr>
              <w:spacing w:after="0"/>
              <w:rPr>
                <w:sz w:val="14"/>
                <w:szCs w:val="14"/>
                <w:color w:val="auto"/>
              </w:rPr>
            </w:pPr>
          </w:p>
        </w:tc>
        <w:tc>
          <w:tcPr>
            <w:tcW w:w="5580" w:type="dxa"/>
            <w:vAlign w:val="bottom"/>
          </w:tcPr>
          <w:p>
            <w:pPr>
              <w:spacing w:after="0"/>
              <w:rPr>
                <w:sz w:val="20"/>
                <w:szCs w:val="20"/>
                <w:color w:val="auto"/>
              </w:rPr>
            </w:pPr>
            <w:r>
              <w:rPr>
                <w:rFonts w:ascii="Arial" w:cs="Arial" w:eastAsia="Arial" w:hAnsi="Arial"/>
                <w:sz w:val="13"/>
                <w:szCs w:val="13"/>
                <w:color w:val="auto"/>
              </w:rPr>
              <w:t>Title:Executive Vice President – General Counsel and Secretary</w:t>
            </w:r>
          </w:p>
        </w:tc>
      </w:tr>
    </w:tbl>
    <w:p>
      <w:pPr>
        <w:spacing w:after="0" w:line="200" w:lineRule="exact"/>
        <w:rPr>
          <w:sz w:val="20"/>
          <w:szCs w:val="20"/>
          <w:color w:val="auto"/>
        </w:rPr>
      </w:pPr>
    </w:p>
    <w:p>
      <w:pPr>
        <w:spacing w:after="0" w:line="355" w:lineRule="exact"/>
        <w:rPr>
          <w:sz w:val="20"/>
          <w:szCs w:val="20"/>
          <w:color w:val="auto"/>
        </w:rPr>
      </w:pPr>
    </w:p>
    <w:p>
      <w:pPr>
        <w:ind w:left="4360"/>
        <w:spacing w:after="0"/>
        <w:rPr>
          <w:sz w:val="20"/>
          <w:szCs w:val="20"/>
          <w:color w:val="auto"/>
        </w:rPr>
      </w:pPr>
      <w:r>
        <w:rPr>
          <w:rFonts w:ascii="Arial" w:cs="Arial" w:eastAsia="Arial" w:hAnsi="Arial"/>
          <w:sz w:val="13"/>
          <w:szCs w:val="13"/>
          <w:color w:val="auto"/>
        </w:rPr>
        <w:t>[Signature Page to Amendment No. 4 and Limited Waiver]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207645</wp:posOffset>
            </wp:positionV>
            <wp:extent cx="7329170" cy="3683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239"/>
          </w:cols>
          <w:pgMar w:left="220" w:top="453" w:right="1440" w:bottom="1440" w:gutter="0" w:footer="0" w:header="0"/>
        </w:sectPr>
      </w:pPr>
    </w:p>
    <w:bookmarkStart w:id="137" w:name="page138"/>
    <w:bookmarkEnd w:id="137"/>
    <w:p>
      <w:pPr>
        <w:ind w:left="6260"/>
        <w:spacing w:after="0"/>
        <w:rPr>
          <w:sz w:val="20"/>
          <w:szCs w:val="20"/>
          <w:color w:val="auto"/>
        </w:rPr>
      </w:pPr>
      <w:r>
        <w:rPr>
          <w:rFonts w:ascii="Arial" w:cs="Arial" w:eastAsia="Arial" w:hAnsi="Arial"/>
          <w:sz w:val="13"/>
          <w:szCs w:val="13"/>
          <w:color w:val="auto"/>
        </w:rPr>
        <w:t>CSL NATIONAL, LP, as a Guarantor</w:t>
      </w:r>
    </w:p>
    <w:p>
      <w:pPr>
        <w:spacing w:after="0" w:line="166" w:lineRule="exact"/>
        <w:rPr>
          <w:sz w:val="20"/>
          <w:szCs w:val="20"/>
          <w:color w:val="auto"/>
        </w:rPr>
      </w:pPr>
    </w:p>
    <w:p>
      <w:pPr>
        <w:ind w:left="6740"/>
        <w:spacing w:after="0"/>
        <w:rPr>
          <w:sz w:val="20"/>
          <w:szCs w:val="20"/>
          <w:color w:val="auto"/>
        </w:rPr>
      </w:pPr>
      <w:r>
        <w:rPr>
          <w:rFonts w:ascii="Arial" w:cs="Arial" w:eastAsia="Arial" w:hAnsi="Arial"/>
          <w:sz w:val="13"/>
          <w:szCs w:val="13"/>
          <w:color w:val="auto"/>
        </w:rPr>
        <w:t>By: CSL NATIONAL GP, LLC, as its general partner</w:t>
      </w:r>
    </w:p>
    <w:p>
      <w:pPr>
        <w:spacing w:after="0" w:line="175" w:lineRule="exact"/>
        <w:rPr>
          <w:sz w:val="20"/>
          <w:szCs w:val="20"/>
          <w:color w:val="auto"/>
        </w:rPr>
      </w:pPr>
    </w:p>
    <w:tbl>
      <w:tblPr>
        <w:tblLayout w:type="fixed"/>
        <w:tblInd w:w="7200" w:type="dxa"/>
        <w:tblCellMar>
          <w:top w:w="0" w:type="dxa"/>
          <w:left w:w="0" w:type="dxa"/>
          <w:bottom w:w="0" w:type="dxa"/>
          <w:right w:w="0" w:type="dxa"/>
        </w:tblCellMar>
      </w:tblPr>
      <w:tr>
        <w:trPr>
          <w:trHeight w:val="169"/>
        </w:trPr>
        <w:tc>
          <w:tcPr>
            <w:tcW w:w="780" w:type="dxa"/>
            <w:vAlign w:val="bottom"/>
          </w:tcPr>
          <w:p>
            <w:pPr>
              <w:spacing w:after="0"/>
              <w:rPr>
                <w:sz w:val="20"/>
                <w:szCs w:val="20"/>
                <w:color w:val="auto"/>
              </w:rPr>
            </w:pPr>
            <w:r>
              <w:rPr>
                <w:rFonts w:ascii="Arial" w:cs="Arial" w:eastAsia="Arial" w:hAnsi="Arial"/>
                <w:sz w:val="13"/>
                <w:szCs w:val="13"/>
                <w:color w:val="auto"/>
              </w:rPr>
              <w:t>By:</w:t>
            </w:r>
          </w:p>
        </w:tc>
        <w:tc>
          <w:tcPr>
            <w:tcW w:w="350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780" w:type="dxa"/>
            <w:vAlign w:val="bottom"/>
          </w:tcPr>
          <w:p>
            <w:pPr>
              <w:spacing w:after="0"/>
              <w:rPr>
                <w:sz w:val="12"/>
                <w:szCs w:val="12"/>
                <w:color w:val="auto"/>
              </w:rPr>
            </w:pPr>
          </w:p>
        </w:tc>
        <w:tc>
          <w:tcPr>
            <w:tcW w:w="3500" w:type="dxa"/>
            <w:vAlign w:val="bottom"/>
          </w:tcPr>
          <w:p>
            <w:pPr>
              <w:spacing w:after="0" w:line="144" w:lineRule="exact"/>
              <w:rPr>
                <w:sz w:val="20"/>
                <w:szCs w:val="20"/>
                <w:color w:val="auto"/>
              </w:rPr>
            </w:pPr>
            <w:r>
              <w:rPr>
                <w:rFonts w:ascii="Arial" w:cs="Arial" w:eastAsia="Arial" w:hAnsi="Arial"/>
                <w:sz w:val="13"/>
                <w:szCs w:val="13"/>
                <w:color w:val="auto"/>
              </w:rPr>
              <w:t>Name:Daniel Heard</w:t>
            </w:r>
          </w:p>
        </w:tc>
      </w:tr>
      <w:tr>
        <w:trPr>
          <w:trHeight w:val="166"/>
        </w:trPr>
        <w:tc>
          <w:tcPr>
            <w:tcW w:w="780" w:type="dxa"/>
            <w:vAlign w:val="bottom"/>
          </w:tcPr>
          <w:p>
            <w:pPr>
              <w:spacing w:after="0"/>
              <w:rPr>
                <w:sz w:val="14"/>
                <w:szCs w:val="14"/>
                <w:color w:val="auto"/>
              </w:rPr>
            </w:pPr>
          </w:p>
        </w:tc>
        <w:tc>
          <w:tcPr>
            <w:tcW w:w="3500" w:type="dxa"/>
            <w:vAlign w:val="bottom"/>
          </w:tcPr>
          <w:p>
            <w:pPr>
              <w:spacing w:after="0"/>
              <w:rPr>
                <w:sz w:val="20"/>
                <w:szCs w:val="20"/>
                <w:color w:val="auto"/>
              </w:rPr>
            </w:pPr>
            <w:r>
              <w:rPr>
                <w:rFonts w:ascii="Arial" w:cs="Arial" w:eastAsia="Arial" w:hAnsi="Arial"/>
                <w:sz w:val="13"/>
                <w:szCs w:val="13"/>
                <w:color w:val="auto"/>
                <w:w w:val="94"/>
              </w:rPr>
              <w:t>Title:Executive Vice President – General Counsel and Secretary</w:t>
            </w:r>
          </w:p>
        </w:tc>
      </w:tr>
    </w:tbl>
    <w:p>
      <w:pPr>
        <w:spacing w:after="0" w:line="321" w:lineRule="exact"/>
        <w:rPr>
          <w:sz w:val="20"/>
          <w:szCs w:val="20"/>
          <w:color w:val="auto"/>
        </w:rPr>
      </w:pPr>
    </w:p>
    <w:p>
      <w:pPr>
        <w:ind w:left="6260"/>
        <w:spacing w:after="0"/>
        <w:rPr>
          <w:sz w:val="20"/>
          <w:szCs w:val="20"/>
          <w:color w:val="auto"/>
        </w:rPr>
      </w:pPr>
      <w:r>
        <w:rPr>
          <w:rFonts w:ascii="Arial" w:cs="Arial" w:eastAsia="Arial" w:hAnsi="Arial"/>
          <w:sz w:val="13"/>
          <w:szCs w:val="13"/>
          <w:color w:val="auto"/>
        </w:rPr>
        <w:t>CSL NORTH CAROLINA REALTY, LP, as a Guarantor</w:t>
      </w:r>
    </w:p>
    <w:p>
      <w:pPr>
        <w:spacing w:after="0" w:line="166" w:lineRule="exact"/>
        <w:rPr>
          <w:sz w:val="20"/>
          <w:szCs w:val="20"/>
          <w:color w:val="auto"/>
        </w:rPr>
      </w:pPr>
    </w:p>
    <w:p>
      <w:pPr>
        <w:ind w:left="6740"/>
        <w:spacing w:after="0"/>
        <w:rPr>
          <w:sz w:val="20"/>
          <w:szCs w:val="20"/>
          <w:color w:val="auto"/>
        </w:rPr>
      </w:pPr>
      <w:r>
        <w:rPr>
          <w:rFonts w:ascii="Arial" w:cs="Arial" w:eastAsia="Arial" w:hAnsi="Arial"/>
          <w:sz w:val="13"/>
          <w:szCs w:val="13"/>
          <w:color w:val="auto"/>
        </w:rPr>
        <w:t>By: CSL NORTH CAROLINA REALTY GP, LLC, as its general partner</w:t>
      </w:r>
    </w:p>
    <w:p>
      <w:pPr>
        <w:spacing w:after="0" w:line="175" w:lineRule="exact"/>
        <w:rPr>
          <w:sz w:val="20"/>
          <w:szCs w:val="20"/>
          <w:color w:val="auto"/>
        </w:rPr>
      </w:pPr>
    </w:p>
    <w:tbl>
      <w:tblPr>
        <w:tblLayout w:type="fixed"/>
        <w:tblInd w:w="7200" w:type="dxa"/>
        <w:tblCellMar>
          <w:top w:w="0" w:type="dxa"/>
          <w:left w:w="0" w:type="dxa"/>
          <w:bottom w:w="0" w:type="dxa"/>
          <w:right w:w="0" w:type="dxa"/>
        </w:tblCellMar>
      </w:tblPr>
      <w:tr>
        <w:trPr>
          <w:trHeight w:val="169"/>
        </w:trPr>
        <w:tc>
          <w:tcPr>
            <w:tcW w:w="780" w:type="dxa"/>
            <w:vAlign w:val="bottom"/>
          </w:tcPr>
          <w:p>
            <w:pPr>
              <w:spacing w:after="0"/>
              <w:rPr>
                <w:sz w:val="20"/>
                <w:szCs w:val="20"/>
                <w:color w:val="auto"/>
              </w:rPr>
            </w:pPr>
            <w:r>
              <w:rPr>
                <w:rFonts w:ascii="Arial" w:cs="Arial" w:eastAsia="Arial" w:hAnsi="Arial"/>
                <w:sz w:val="13"/>
                <w:szCs w:val="13"/>
                <w:color w:val="auto"/>
              </w:rPr>
              <w:t>By:</w:t>
            </w:r>
          </w:p>
        </w:tc>
        <w:tc>
          <w:tcPr>
            <w:tcW w:w="350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780" w:type="dxa"/>
            <w:vAlign w:val="bottom"/>
          </w:tcPr>
          <w:p>
            <w:pPr>
              <w:spacing w:after="0"/>
              <w:rPr>
                <w:sz w:val="12"/>
                <w:szCs w:val="12"/>
                <w:color w:val="auto"/>
              </w:rPr>
            </w:pPr>
          </w:p>
        </w:tc>
        <w:tc>
          <w:tcPr>
            <w:tcW w:w="3500" w:type="dxa"/>
            <w:vAlign w:val="bottom"/>
          </w:tcPr>
          <w:p>
            <w:pPr>
              <w:spacing w:after="0" w:line="144" w:lineRule="exact"/>
              <w:rPr>
                <w:sz w:val="20"/>
                <w:szCs w:val="20"/>
                <w:color w:val="auto"/>
              </w:rPr>
            </w:pPr>
            <w:r>
              <w:rPr>
                <w:rFonts w:ascii="Arial" w:cs="Arial" w:eastAsia="Arial" w:hAnsi="Arial"/>
                <w:sz w:val="13"/>
                <w:szCs w:val="13"/>
                <w:color w:val="auto"/>
              </w:rPr>
              <w:t>Name:Daniel Heard</w:t>
            </w:r>
          </w:p>
        </w:tc>
      </w:tr>
      <w:tr>
        <w:trPr>
          <w:trHeight w:val="166"/>
        </w:trPr>
        <w:tc>
          <w:tcPr>
            <w:tcW w:w="780" w:type="dxa"/>
            <w:vAlign w:val="bottom"/>
          </w:tcPr>
          <w:p>
            <w:pPr>
              <w:spacing w:after="0"/>
              <w:rPr>
                <w:sz w:val="14"/>
                <w:szCs w:val="14"/>
                <w:color w:val="auto"/>
              </w:rPr>
            </w:pPr>
          </w:p>
        </w:tc>
        <w:tc>
          <w:tcPr>
            <w:tcW w:w="3500" w:type="dxa"/>
            <w:vAlign w:val="bottom"/>
          </w:tcPr>
          <w:p>
            <w:pPr>
              <w:spacing w:after="0"/>
              <w:rPr>
                <w:sz w:val="20"/>
                <w:szCs w:val="20"/>
                <w:color w:val="auto"/>
              </w:rPr>
            </w:pPr>
            <w:r>
              <w:rPr>
                <w:rFonts w:ascii="Arial" w:cs="Arial" w:eastAsia="Arial" w:hAnsi="Arial"/>
                <w:sz w:val="13"/>
                <w:szCs w:val="13"/>
                <w:color w:val="auto"/>
                <w:w w:val="94"/>
              </w:rPr>
              <w:t>Title:Executive Vice President – General Counsel and Secretary</w:t>
            </w:r>
          </w:p>
        </w:tc>
      </w:tr>
    </w:tbl>
    <w:p>
      <w:pPr>
        <w:spacing w:after="0" w:line="321" w:lineRule="exact"/>
        <w:rPr>
          <w:sz w:val="20"/>
          <w:szCs w:val="20"/>
          <w:color w:val="auto"/>
        </w:rPr>
      </w:pPr>
    </w:p>
    <w:p>
      <w:pPr>
        <w:ind w:left="6260"/>
        <w:spacing w:after="0"/>
        <w:rPr>
          <w:sz w:val="20"/>
          <w:szCs w:val="20"/>
          <w:color w:val="auto"/>
        </w:rPr>
      </w:pPr>
      <w:r>
        <w:rPr>
          <w:rFonts w:ascii="Arial" w:cs="Arial" w:eastAsia="Arial" w:hAnsi="Arial"/>
          <w:sz w:val="13"/>
          <w:szCs w:val="13"/>
          <w:color w:val="auto"/>
        </w:rPr>
        <w:t>CSL NORTH CAROLINA SYSTEM, LP, as a Guarantor</w:t>
      </w:r>
    </w:p>
    <w:p>
      <w:pPr>
        <w:spacing w:after="0" w:line="166" w:lineRule="exact"/>
        <w:rPr>
          <w:sz w:val="20"/>
          <w:szCs w:val="20"/>
          <w:color w:val="auto"/>
        </w:rPr>
      </w:pPr>
    </w:p>
    <w:p>
      <w:pPr>
        <w:jc w:val="right"/>
        <w:ind w:right="840"/>
        <w:spacing w:after="0"/>
        <w:rPr>
          <w:sz w:val="20"/>
          <w:szCs w:val="20"/>
          <w:color w:val="auto"/>
        </w:rPr>
      </w:pPr>
      <w:r>
        <w:rPr>
          <w:rFonts w:ascii="Arial" w:cs="Arial" w:eastAsia="Arial" w:hAnsi="Arial"/>
          <w:sz w:val="13"/>
          <w:szCs w:val="13"/>
          <w:color w:val="auto"/>
        </w:rPr>
        <w:t>By: CSL NORTH CAROLINA REALTY GP, LLC, as its general partner</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8040" w:type="dxa"/>
            <w:vAlign w:val="bottom"/>
          </w:tcPr>
          <w:p>
            <w:pPr>
              <w:ind w:left="7260"/>
              <w:spacing w:after="0"/>
              <w:rPr>
                <w:sz w:val="20"/>
                <w:szCs w:val="20"/>
                <w:color w:val="auto"/>
              </w:rPr>
            </w:pPr>
            <w:r>
              <w:rPr>
                <w:rFonts w:ascii="Arial" w:cs="Arial" w:eastAsia="Arial" w:hAnsi="Arial"/>
                <w:sz w:val="13"/>
                <w:szCs w:val="13"/>
                <w:color w:val="auto"/>
              </w:rPr>
              <w:t>By:</w:t>
            </w:r>
          </w:p>
        </w:tc>
        <w:tc>
          <w:tcPr>
            <w:tcW w:w="344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c>
          <w:tcPr>
            <w:tcW w:w="20" w:type="dxa"/>
            <w:vAlign w:val="bottom"/>
          </w:tcPr>
          <w:p>
            <w:pPr>
              <w:spacing w:after="0"/>
              <w:rPr>
                <w:sz w:val="14"/>
                <w:szCs w:val="14"/>
                <w:color w:val="auto"/>
              </w:rPr>
            </w:pPr>
          </w:p>
        </w:tc>
      </w:tr>
      <w:tr>
        <w:trPr>
          <w:trHeight w:val="144"/>
        </w:trPr>
        <w:tc>
          <w:tcPr>
            <w:tcW w:w="8040" w:type="dxa"/>
            <w:vAlign w:val="bottom"/>
          </w:tcPr>
          <w:p>
            <w:pPr>
              <w:spacing w:after="0"/>
              <w:rPr>
                <w:sz w:val="12"/>
                <w:szCs w:val="12"/>
                <w:color w:val="auto"/>
              </w:rPr>
            </w:pPr>
          </w:p>
        </w:tc>
        <w:tc>
          <w:tcPr>
            <w:tcW w:w="3440" w:type="dxa"/>
            <w:vAlign w:val="bottom"/>
          </w:tcPr>
          <w:p>
            <w:pPr>
              <w:spacing w:after="0" w:line="144" w:lineRule="exact"/>
              <w:rPr>
                <w:sz w:val="20"/>
                <w:szCs w:val="20"/>
                <w:color w:val="auto"/>
              </w:rPr>
            </w:pPr>
            <w:r>
              <w:rPr>
                <w:rFonts w:ascii="Arial" w:cs="Arial" w:eastAsia="Arial" w:hAnsi="Arial"/>
                <w:sz w:val="13"/>
                <w:szCs w:val="13"/>
                <w:color w:val="auto"/>
              </w:rPr>
              <w:t>Name: Daniel Heard</w:t>
            </w:r>
          </w:p>
        </w:tc>
        <w:tc>
          <w:tcPr>
            <w:tcW w:w="20" w:type="dxa"/>
            <w:vAlign w:val="bottom"/>
          </w:tcPr>
          <w:p>
            <w:pPr>
              <w:spacing w:after="0"/>
              <w:rPr>
                <w:sz w:val="12"/>
                <w:szCs w:val="12"/>
                <w:color w:val="auto"/>
              </w:rPr>
            </w:pPr>
          </w:p>
        </w:tc>
      </w:tr>
      <w:tr>
        <w:trPr>
          <w:trHeight w:val="153"/>
        </w:trPr>
        <w:tc>
          <w:tcPr>
            <w:tcW w:w="8040" w:type="dxa"/>
            <w:vAlign w:val="bottom"/>
          </w:tcPr>
          <w:p>
            <w:pPr>
              <w:spacing w:after="0"/>
              <w:rPr>
                <w:sz w:val="13"/>
                <w:szCs w:val="13"/>
                <w:color w:val="auto"/>
              </w:rPr>
            </w:pPr>
          </w:p>
        </w:tc>
        <w:tc>
          <w:tcPr>
            <w:tcW w:w="3440" w:type="dxa"/>
            <w:vAlign w:val="bottom"/>
          </w:tcPr>
          <w:p>
            <w:pPr>
              <w:spacing w:after="0"/>
              <w:rPr>
                <w:sz w:val="20"/>
                <w:szCs w:val="20"/>
                <w:color w:val="auto"/>
              </w:rPr>
            </w:pPr>
            <w:r>
              <w:rPr>
                <w:rFonts w:ascii="Arial" w:cs="Arial" w:eastAsia="Arial" w:hAnsi="Arial"/>
                <w:sz w:val="13"/>
                <w:szCs w:val="13"/>
                <w:color w:val="auto"/>
              </w:rPr>
              <w:t>Title:  Executive Vice President –General Counsel and</w:t>
            </w:r>
          </w:p>
        </w:tc>
        <w:tc>
          <w:tcPr>
            <w:tcW w:w="20" w:type="dxa"/>
            <w:vAlign w:val="bottom"/>
          </w:tcPr>
          <w:p>
            <w:pPr>
              <w:spacing w:after="0"/>
              <w:rPr>
                <w:sz w:val="13"/>
                <w:szCs w:val="13"/>
                <w:color w:val="auto"/>
              </w:rPr>
            </w:pPr>
          </w:p>
        </w:tc>
      </w:tr>
      <w:tr>
        <w:trPr>
          <w:trHeight w:val="166"/>
        </w:trPr>
        <w:tc>
          <w:tcPr>
            <w:tcW w:w="8040" w:type="dxa"/>
            <w:vAlign w:val="bottom"/>
          </w:tcPr>
          <w:p>
            <w:pPr>
              <w:spacing w:after="0"/>
              <w:rPr>
                <w:sz w:val="14"/>
                <w:szCs w:val="14"/>
                <w:color w:val="auto"/>
              </w:rPr>
            </w:pPr>
          </w:p>
        </w:tc>
        <w:tc>
          <w:tcPr>
            <w:tcW w:w="3440" w:type="dxa"/>
            <w:vAlign w:val="bottom"/>
          </w:tcPr>
          <w:p>
            <w:pPr>
              <w:ind w:left="440"/>
              <w:spacing w:after="0"/>
              <w:rPr>
                <w:sz w:val="20"/>
                <w:szCs w:val="20"/>
                <w:color w:val="auto"/>
              </w:rPr>
            </w:pPr>
            <w:r>
              <w:rPr>
                <w:rFonts w:ascii="Arial" w:cs="Arial" w:eastAsia="Arial" w:hAnsi="Arial"/>
                <w:sz w:val="13"/>
                <w:szCs w:val="13"/>
                <w:color w:val="auto"/>
              </w:rPr>
              <w:t>Secretary</w:t>
            </w:r>
          </w:p>
        </w:tc>
        <w:tc>
          <w:tcPr>
            <w:tcW w:w="20" w:type="dxa"/>
            <w:vAlign w:val="bottom"/>
          </w:tcPr>
          <w:p>
            <w:pPr>
              <w:spacing w:after="0"/>
              <w:rPr>
                <w:sz w:val="14"/>
                <w:szCs w:val="14"/>
                <w:color w:val="auto"/>
              </w:rPr>
            </w:pPr>
          </w:p>
        </w:tc>
      </w:tr>
      <w:tr>
        <w:trPr>
          <w:trHeight w:val="450"/>
        </w:trPr>
        <w:tc>
          <w:tcPr>
            <w:tcW w:w="8040" w:type="dxa"/>
            <w:vAlign w:val="bottom"/>
          </w:tcPr>
          <w:p>
            <w:pPr>
              <w:ind w:left="4180"/>
              <w:spacing w:after="0"/>
              <w:rPr>
                <w:sz w:val="20"/>
                <w:szCs w:val="20"/>
                <w:color w:val="auto"/>
              </w:rPr>
            </w:pPr>
            <w:r>
              <w:rPr>
                <w:rFonts w:ascii="Arial" w:cs="Arial" w:eastAsia="Arial" w:hAnsi="Arial"/>
                <w:sz w:val="13"/>
                <w:szCs w:val="13"/>
                <w:color w:val="auto"/>
              </w:rPr>
              <w:t>[Signature Page to Amendment No. 4 and Limited Waiver]</w:t>
            </w:r>
          </w:p>
        </w:tc>
        <w:tc>
          <w:tcPr>
            <w:tcW w:w="3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31"/>
        </w:trPr>
        <w:tc>
          <w:tcPr>
            <w:tcW w:w="8040" w:type="dxa"/>
            <w:vAlign w:val="bottom"/>
            <w:tcBorders>
              <w:bottom w:val="single" w:sz="8" w:color="9A9A9A"/>
            </w:tcBorders>
          </w:tcPr>
          <w:p>
            <w:pPr>
              <w:spacing w:after="0"/>
              <w:rPr>
                <w:sz w:val="24"/>
                <w:szCs w:val="24"/>
                <w:color w:val="auto"/>
              </w:rPr>
            </w:pPr>
          </w:p>
        </w:tc>
        <w:tc>
          <w:tcPr>
            <w:tcW w:w="34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3">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4">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615" w:right="179" w:bottom="1440" w:gutter="0" w:footer="0" w:header="0"/>
        </w:sectPr>
      </w:pPr>
    </w:p>
    <w:bookmarkStart w:id="138" w:name="page139"/>
    <w:bookmarkEnd w:id="138"/>
    <w:p>
      <w:pPr>
        <w:ind w:left="5040"/>
        <w:spacing w:after="0"/>
        <w:rPr>
          <w:sz w:val="20"/>
          <w:szCs w:val="20"/>
          <w:color w:val="auto"/>
        </w:rPr>
      </w:pPr>
      <w:r>
        <w:rPr>
          <w:rFonts w:ascii="Arial" w:cs="Arial" w:eastAsia="Arial" w:hAnsi="Arial"/>
          <w:sz w:val="13"/>
          <w:szCs w:val="13"/>
          <w:color w:val="auto"/>
        </w:rPr>
        <w:t>UNITI HOLDINGS LP, as a Guarantor</w:t>
      </w:r>
    </w:p>
    <w:p>
      <w:pPr>
        <w:spacing w:after="0" w:line="166" w:lineRule="exact"/>
        <w:rPr>
          <w:sz w:val="20"/>
          <w:szCs w:val="20"/>
          <w:color w:val="auto"/>
        </w:rPr>
      </w:pPr>
    </w:p>
    <w:p>
      <w:pPr>
        <w:ind w:left="5540"/>
        <w:spacing w:after="0"/>
        <w:rPr>
          <w:sz w:val="20"/>
          <w:szCs w:val="20"/>
          <w:color w:val="auto"/>
        </w:rPr>
      </w:pPr>
      <w:r>
        <w:rPr>
          <w:rFonts w:ascii="Arial" w:cs="Arial" w:eastAsia="Arial" w:hAnsi="Arial"/>
          <w:sz w:val="13"/>
          <w:szCs w:val="13"/>
          <w:color w:val="auto"/>
        </w:rPr>
        <w:t>By: UNITI HOLDINGS GP LLC, as its general partner</w:t>
      </w:r>
    </w:p>
    <w:p>
      <w:pPr>
        <w:spacing w:after="0" w:line="175" w:lineRule="exact"/>
        <w:rPr>
          <w:sz w:val="20"/>
          <w:szCs w:val="20"/>
          <w:color w:val="auto"/>
        </w:rPr>
      </w:pPr>
    </w:p>
    <w:tbl>
      <w:tblPr>
        <w:tblLayout w:type="fixed"/>
        <w:tblInd w:w="6040" w:type="dxa"/>
        <w:tblCellMar>
          <w:top w:w="0" w:type="dxa"/>
          <w:left w:w="0" w:type="dxa"/>
          <w:bottom w:w="0" w:type="dxa"/>
          <w:right w:w="0" w:type="dxa"/>
        </w:tblCellMar>
      </w:tblPr>
      <w:tr>
        <w:trPr>
          <w:trHeight w:val="169"/>
        </w:trPr>
        <w:tc>
          <w:tcPr>
            <w:tcW w:w="780" w:type="dxa"/>
            <w:vAlign w:val="bottom"/>
          </w:tcPr>
          <w:p>
            <w:pPr>
              <w:spacing w:after="0"/>
              <w:rPr>
                <w:sz w:val="20"/>
                <w:szCs w:val="20"/>
                <w:color w:val="auto"/>
              </w:rPr>
            </w:pPr>
            <w:r>
              <w:rPr>
                <w:rFonts w:ascii="Arial" w:cs="Arial" w:eastAsia="Arial" w:hAnsi="Arial"/>
                <w:sz w:val="13"/>
                <w:szCs w:val="13"/>
                <w:color w:val="auto"/>
              </w:rPr>
              <w:t>By:</w:t>
            </w:r>
          </w:p>
        </w:tc>
        <w:tc>
          <w:tcPr>
            <w:tcW w:w="344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780" w:type="dxa"/>
            <w:vAlign w:val="bottom"/>
          </w:tcPr>
          <w:p>
            <w:pPr>
              <w:spacing w:after="0"/>
              <w:rPr>
                <w:sz w:val="12"/>
                <w:szCs w:val="12"/>
                <w:color w:val="auto"/>
              </w:rPr>
            </w:pPr>
          </w:p>
        </w:tc>
        <w:tc>
          <w:tcPr>
            <w:tcW w:w="3440" w:type="dxa"/>
            <w:vAlign w:val="bottom"/>
          </w:tcPr>
          <w:p>
            <w:pPr>
              <w:spacing w:after="0" w:line="144" w:lineRule="exact"/>
              <w:rPr>
                <w:sz w:val="20"/>
                <w:szCs w:val="20"/>
                <w:color w:val="auto"/>
              </w:rPr>
            </w:pPr>
            <w:r>
              <w:rPr>
                <w:rFonts w:ascii="Arial" w:cs="Arial" w:eastAsia="Arial" w:hAnsi="Arial"/>
                <w:sz w:val="13"/>
                <w:szCs w:val="13"/>
                <w:color w:val="auto"/>
              </w:rPr>
              <w:t>Name: Daniel Heard</w:t>
            </w:r>
          </w:p>
        </w:tc>
      </w:tr>
      <w:tr>
        <w:trPr>
          <w:trHeight w:val="153"/>
        </w:trPr>
        <w:tc>
          <w:tcPr>
            <w:tcW w:w="780" w:type="dxa"/>
            <w:vAlign w:val="bottom"/>
          </w:tcPr>
          <w:p>
            <w:pPr>
              <w:spacing w:after="0"/>
              <w:rPr>
                <w:sz w:val="13"/>
                <w:szCs w:val="13"/>
                <w:color w:val="auto"/>
              </w:rPr>
            </w:pPr>
          </w:p>
        </w:tc>
        <w:tc>
          <w:tcPr>
            <w:tcW w:w="3440" w:type="dxa"/>
            <w:vAlign w:val="bottom"/>
          </w:tcPr>
          <w:p>
            <w:pPr>
              <w:spacing w:after="0"/>
              <w:rPr>
                <w:sz w:val="20"/>
                <w:szCs w:val="20"/>
                <w:color w:val="auto"/>
              </w:rPr>
            </w:pPr>
            <w:r>
              <w:rPr>
                <w:rFonts w:ascii="Arial" w:cs="Arial" w:eastAsia="Arial" w:hAnsi="Arial"/>
                <w:sz w:val="13"/>
                <w:szCs w:val="13"/>
                <w:color w:val="auto"/>
              </w:rPr>
              <w:t>Title:  Executive Vice President – General Counsel and</w:t>
            </w:r>
          </w:p>
        </w:tc>
      </w:tr>
      <w:tr>
        <w:trPr>
          <w:trHeight w:val="166"/>
        </w:trPr>
        <w:tc>
          <w:tcPr>
            <w:tcW w:w="780" w:type="dxa"/>
            <w:vAlign w:val="bottom"/>
          </w:tcPr>
          <w:p>
            <w:pPr>
              <w:spacing w:after="0"/>
              <w:rPr>
                <w:sz w:val="14"/>
                <w:szCs w:val="14"/>
                <w:color w:val="auto"/>
              </w:rPr>
            </w:pPr>
          </w:p>
        </w:tc>
        <w:tc>
          <w:tcPr>
            <w:tcW w:w="3440" w:type="dxa"/>
            <w:vAlign w:val="bottom"/>
          </w:tcPr>
          <w:p>
            <w:pPr>
              <w:ind w:left="440"/>
              <w:spacing w:after="0"/>
              <w:rPr>
                <w:sz w:val="20"/>
                <w:szCs w:val="20"/>
                <w:color w:val="auto"/>
              </w:rPr>
            </w:pPr>
            <w:r>
              <w:rPr>
                <w:rFonts w:ascii="Arial" w:cs="Arial" w:eastAsia="Arial" w:hAnsi="Arial"/>
                <w:sz w:val="13"/>
                <w:szCs w:val="13"/>
                <w:color w:val="auto"/>
              </w:rPr>
              <w:t>Secretary</w:t>
            </w:r>
          </w:p>
        </w:tc>
      </w:tr>
    </w:tbl>
    <w:p>
      <w:pPr>
        <w:spacing w:after="0" w:line="200" w:lineRule="exact"/>
        <w:rPr>
          <w:sz w:val="20"/>
          <w:szCs w:val="20"/>
          <w:color w:val="auto"/>
        </w:rPr>
      </w:pPr>
    </w:p>
    <w:p>
      <w:pPr>
        <w:spacing w:after="0" w:line="265" w:lineRule="exact"/>
        <w:rPr>
          <w:sz w:val="20"/>
          <w:szCs w:val="20"/>
          <w:color w:val="auto"/>
        </w:rPr>
      </w:pPr>
    </w:p>
    <w:p>
      <w:pPr>
        <w:ind w:left="5040"/>
        <w:spacing w:after="0"/>
        <w:rPr>
          <w:sz w:val="20"/>
          <w:szCs w:val="20"/>
          <w:color w:val="auto"/>
        </w:rPr>
      </w:pPr>
      <w:r>
        <w:rPr>
          <w:rFonts w:ascii="Arial" w:cs="Arial" w:eastAsia="Arial" w:hAnsi="Arial"/>
          <w:sz w:val="13"/>
          <w:szCs w:val="13"/>
          <w:color w:val="auto"/>
        </w:rPr>
        <w:t>UNITI LATAM LP, as a Guarantor</w:t>
      </w:r>
    </w:p>
    <w:p>
      <w:pPr>
        <w:spacing w:after="0" w:line="166" w:lineRule="exact"/>
        <w:rPr>
          <w:sz w:val="20"/>
          <w:szCs w:val="20"/>
          <w:color w:val="auto"/>
        </w:rPr>
      </w:pPr>
    </w:p>
    <w:p>
      <w:pPr>
        <w:ind w:left="5540"/>
        <w:spacing w:after="0"/>
        <w:rPr>
          <w:sz w:val="20"/>
          <w:szCs w:val="20"/>
          <w:color w:val="auto"/>
        </w:rPr>
      </w:pPr>
      <w:r>
        <w:rPr>
          <w:rFonts w:ascii="Arial" w:cs="Arial" w:eastAsia="Arial" w:hAnsi="Arial"/>
          <w:sz w:val="13"/>
          <w:szCs w:val="13"/>
          <w:color w:val="auto"/>
        </w:rPr>
        <w:t>By: UNITI LATAM GP LLC, as its general partner</w:t>
      </w:r>
    </w:p>
    <w:p>
      <w:pPr>
        <w:spacing w:after="0" w:line="175" w:lineRule="exact"/>
        <w:rPr>
          <w:sz w:val="20"/>
          <w:szCs w:val="20"/>
          <w:color w:val="auto"/>
        </w:rPr>
      </w:pPr>
    </w:p>
    <w:tbl>
      <w:tblPr>
        <w:tblLayout w:type="fixed"/>
        <w:tblInd w:w="6040" w:type="dxa"/>
        <w:tblCellMar>
          <w:top w:w="0" w:type="dxa"/>
          <w:left w:w="0" w:type="dxa"/>
          <w:bottom w:w="0" w:type="dxa"/>
          <w:right w:w="0" w:type="dxa"/>
        </w:tblCellMar>
      </w:tblPr>
      <w:tr>
        <w:trPr>
          <w:trHeight w:val="169"/>
        </w:trPr>
        <w:tc>
          <w:tcPr>
            <w:tcW w:w="780" w:type="dxa"/>
            <w:vAlign w:val="bottom"/>
          </w:tcPr>
          <w:p>
            <w:pPr>
              <w:spacing w:after="0"/>
              <w:rPr>
                <w:sz w:val="20"/>
                <w:szCs w:val="20"/>
                <w:color w:val="auto"/>
              </w:rPr>
            </w:pPr>
            <w:r>
              <w:rPr>
                <w:rFonts w:ascii="Arial" w:cs="Arial" w:eastAsia="Arial" w:hAnsi="Arial"/>
                <w:sz w:val="13"/>
                <w:szCs w:val="13"/>
                <w:color w:val="auto"/>
              </w:rPr>
              <w:t>By:</w:t>
            </w:r>
          </w:p>
        </w:tc>
        <w:tc>
          <w:tcPr>
            <w:tcW w:w="344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780" w:type="dxa"/>
            <w:vAlign w:val="bottom"/>
          </w:tcPr>
          <w:p>
            <w:pPr>
              <w:spacing w:after="0"/>
              <w:rPr>
                <w:sz w:val="12"/>
                <w:szCs w:val="12"/>
                <w:color w:val="auto"/>
              </w:rPr>
            </w:pPr>
          </w:p>
        </w:tc>
        <w:tc>
          <w:tcPr>
            <w:tcW w:w="3440" w:type="dxa"/>
            <w:vAlign w:val="bottom"/>
          </w:tcPr>
          <w:p>
            <w:pPr>
              <w:spacing w:after="0" w:line="144" w:lineRule="exact"/>
              <w:rPr>
                <w:sz w:val="20"/>
                <w:szCs w:val="20"/>
                <w:color w:val="auto"/>
              </w:rPr>
            </w:pPr>
            <w:r>
              <w:rPr>
                <w:rFonts w:ascii="Arial" w:cs="Arial" w:eastAsia="Arial" w:hAnsi="Arial"/>
                <w:sz w:val="13"/>
                <w:szCs w:val="13"/>
                <w:color w:val="auto"/>
              </w:rPr>
              <w:t>Name:Daniel Heard</w:t>
            </w:r>
          </w:p>
        </w:tc>
      </w:tr>
      <w:tr>
        <w:trPr>
          <w:trHeight w:val="153"/>
        </w:trPr>
        <w:tc>
          <w:tcPr>
            <w:tcW w:w="780" w:type="dxa"/>
            <w:vAlign w:val="bottom"/>
          </w:tcPr>
          <w:p>
            <w:pPr>
              <w:spacing w:after="0"/>
              <w:rPr>
                <w:sz w:val="13"/>
                <w:szCs w:val="13"/>
                <w:color w:val="auto"/>
              </w:rPr>
            </w:pPr>
          </w:p>
        </w:tc>
        <w:tc>
          <w:tcPr>
            <w:tcW w:w="3440" w:type="dxa"/>
            <w:vAlign w:val="bottom"/>
          </w:tcPr>
          <w:p>
            <w:pPr>
              <w:spacing w:after="0"/>
              <w:rPr>
                <w:sz w:val="20"/>
                <w:szCs w:val="20"/>
                <w:color w:val="auto"/>
              </w:rPr>
            </w:pPr>
            <w:r>
              <w:rPr>
                <w:rFonts w:ascii="Arial" w:cs="Arial" w:eastAsia="Arial" w:hAnsi="Arial"/>
                <w:sz w:val="13"/>
                <w:szCs w:val="13"/>
                <w:color w:val="auto"/>
              </w:rPr>
              <w:t>Title:   Executive Vice President – General Counsel and</w:t>
            </w:r>
          </w:p>
        </w:tc>
      </w:tr>
      <w:tr>
        <w:trPr>
          <w:trHeight w:val="166"/>
        </w:trPr>
        <w:tc>
          <w:tcPr>
            <w:tcW w:w="780" w:type="dxa"/>
            <w:vAlign w:val="bottom"/>
          </w:tcPr>
          <w:p>
            <w:pPr>
              <w:spacing w:after="0"/>
              <w:rPr>
                <w:sz w:val="14"/>
                <w:szCs w:val="14"/>
                <w:color w:val="auto"/>
              </w:rPr>
            </w:pPr>
          </w:p>
        </w:tc>
        <w:tc>
          <w:tcPr>
            <w:tcW w:w="3440" w:type="dxa"/>
            <w:vAlign w:val="bottom"/>
          </w:tcPr>
          <w:p>
            <w:pPr>
              <w:ind w:left="440"/>
              <w:spacing w:after="0"/>
              <w:rPr>
                <w:sz w:val="20"/>
                <w:szCs w:val="20"/>
                <w:color w:val="auto"/>
              </w:rPr>
            </w:pPr>
            <w:r>
              <w:rPr>
                <w:rFonts w:ascii="Arial" w:cs="Arial" w:eastAsia="Arial" w:hAnsi="Arial"/>
                <w:sz w:val="13"/>
                <w:szCs w:val="13"/>
                <w:color w:val="auto"/>
              </w:rPr>
              <w:t>Secretary</w:t>
            </w:r>
          </w:p>
        </w:tc>
      </w:tr>
    </w:tbl>
    <w:p>
      <w:pPr>
        <w:spacing w:after="0" w:line="303" w:lineRule="exact"/>
        <w:rPr>
          <w:sz w:val="20"/>
          <w:szCs w:val="20"/>
          <w:color w:val="auto"/>
        </w:rPr>
      </w:pPr>
    </w:p>
    <w:p>
      <w:pPr>
        <w:ind w:left="5040"/>
        <w:spacing w:after="0"/>
        <w:rPr>
          <w:sz w:val="20"/>
          <w:szCs w:val="20"/>
          <w:color w:val="auto"/>
        </w:rPr>
      </w:pPr>
      <w:r>
        <w:rPr>
          <w:rFonts w:ascii="Arial" w:cs="Arial" w:eastAsia="Arial" w:hAnsi="Arial"/>
          <w:sz w:val="13"/>
          <w:szCs w:val="13"/>
          <w:color w:val="auto"/>
        </w:rPr>
        <w:t>UNITI QRS HOLDINGS LP, as a Guarantor</w:t>
      </w:r>
    </w:p>
    <w:p>
      <w:pPr>
        <w:spacing w:after="0" w:line="166" w:lineRule="exact"/>
        <w:rPr>
          <w:sz w:val="20"/>
          <w:szCs w:val="20"/>
          <w:color w:val="auto"/>
        </w:rPr>
      </w:pPr>
    </w:p>
    <w:p>
      <w:pPr>
        <w:jc w:val="right"/>
        <w:ind w:right="1680"/>
        <w:spacing w:after="0"/>
        <w:rPr>
          <w:sz w:val="20"/>
          <w:szCs w:val="20"/>
          <w:color w:val="auto"/>
        </w:rPr>
      </w:pPr>
      <w:r>
        <w:rPr>
          <w:rFonts w:ascii="Arial" w:cs="Arial" w:eastAsia="Arial" w:hAnsi="Arial"/>
          <w:sz w:val="13"/>
          <w:szCs w:val="13"/>
          <w:color w:val="auto"/>
        </w:rPr>
        <w:t>By: UNITI QRS Holdings GP LLC, as its general partner</w:t>
      </w:r>
    </w:p>
    <w:p>
      <w:pPr>
        <w:spacing w:after="0" w:line="175" w:lineRule="exact"/>
        <w:rPr>
          <w:sz w:val="20"/>
          <w:szCs w:val="20"/>
          <w:color w:val="auto"/>
        </w:rPr>
      </w:pPr>
    </w:p>
    <w:tbl>
      <w:tblPr>
        <w:tblLayout w:type="fixed"/>
        <w:tblInd w:w="5980" w:type="dxa"/>
        <w:tblCellMar>
          <w:top w:w="0" w:type="dxa"/>
          <w:left w:w="0" w:type="dxa"/>
          <w:bottom w:w="0" w:type="dxa"/>
          <w:right w:w="0" w:type="dxa"/>
        </w:tblCellMar>
      </w:tblPr>
      <w:tr>
        <w:trPr>
          <w:trHeight w:val="169"/>
        </w:trPr>
        <w:tc>
          <w:tcPr>
            <w:tcW w:w="780" w:type="dxa"/>
            <w:vAlign w:val="bottom"/>
          </w:tcPr>
          <w:p>
            <w:pPr>
              <w:spacing w:after="0"/>
              <w:rPr>
                <w:sz w:val="20"/>
                <w:szCs w:val="20"/>
                <w:color w:val="auto"/>
              </w:rPr>
            </w:pPr>
            <w:r>
              <w:rPr>
                <w:rFonts w:ascii="Arial" w:cs="Arial" w:eastAsia="Arial" w:hAnsi="Arial"/>
                <w:sz w:val="13"/>
                <w:szCs w:val="13"/>
                <w:color w:val="auto"/>
              </w:rPr>
              <w:t>By:</w:t>
            </w:r>
          </w:p>
        </w:tc>
        <w:tc>
          <w:tcPr>
            <w:tcW w:w="350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Daniel Heard</w:t>
            </w:r>
          </w:p>
        </w:tc>
      </w:tr>
      <w:tr>
        <w:trPr>
          <w:trHeight w:val="144"/>
        </w:trPr>
        <w:tc>
          <w:tcPr>
            <w:tcW w:w="780" w:type="dxa"/>
            <w:vAlign w:val="bottom"/>
          </w:tcPr>
          <w:p>
            <w:pPr>
              <w:spacing w:after="0"/>
              <w:rPr>
                <w:sz w:val="12"/>
                <w:szCs w:val="12"/>
                <w:color w:val="auto"/>
              </w:rPr>
            </w:pPr>
          </w:p>
        </w:tc>
        <w:tc>
          <w:tcPr>
            <w:tcW w:w="3500" w:type="dxa"/>
            <w:vAlign w:val="bottom"/>
          </w:tcPr>
          <w:p>
            <w:pPr>
              <w:spacing w:after="0" w:line="144" w:lineRule="exact"/>
              <w:rPr>
                <w:sz w:val="20"/>
                <w:szCs w:val="20"/>
                <w:color w:val="auto"/>
              </w:rPr>
            </w:pPr>
            <w:r>
              <w:rPr>
                <w:rFonts w:ascii="Arial" w:cs="Arial" w:eastAsia="Arial" w:hAnsi="Arial"/>
                <w:sz w:val="13"/>
                <w:szCs w:val="13"/>
                <w:color w:val="auto"/>
              </w:rPr>
              <w:t>Name:Daniel Heard</w:t>
            </w:r>
          </w:p>
        </w:tc>
      </w:tr>
      <w:tr>
        <w:trPr>
          <w:trHeight w:val="166"/>
        </w:trPr>
        <w:tc>
          <w:tcPr>
            <w:tcW w:w="780" w:type="dxa"/>
            <w:vAlign w:val="bottom"/>
          </w:tcPr>
          <w:p>
            <w:pPr>
              <w:spacing w:after="0"/>
              <w:rPr>
                <w:sz w:val="14"/>
                <w:szCs w:val="14"/>
                <w:color w:val="auto"/>
              </w:rPr>
            </w:pPr>
          </w:p>
        </w:tc>
        <w:tc>
          <w:tcPr>
            <w:tcW w:w="3500" w:type="dxa"/>
            <w:vAlign w:val="bottom"/>
          </w:tcPr>
          <w:p>
            <w:pPr>
              <w:spacing w:after="0"/>
              <w:rPr>
                <w:sz w:val="20"/>
                <w:szCs w:val="20"/>
                <w:color w:val="auto"/>
              </w:rPr>
            </w:pPr>
            <w:r>
              <w:rPr>
                <w:rFonts w:ascii="Arial" w:cs="Arial" w:eastAsia="Arial" w:hAnsi="Arial"/>
                <w:sz w:val="13"/>
                <w:szCs w:val="13"/>
                <w:color w:val="auto"/>
                <w:w w:val="94"/>
              </w:rPr>
              <w:t>Title:Executive Vice President – General Counsel and Secretary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960"/>
        <w:spacing w:after="0"/>
        <w:rPr>
          <w:sz w:val="20"/>
          <w:szCs w:val="20"/>
          <w:color w:val="auto"/>
        </w:rPr>
      </w:pPr>
      <w:r>
        <w:rPr>
          <w:rFonts w:ascii="Arial" w:cs="Arial" w:eastAsia="Arial" w:hAnsi="Arial"/>
          <w:sz w:val="13"/>
          <w:szCs w:val="13"/>
          <w:color w:val="auto"/>
        </w:rPr>
        <w:t>[Signature Page to Amendment No. 4 and Limited Waiver]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-791845</wp:posOffset>
            </wp:positionH>
            <wp:positionV relativeFrom="paragraph">
              <wp:posOffset>207645</wp:posOffset>
            </wp:positionV>
            <wp:extent cx="7329170" cy="3683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260"/>
          </w:cols>
          <w:pgMar w:left="1440" w:top="453" w:right="199" w:bottom="1440" w:gutter="0" w:footer="0" w:header="0"/>
        </w:sectPr>
      </w:pPr>
    </w:p>
    <w:bookmarkStart w:id="139" w:name="page140"/>
    <w:bookmarkEnd w:id="139"/>
    <w:p>
      <w:pPr>
        <w:ind w:left="5040"/>
        <w:spacing w:after="0"/>
        <w:rPr>
          <w:sz w:val="20"/>
          <w:szCs w:val="20"/>
          <w:color w:val="auto"/>
        </w:rPr>
      </w:pPr>
      <w:r>
        <w:rPr>
          <w:rFonts w:ascii="Arial" w:cs="Arial" w:eastAsia="Arial" w:hAnsi="Arial"/>
          <w:sz w:val="13"/>
          <w:szCs w:val="13"/>
          <w:color w:val="auto"/>
        </w:rPr>
        <w:t>BANK OF AMERICA, N.A.,</w:t>
      </w:r>
    </w:p>
    <w:p>
      <w:pPr>
        <w:spacing w:after="0" w:line="14" w:lineRule="exact"/>
        <w:rPr>
          <w:sz w:val="20"/>
          <w:szCs w:val="20"/>
          <w:color w:val="auto"/>
        </w:rPr>
      </w:pPr>
    </w:p>
    <w:p>
      <w:pPr>
        <w:ind w:left="5040"/>
        <w:spacing w:after="0"/>
        <w:rPr>
          <w:sz w:val="20"/>
          <w:szCs w:val="20"/>
          <w:color w:val="auto"/>
        </w:rPr>
      </w:pPr>
      <w:r>
        <w:rPr>
          <w:rFonts w:ascii="Arial" w:cs="Arial" w:eastAsia="Arial" w:hAnsi="Arial"/>
          <w:sz w:val="13"/>
          <w:szCs w:val="13"/>
          <w:color w:val="auto"/>
        </w:rPr>
        <w:t>as Administrative Agent</w:t>
      </w:r>
    </w:p>
    <w:p>
      <w:pPr>
        <w:spacing w:after="0" w:line="156" w:lineRule="exact"/>
        <w:rPr>
          <w:sz w:val="20"/>
          <w:szCs w:val="20"/>
          <w:color w:val="auto"/>
        </w:rPr>
      </w:pPr>
    </w:p>
    <w:tbl>
      <w:tblPr>
        <w:tblLayout w:type="fixed"/>
        <w:tblInd w:w="5040" w:type="dxa"/>
        <w:tblCellMar>
          <w:top w:w="0" w:type="dxa"/>
          <w:left w:w="0" w:type="dxa"/>
          <w:bottom w:w="0" w:type="dxa"/>
          <w:right w:w="0" w:type="dxa"/>
        </w:tblCellMar>
      </w:tblPr>
      <w:tr>
        <w:trPr>
          <w:trHeight w:val="164"/>
        </w:trPr>
        <w:tc>
          <w:tcPr>
            <w:tcW w:w="920" w:type="dxa"/>
            <w:vAlign w:val="bottom"/>
          </w:tcPr>
          <w:p>
            <w:pPr>
              <w:spacing w:after="0"/>
              <w:rPr>
                <w:sz w:val="20"/>
                <w:szCs w:val="20"/>
                <w:color w:val="auto"/>
              </w:rPr>
            </w:pPr>
            <w:r>
              <w:rPr>
                <w:rFonts w:ascii="Arial" w:cs="Arial" w:eastAsia="Arial" w:hAnsi="Arial"/>
                <w:sz w:val="13"/>
                <w:szCs w:val="13"/>
                <w:color w:val="auto"/>
              </w:rPr>
              <w:t>By:</w:t>
            </w:r>
          </w:p>
        </w:tc>
        <w:tc>
          <w:tcPr>
            <w:tcW w:w="436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/s/ Laura L. Olson</w:t>
            </w:r>
          </w:p>
        </w:tc>
      </w:tr>
      <w:tr>
        <w:trPr>
          <w:trHeight w:val="132"/>
        </w:trPr>
        <w:tc>
          <w:tcPr>
            <w:tcW w:w="920" w:type="dxa"/>
            <w:vAlign w:val="bottom"/>
          </w:tcPr>
          <w:p>
            <w:pPr>
              <w:spacing w:after="0"/>
              <w:rPr>
                <w:sz w:val="11"/>
                <w:szCs w:val="11"/>
                <w:color w:val="auto"/>
              </w:rPr>
            </w:pPr>
          </w:p>
        </w:tc>
        <w:tc>
          <w:tcPr>
            <w:tcW w:w="4360" w:type="dxa"/>
            <w:vAlign w:val="bottom"/>
          </w:tcPr>
          <w:p>
            <w:pPr>
              <w:spacing w:after="0" w:line="132" w:lineRule="exact"/>
              <w:rPr>
                <w:sz w:val="20"/>
                <w:szCs w:val="20"/>
                <w:color w:val="auto"/>
              </w:rPr>
            </w:pPr>
            <w:r>
              <w:rPr>
                <w:rFonts w:ascii="Arial" w:cs="Arial" w:eastAsia="Arial" w:hAnsi="Arial"/>
                <w:sz w:val="13"/>
                <w:szCs w:val="13"/>
                <w:color w:val="auto"/>
              </w:rPr>
              <w:t>Name: Laura L. Olson</w:t>
            </w:r>
          </w:p>
        </w:tc>
      </w:tr>
      <w:tr>
        <w:trPr>
          <w:trHeight w:val="166"/>
        </w:trPr>
        <w:tc>
          <w:tcPr>
            <w:tcW w:w="920" w:type="dxa"/>
            <w:vAlign w:val="bottom"/>
          </w:tcPr>
          <w:p>
            <w:pPr>
              <w:spacing w:after="0"/>
              <w:rPr>
                <w:sz w:val="14"/>
                <w:szCs w:val="14"/>
                <w:color w:val="auto"/>
              </w:rPr>
            </w:pPr>
          </w:p>
        </w:tc>
        <w:tc>
          <w:tcPr>
            <w:tcW w:w="4360" w:type="dxa"/>
            <w:vAlign w:val="bottom"/>
          </w:tcPr>
          <w:p>
            <w:pPr>
              <w:spacing w:after="0"/>
              <w:rPr>
                <w:sz w:val="20"/>
                <w:szCs w:val="20"/>
                <w:color w:val="auto"/>
              </w:rPr>
            </w:pPr>
            <w:r>
              <w:rPr>
                <w:rFonts w:ascii="Arial" w:cs="Arial" w:eastAsia="Arial" w:hAnsi="Arial"/>
                <w:sz w:val="13"/>
                <w:szCs w:val="13"/>
                <w:color w:val="auto"/>
              </w:rPr>
              <w:t>Title: Vice President</w:t>
            </w:r>
          </w:p>
        </w:tc>
      </w:tr>
    </w:tbl>
    <w:p>
      <w:pPr>
        <w:spacing w:after="0" w:line="294" w:lineRule="exact"/>
        <w:rPr>
          <w:sz w:val="20"/>
          <w:szCs w:val="20"/>
          <w:color w:val="auto"/>
        </w:rPr>
      </w:pPr>
    </w:p>
    <w:p>
      <w:pPr>
        <w:ind w:left="2420"/>
        <w:spacing w:after="0"/>
        <w:rPr>
          <w:sz w:val="20"/>
          <w:szCs w:val="20"/>
          <w:color w:val="auto"/>
        </w:rPr>
      </w:pPr>
      <w:r>
        <w:rPr>
          <w:rFonts w:ascii="Arial" w:cs="Arial" w:eastAsia="Arial" w:hAnsi="Arial"/>
          <w:sz w:val="13"/>
          <w:szCs w:val="13"/>
          <w:color w:val="auto"/>
        </w:rPr>
        <w:t>[</w:t>
      </w:r>
      <w:r>
        <w:rPr>
          <w:rFonts w:ascii="Arial" w:cs="Arial" w:eastAsia="Arial" w:hAnsi="Arial"/>
          <w:sz w:val="13"/>
          <w:szCs w:val="13"/>
          <w:i w:val="1"/>
          <w:iCs w:val="1"/>
          <w:color w:val="auto"/>
        </w:rPr>
        <w:t>Signature Page to Amendment No. 4 and Limited Waiver to Credit Agreement</w:t>
      </w:r>
      <w:r>
        <w:rPr>
          <w:rFonts w:ascii="Arial" w:cs="Arial" w:eastAsia="Arial" w:hAnsi="Arial"/>
          <w:sz w:val="13"/>
          <w:szCs w:val="13"/>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-791845</wp:posOffset>
            </wp:positionH>
            <wp:positionV relativeFrom="paragraph">
              <wp:posOffset>104775</wp:posOffset>
            </wp:positionV>
            <wp:extent cx="7329170" cy="3683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0320"/>
          </w:cols>
          <w:pgMar w:left="1440" w:top="291" w:right="139" w:bottom="1440" w:gutter="0" w:footer="0" w:header="0"/>
        </w:sectPr>
      </w:pPr>
    </w:p>
    <w:bookmarkStart w:id="140" w:name="page141"/>
    <w:bookmarkEnd w:id="140"/>
    <w:p>
      <w:pPr>
        <w:jc w:val="center"/>
        <w:spacing w:after="0"/>
        <w:rPr>
          <w:sz w:val="20"/>
          <w:szCs w:val="20"/>
          <w:color w:val="auto"/>
        </w:rPr>
      </w:pPr>
      <w:r>
        <w:rPr>
          <w:rFonts w:ascii="Arial" w:cs="Arial" w:eastAsia="Arial" w:hAnsi="Arial"/>
          <w:sz w:val="13"/>
          <w:szCs w:val="13"/>
          <w:color w:val="auto"/>
        </w:rPr>
        <w:t>Lender Signature Pages: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[On File with the Administrative Agent]</w:t>
      </w: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1"/>
          <w:szCs w:val="11"/>
          <w:color w:val="auto"/>
        </w:rPr>
        <w:t>[</w:t>
      </w:r>
      <w:r>
        <w:rPr>
          <w:rFonts w:ascii="Arial" w:cs="Arial" w:eastAsia="Arial" w:hAnsi="Arial"/>
          <w:sz w:val="11"/>
          <w:szCs w:val="11"/>
          <w:i w:val="1"/>
          <w:iCs w:val="1"/>
          <w:color w:val="auto"/>
        </w:rPr>
        <w:t>Signature Page to Amendment No. 4 and Limited Waiver to Credit Agreement</w:t>
      </w:r>
      <w:r>
        <w:rPr>
          <w:rFonts w:ascii="Arial" w:cs="Arial" w:eastAsia="Arial" w:hAnsi="Arial"/>
          <w:sz w:val="11"/>
          <w:szCs w:val="11"/>
          <w:color w:val="auto"/>
        </w:rPr>
        <w:t>]</w:t>
      </w:r>
    </w:p>
    <w:p>
      <w:pPr>
        <w:sectPr>
          <w:pgSz w:w="11900" w:h="16838" w:orient="portrait"/>
          <w:cols w:equalWidth="0" w:num="1">
            <w:col w:w="9019"/>
          </w:cols>
          <w:pgMar w:left="1440" w:top="291" w:right="1440" w:bottom="1440" w:gutter="0" w:footer="0" w:header="0"/>
        </w:sectPr>
      </w:pPr>
    </w:p>
    <w:bookmarkStart w:id="141" w:name="page142"/>
    <w:bookmarkEnd w:id="141"/>
    <w:p>
      <w:pPr>
        <w:ind w:left="10800"/>
        <w:spacing w:after="0"/>
        <w:rPr>
          <w:sz w:val="20"/>
          <w:szCs w:val="20"/>
          <w:color w:val="auto"/>
        </w:rPr>
      </w:pPr>
      <w:r>
        <w:rPr>
          <w:rFonts w:ascii="Arial" w:cs="Arial" w:eastAsia="Arial" w:hAnsi="Arial"/>
          <w:sz w:val="11"/>
          <w:szCs w:val="11"/>
          <w:b w:val="1"/>
          <w:bCs w:val="1"/>
          <w:color w:val="auto"/>
        </w:rPr>
        <w:t>Exhibit 10.19</w:t>
      </w:r>
    </w:p>
    <w:p>
      <w:pPr>
        <w:spacing w:after="0" w:line="28" w:lineRule="exact"/>
        <w:rPr>
          <w:sz w:val="20"/>
          <w:szCs w:val="20"/>
          <w:color w:val="auto"/>
        </w:rPr>
      </w:pPr>
    </w:p>
    <w:p>
      <w:pPr>
        <w:jc w:val="center"/>
        <w:ind w:right="60"/>
        <w:spacing w:after="0"/>
        <w:rPr>
          <w:sz w:val="20"/>
          <w:szCs w:val="20"/>
          <w:color w:val="auto"/>
        </w:rPr>
      </w:pPr>
      <w:r>
        <w:rPr>
          <w:rFonts w:ascii="Arial" w:cs="Arial" w:eastAsia="Arial" w:hAnsi="Arial"/>
          <w:sz w:val="14"/>
          <w:szCs w:val="14"/>
          <w:b w:val="1"/>
          <w:bCs w:val="1"/>
          <w:color w:val="auto"/>
        </w:rPr>
        <w:t>UNITI GROUP INC.</w:t>
      </w:r>
    </w:p>
    <w:p>
      <w:pPr>
        <w:spacing w:after="0" w:line="1"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2015 EQUITY INCENTIVE PLAN</w:t>
      </w:r>
    </w:p>
    <w:p>
      <w:pPr>
        <w:spacing w:after="0" w:line="129"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RESTRICTED SHARES AGREEMENT - TIME-BASED VESTING ONLY</w:t>
      </w:r>
    </w:p>
    <w:p>
      <w:pPr>
        <w:spacing w:after="0" w:line="17"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Summary of Restricted Share Grant</w:t>
      </w:r>
    </w:p>
    <w:p>
      <w:pPr>
        <w:spacing w:after="0" w:line="106" w:lineRule="exact"/>
        <w:rPr>
          <w:sz w:val="20"/>
          <w:szCs w:val="20"/>
          <w:color w:val="auto"/>
        </w:rPr>
      </w:pPr>
    </w:p>
    <w:p>
      <w:pPr>
        <w:ind w:right="160" w:firstLine="883"/>
        <w:spacing w:after="0" w:line="257" w:lineRule="auto"/>
        <w:rPr>
          <w:sz w:val="20"/>
          <w:szCs w:val="20"/>
          <w:color w:val="auto"/>
        </w:rPr>
      </w:pPr>
      <w:r>
        <w:rPr>
          <w:rFonts w:ascii="Arial" w:cs="Arial" w:eastAsia="Arial" w:hAnsi="Arial"/>
          <w:sz w:val="14"/>
          <w:szCs w:val="14"/>
          <w:color w:val="auto"/>
        </w:rPr>
        <w:t>Uniti Group Inc., a Maryland corporation (the “Company”), grants to the Grantee named below, in accordance with the terms of the Uniti Group Inc. 2015 Equity Incentive Plan (the “Plan”), and this Restricted Shares Agreement (the “Agreement”), the following number of Restricted Shares covered by this Agreement (the “Restricted Shares”), on the Date of Grant set forth below:</w:t>
      </w:r>
    </w:p>
    <w:p>
      <w:pPr>
        <w:spacing w:after="0" w:line="95" w:lineRule="exact"/>
        <w:rPr>
          <w:sz w:val="20"/>
          <w:szCs w:val="20"/>
          <w:color w:val="auto"/>
        </w:rPr>
      </w:pPr>
    </w:p>
    <w:p>
      <w:pPr>
        <w:ind w:left="880"/>
        <w:spacing w:after="0"/>
        <w:rPr>
          <w:sz w:val="20"/>
          <w:szCs w:val="20"/>
          <w:color w:val="auto"/>
        </w:rPr>
      </w:pPr>
      <w:r>
        <w:rPr>
          <w:rFonts w:ascii="Arial" w:cs="Arial" w:eastAsia="Arial" w:hAnsi="Arial"/>
          <w:sz w:val="14"/>
          <w:szCs w:val="14"/>
          <w:color w:val="auto"/>
        </w:rPr>
        <w:t>Name of Grantee:</w:t>
      </w:r>
    </w:p>
    <w:p>
      <w:pPr>
        <w:spacing w:after="0" w:line="118" w:lineRule="exact"/>
        <w:rPr>
          <w:sz w:val="20"/>
          <w:szCs w:val="20"/>
          <w:color w:val="auto"/>
        </w:rPr>
      </w:pPr>
    </w:p>
    <w:p>
      <w:pPr>
        <w:ind w:left="120"/>
        <w:spacing w:after="0"/>
        <w:rPr>
          <w:sz w:val="20"/>
          <w:szCs w:val="20"/>
          <w:color w:val="auto"/>
        </w:rPr>
      </w:pPr>
      <w:r>
        <w:rPr>
          <w:rFonts w:ascii="Arial" w:cs="Arial" w:eastAsia="Arial" w:hAnsi="Arial"/>
          <w:sz w:val="14"/>
          <w:szCs w:val="14"/>
          <w:color w:val="auto"/>
        </w:rPr>
        <w:t>Number of Restricted Shares:</w:t>
      </w:r>
    </w:p>
    <w:p>
      <w:pPr>
        <w:spacing w:after="0" w:line="118" w:lineRule="exact"/>
        <w:rPr>
          <w:sz w:val="20"/>
          <w:szCs w:val="20"/>
          <w:color w:val="auto"/>
        </w:rPr>
      </w:pPr>
    </w:p>
    <w:p>
      <w:pPr>
        <w:ind w:left="60"/>
        <w:spacing w:after="0"/>
        <w:tabs>
          <w:tab w:leader="none" w:pos="1660" w:val="left"/>
        </w:tabs>
        <w:rPr>
          <w:sz w:val="20"/>
          <w:szCs w:val="20"/>
          <w:color w:val="auto"/>
        </w:rPr>
      </w:pPr>
      <w:r>
        <w:rPr>
          <w:rFonts w:ascii="Arial" w:cs="Arial" w:eastAsia="Arial" w:hAnsi="Arial"/>
          <w:sz w:val="14"/>
          <w:szCs w:val="14"/>
          <w:color w:val="auto"/>
        </w:rPr>
        <w:t>Date of Grant:</w:t>
      </w:r>
      <w:r>
        <w:rPr>
          <w:sz w:val="20"/>
          <w:szCs w:val="20"/>
          <w:color w:val="auto"/>
        </w:rPr>
        <w:tab/>
      </w:r>
      <w:r>
        <w:rPr>
          <w:rFonts w:ascii="Arial" w:cs="Arial" w:eastAsia="Arial" w:hAnsi="Arial"/>
          <w:sz w:val="13"/>
          <w:szCs w:val="13"/>
          <w:color w:val="auto"/>
        </w:rPr>
        <w:t>____________</w:t>
      </w:r>
    </w:p>
    <w:p>
      <w:pPr>
        <w:spacing w:after="0" w:line="118"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Terms of Agreement</w:t>
      </w:r>
    </w:p>
    <w:p>
      <w:pPr>
        <w:spacing w:after="0" w:line="114" w:lineRule="exact"/>
        <w:rPr>
          <w:sz w:val="20"/>
          <w:szCs w:val="20"/>
          <w:color w:val="auto"/>
        </w:rPr>
      </w:pPr>
    </w:p>
    <w:p>
      <w:pPr>
        <w:ind w:right="20" w:firstLine="875"/>
        <w:spacing w:after="0" w:line="279" w:lineRule="auto"/>
        <w:tabs>
          <w:tab w:leader="none" w:pos="1424" w:val="left"/>
        </w:tabs>
        <w:numPr>
          <w:ilvl w:val="0"/>
          <w:numId w:val="43"/>
        </w:numPr>
        <w:rPr>
          <w:rFonts w:ascii="Arial" w:cs="Arial" w:eastAsia="Arial" w:hAnsi="Arial"/>
          <w:sz w:val="14"/>
          <w:szCs w:val="14"/>
          <w:b w:val="1"/>
          <w:bCs w:val="1"/>
          <w:color w:val="auto"/>
        </w:rPr>
      </w:pPr>
      <w:r>
        <w:rPr>
          <w:rFonts w:ascii="Arial" w:cs="Arial" w:eastAsia="Arial" w:hAnsi="Arial"/>
          <w:sz w:val="14"/>
          <w:szCs w:val="14"/>
          <w:b w:val="1"/>
          <w:bCs w:val="1"/>
          <w:color w:val="auto"/>
        </w:rPr>
        <w:t>Grant of Restricted Shares</w:t>
      </w:r>
      <w:r>
        <w:rPr>
          <w:rFonts w:ascii="Arial" w:cs="Arial" w:eastAsia="Arial" w:hAnsi="Arial"/>
          <w:sz w:val="14"/>
          <w:szCs w:val="14"/>
          <w:color w:val="auto"/>
        </w:rPr>
        <w:t>. Subject to and upon the terms, conditions, and restrictions set forth in this Agreement and in the Plan, the Company hereby grants to the Grantee</w:t>
      </w:r>
      <w:r>
        <w:rPr>
          <w:rFonts w:ascii="Arial" w:cs="Arial" w:eastAsia="Arial" w:hAnsi="Arial"/>
          <w:sz w:val="14"/>
          <w:szCs w:val="14"/>
          <w:b w:val="1"/>
          <w:bCs w:val="1"/>
          <w:color w:val="auto"/>
        </w:rPr>
        <w:t xml:space="preserve"> </w:t>
      </w:r>
      <w:r>
        <w:rPr>
          <w:rFonts w:ascii="Arial" w:cs="Arial" w:eastAsia="Arial" w:hAnsi="Arial"/>
          <w:sz w:val="14"/>
          <w:szCs w:val="14"/>
          <w:color w:val="auto"/>
        </w:rPr>
        <w:t>as of the Date of Grant, the total number of Restricted Shares (the “Restricted Shares”) set forth above. The Restricted Shares shall be fully paid and nonassessable.</w:t>
      </w:r>
    </w:p>
    <w:p>
      <w:pPr>
        <w:spacing w:after="0" w:line="67" w:lineRule="exact"/>
        <w:rPr>
          <w:rFonts w:ascii="Arial" w:cs="Arial" w:eastAsia="Arial" w:hAnsi="Arial"/>
          <w:sz w:val="14"/>
          <w:szCs w:val="14"/>
          <w:b w:val="1"/>
          <w:bCs w:val="1"/>
          <w:color w:val="auto"/>
        </w:rPr>
      </w:pPr>
    </w:p>
    <w:p>
      <w:pPr>
        <w:ind w:left="1420" w:hanging="545"/>
        <w:spacing w:after="0"/>
        <w:tabs>
          <w:tab w:leader="none" w:pos="1420" w:val="left"/>
        </w:tabs>
        <w:numPr>
          <w:ilvl w:val="0"/>
          <w:numId w:val="43"/>
        </w:numPr>
        <w:rPr>
          <w:rFonts w:ascii="Arial" w:cs="Arial" w:eastAsia="Arial" w:hAnsi="Arial"/>
          <w:sz w:val="14"/>
          <w:szCs w:val="14"/>
          <w:b w:val="1"/>
          <w:bCs w:val="1"/>
          <w:color w:val="auto"/>
        </w:rPr>
      </w:pPr>
      <w:r>
        <w:rPr>
          <w:rFonts w:ascii="Arial" w:cs="Arial" w:eastAsia="Arial" w:hAnsi="Arial"/>
          <w:sz w:val="14"/>
          <w:szCs w:val="14"/>
          <w:b w:val="1"/>
          <w:bCs w:val="1"/>
          <w:color w:val="auto"/>
        </w:rPr>
        <w:t>Vesting of Restricted Shares</w:t>
      </w:r>
      <w:r>
        <w:rPr>
          <w:rFonts w:ascii="Arial" w:cs="Arial" w:eastAsia="Arial" w:hAnsi="Arial"/>
          <w:sz w:val="14"/>
          <w:szCs w:val="14"/>
          <w:color w:val="auto"/>
        </w:rPr>
        <w:t>.</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100" w:type="dxa"/>
            <w:vAlign w:val="bottom"/>
          </w:tcPr>
          <w:p>
            <w:pPr>
              <w:ind w:left="260"/>
              <w:spacing w:after="0"/>
              <w:rPr>
                <w:sz w:val="20"/>
                <w:szCs w:val="20"/>
                <w:color w:val="auto"/>
              </w:rPr>
            </w:pPr>
            <w:r>
              <w:rPr>
                <w:rFonts w:ascii="Arial" w:cs="Arial" w:eastAsia="Arial" w:hAnsi="Arial"/>
                <w:sz w:val="14"/>
                <w:szCs w:val="14"/>
                <w:color w:val="auto"/>
              </w:rPr>
              <w:t>(a)</w:t>
            </w:r>
          </w:p>
        </w:tc>
        <w:tc>
          <w:tcPr>
            <w:tcW w:w="10400" w:type="dxa"/>
            <w:vAlign w:val="bottom"/>
            <w:gridSpan w:val="2"/>
          </w:tcPr>
          <w:p>
            <w:pPr>
              <w:ind w:left="2160"/>
              <w:spacing w:after="0"/>
              <w:rPr>
                <w:sz w:val="20"/>
                <w:szCs w:val="20"/>
                <w:color w:val="auto"/>
              </w:rPr>
            </w:pPr>
            <w:r>
              <w:rPr>
                <w:rFonts w:ascii="Arial" w:cs="Arial" w:eastAsia="Arial" w:hAnsi="Arial"/>
                <w:sz w:val="14"/>
                <w:szCs w:val="14"/>
                <w:color w:val="auto"/>
                <w:w w:val="94"/>
              </w:rPr>
              <w:t>The Restricted Shares shall become vested and nonforfeitable (“Vested”) if the Grantee shall have remained in the continuous employ of the</w:t>
            </w:r>
          </w:p>
        </w:tc>
      </w:tr>
      <w:tr>
        <w:trPr>
          <w:trHeight w:val="182"/>
        </w:trPr>
        <w:tc>
          <w:tcPr>
            <w:tcW w:w="1100" w:type="dxa"/>
            <w:vAlign w:val="bottom"/>
          </w:tcPr>
          <w:p>
            <w:pPr>
              <w:spacing w:after="0"/>
              <w:rPr>
                <w:sz w:val="15"/>
                <w:szCs w:val="15"/>
                <w:color w:val="auto"/>
              </w:rPr>
            </w:pPr>
          </w:p>
        </w:tc>
        <w:tc>
          <w:tcPr>
            <w:tcW w:w="10400" w:type="dxa"/>
            <w:vAlign w:val="bottom"/>
            <w:gridSpan w:val="2"/>
          </w:tcPr>
          <w:p>
            <w:pPr>
              <w:ind w:left="660"/>
              <w:spacing w:after="0"/>
              <w:rPr>
                <w:sz w:val="20"/>
                <w:szCs w:val="20"/>
                <w:color w:val="auto"/>
              </w:rPr>
            </w:pPr>
            <w:r>
              <w:rPr>
                <w:rFonts w:ascii="Arial" w:cs="Arial" w:eastAsia="Arial" w:hAnsi="Arial"/>
                <w:sz w:val="14"/>
                <w:szCs w:val="14"/>
                <w:color w:val="auto"/>
              </w:rPr>
              <w:t>Company or a Subsidiary through the vesting dates set forth below with respect to the percentage of Restricted Shares set forth next to such date:</w:t>
            </w:r>
          </w:p>
        </w:tc>
      </w:tr>
      <w:tr>
        <w:trPr>
          <w:trHeight w:val="268"/>
        </w:trPr>
        <w:tc>
          <w:tcPr>
            <w:tcW w:w="1100" w:type="dxa"/>
            <w:vAlign w:val="bottom"/>
          </w:tcPr>
          <w:p>
            <w:pPr>
              <w:spacing w:after="0"/>
              <w:rPr>
                <w:sz w:val="23"/>
                <w:szCs w:val="23"/>
                <w:color w:val="auto"/>
              </w:rPr>
            </w:pPr>
          </w:p>
        </w:tc>
        <w:tc>
          <w:tcPr>
            <w:tcW w:w="4120" w:type="dxa"/>
            <w:vAlign w:val="bottom"/>
          </w:tcPr>
          <w:p>
            <w:pPr>
              <w:spacing w:after="0"/>
              <w:rPr>
                <w:sz w:val="23"/>
                <w:szCs w:val="23"/>
                <w:color w:val="auto"/>
              </w:rPr>
            </w:pPr>
          </w:p>
        </w:tc>
        <w:tc>
          <w:tcPr>
            <w:tcW w:w="6280" w:type="dxa"/>
            <w:vAlign w:val="bottom"/>
          </w:tcPr>
          <w:p>
            <w:pPr>
              <w:ind w:left="520"/>
              <w:spacing w:after="0"/>
              <w:rPr>
                <w:sz w:val="20"/>
                <w:szCs w:val="20"/>
                <w:color w:val="auto"/>
              </w:rPr>
            </w:pPr>
            <w:r>
              <w:rPr>
                <w:rFonts w:ascii="Arial" w:cs="Arial" w:eastAsia="Arial" w:hAnsi="Arial"/>
                <w:sz w:val="10"/>
                <w:szCs w:val="10"/>
                <w:b w:val="1"/>
                <w:bCs w:val="1"/>
                <w:color w:val="auto"/>
              </w:rPr>
              <w:t>Percentage of Restricted Shares Vesting</w:t>
            </w:r>
          </w:p>
        </w:tc>
      </w:tr>
      <w:tr>
        <w:trPr>
          <w:trHeight w:val="124"/>
        </w:trPr>
        <w:tc>
          <w:tcPr>
            <w:tcW w:w="1100" w:type="dxa"/>
            <w:vAlign w:val="bottom"/>
          </w:tcPr>
          <w:p>
            <w:pPr>
              <w:spacing w:after="0"/>
              <w:rPr>
                <w:sz w:val="10"/>
                <w:szCs w:val="10"/>
                <w:color w:val="auto"/>
              </w:rPr>
            </w:pPr>
          </w:p>
        </w:tc>
        <w:tc>
          <w:tcPr>
            <w:tcW w:w="4120" w:type="dxa"/>
            <w:vAlign w:val="bottom"/>
          </w:tcPr>
          <w:p>
            <w:pPr>
              <w:ind w:left="2700"/>
              <w:spacing w:after="0"/>
              <w:rPr>
                <w:sz w:val="20"/>
                <w:szCs w:val="20"/>
                <w:color w:val="auto"/>
              </w:rPr>
            </w:pPr>
            <w:r>
              <w:rPr>
                <w:rFonts w:ascii="Arial" w:cs="Arial" w:eastAsia="Arial" w:hAnsi="Arial"/>
                <w:sz w:val="10"/>
                <w:szCs w:val="10"/>
                <w:b w:val="1"/>
                <w:bCs w:val="1"/>
                <w:color w:val="auto"/>
              </w:rPr>
              <w:t>Vesting Date</w:t>
            </w:r>
          </w:p>
        </w:tc>
        <w:tc>
          <w:tcPr>
            <w:tcW w:w="6280" w:type="dxa"/>
            <w:vAlign w:val="bottom"/>
          </w:tcPr>
          <w:p>
            <w:pPr>
              <w:ind w:left="520"/>
              <w:spacing w:after="0"/>
              <w:rPr>
                <w:sz w:val="20"/>
                <w:szCs w:val="20"/>
                <w:color w:val="auto"/>
              </w:rPr>
            </w:pPr>
            <w:r>
              <w:rPr>
                <w:rFonts w:ascii="Arial" w:cs="Arial" w:eastAsia="Arial" w:hAnsi="Arial"/>
                <w:sz w:val="10"/>
                <w:szCs w:val="10"/>
                <w:b w:val="1"/>
                <w:bCs w:val="1"/>
                <w:color w:val="auto"/>
              </w:rPr>
              <w:t>on such Vesting Date</w:t>
            </w:r>
          </w:p>
        </w:tc>
      </w:tr>
      <w:tr>
        <w:trPr>
          <w:trHeight w:val="714"/>
        </w:trPr>
        <w:tc>
          <w:tcPr>
            <w:tcW w:w="1100" w:type="dxa"/>
            <w:vAlign w:val="bottom"/>
          </w:tcPr>
          <w:p>
            <w:pPr>
              <w:ind w:left="260"/>
              <w:spacing w:after="0"/>
              <w:rPr>
                <w:sz w:val="20"/>
                <w:szCs w:val="20"/>
                <w:color w:val="auto"/>
              </w:rPr>
            </w:pPr>
            <w:r>
              <w:rPr>
                <w:rFonts w:ascii="Arial" w:cs="Arial" w:eastAsia="Arial" w:hAnsi="Arial"/>
                <w:sz w:val="14"/>
                <w:szCs w:val="14"/>
                <w:color w:val="auto"/>
              </w:rPr>
              <w:t>(b)</w:t>
            </w:r>
          </w:p>
        </w:tc>
        <w:tc>
          <w:tcPr>
            <w:tcW w:w="10400" w:type="dxa"/>
            <w:vAlign w:val="bottom"/>
            <w:gridSpan w:val="2"/>
          </w:tcPr>
          <w:p>
            <w:pPr>
              <w:ind w:left="2160"/>
              <w:spacing w:after="0"/>
              <w:rPr>
                <w:sz w:val="20"/>
                <w:szCs w:val="20"/>
                <w:color w:val="auto"/>
              </w:rPr>
            </w:pPr>
            <w:r>
              <w:rPr>
                <w:rFonts w:ascii="Arial" w:cs="Arial" w:eastAsia="Arial" w:hAnsi="Arial"/>
                <w:sz w:val="14"/>
                <w:szCs w:val="14"/>
                <w:color w:val="auto"/>
                <w:w w:val="95"/>
              </w:rPr>
              <w:t>Notwithstanding the provisions of Section 2(a), in the event the Grantee experiences a Company-approved retirement (as determined in the</w:t>
            </w:r>
          </w:p>
        </w:tc>
      </w:tr>
      <w:tr>
        <w:trPr>
          <w:trHeight w:val="162"/>
        </w:trPr>
        <w:tc>
          <w:tcPr>
            <w:tcW w:w="1100" w:type="dxa"/>
            <w:vAlign w:val="bottom"/>
          </w:tcPr>
          <w:p>
            <w:pPr>
              <w:spacing w:after="0"/>
              <w:rPr>
                <w:sz w:val="14"/>
                <w:szCs w:val="14"/>
                <w:color w:val="auto"/>
              </w:rPr>
            </w:pPr>
          </w:p>
        </w:tc>
        <w:tc>
          <w:tcPr>
            <w:tcW w:w="10400" w:type="dxa"/>
            <w:vAlign w:val="bottom"/>
            <w:gridSpan w:val="2"/>
          </w:tcPr>
          <w:p>
            <w:pPr>
              <w:ind w:left="660"/>
              <w:spacing w:after="0"/>
              <w:rPr>
                <w:sz w:val="20"/>
                <w:szCs w:val="20"/>
                <w:color w:val="auto"/>
              </w:rPr>
            </w:pPr>
            <w:r>
              <w:rPr>
                <w:rFonts w:ascii="Arial" w:cs="Arial" w:eastAsia="Arial" w:hAnsi="Arial"/>
                <w:sz w:val="14"/>
                <w:szCs w:val="14"/>
                <w:color w:val="auto"/>
                <w:w w:val="93"/>
              </w:rPr>
              <w:t>sole discretion of the Committee), the Grantee shall immediately become Vested in a pro rata portion of his Restricted Shares based on the number of days the Grantee</w:t>
            </w:r>
          </w:p>
        </w:tc>
      </w:tr>
      <w:tr>
        <w:trPr>
          <w:trHeight w:val="182"/>
        </w:trPr>
        <w:tc>
          <w:tcPr>
            <w:tcW w:w="1100" w:type="dxa"/>
            <w:vAlign w:val="bottom"/>
          </w:tcPr>
          <w:p>
            <w:pPr>
              <w:spacing w:after="0"/>
              <w:rPr>
                <w:sz w:val="15"/>
                <w:szCs w:val="15"/>
                <w:color w:val="auto"/>
              </w:rPr>
            </w:pPr>
          </w:p>
        </w:tc>
        <w:tc>
          <w:tcPr>
            <w:tcW w:w="10400" w:type="dxa"/>
            <w:vAlign w:val="bottom"/>
            <w:gridSpan w:val="2"/>
          </w:tcPr>
          <w:p>
            <w:pPr>
              <w:ind w:left="660"/>
              <w:spacing w:after="0"/>
              <w:rPr>
                <w:sz w:val="20"/>
                <w:szCs w:val="20"/>
                <w:color w:val="auto"/>
              </w:rPr>
            </w:pPr>
            <w:r>
              <w:rPr>
                <w:rFonts w:ascii="Arial" w:cs="Arial" w:eastAsia="Arial" w:hAnsi="Arial"/>
                <w:sz w:val="14"/>
                <w:szCs w:val="14"/>
                <w:color w:val="auto"/>
              </w:rPr>
              <w:t>was employed by the Company between the Date of Grant and the Vesting Date.</w:t>
            </w:r>
          </w:p>
        </w:tc>
      </w:tr>
      <w:tr>
        <w:trPr>
          <w:trHeight w:val="259"/>
        </w:trPr>
        <w:tc>
          <w:tcPr>
            <w:tcW w:w="1100" w:type="dxa"/>
            <w:vAlign w:val="bottom"/>
          </w:tcPr>
          <w:p>
            <w:pPr>
              <w:ind w:left="260"/>
              <w:spacing w:after="0"/>
              <w:rPr>
                <w:sz w:val="20"/>
                <w:szCs w:val="20"/>
                <w:color w:val="auto"/>
              </w:rPr>
            </w:pPr>
            <w:r>
              <w:rPr>
                <w:rFonts w:ascii="Arial" w:cs="Arial" w:eastAsia="Arial" w:hAnsi="Arial"/>
                <w:sz w:val="14"/>
                <w:szCs w:val="14"/>
                <w:color w:val="auto"/>
              </w:rPr>
              <w:t>(c)</w:t>
            </w:r>
          </w:p>
        </w:tc>
        <w:tc>
          <w:tcPr>
            <w:tcW w:w="10400" w:type="dxa"/>
            <w:vAlign w:val="bottom"/>
            <w:gridSpan w:val="2"/>
          </w:tcPr>
          <w:p>
            <w:pPr>
              <w:ind w:left="2160"/>
              <w:spacing w:after="0"/>
              <w:rPr>
                <w:sz w:val="20"/>
                <w:szCs w:val="20"/>
                <w:color w:val="auto"/>
              </w:rPr>
            </w:pPr>
            <w:r>
              <w:rPr>
                <w:rFonts w:ascii="Arial" w:cs="Arial" w:eastAsia="Arial" w:hAnsi="Arial"/>
                <w:sz w:val="14"/>
                <w:szCs w:val="14"/>
                <w:color w:val="auto"/>
                <w:w w:val="97"/>
              </w:rPr>
              <w:t>Notwithstanding the provisions of Section 2(a) or 2(b), all of the Restricted Shares covered by this Agreement shall immediately become</w:t>
            </w:r>
          </w:p>
        </w:tc>
      </w:tr>
      <w:tr>
        <w:trPr>
          <w:trHeight w:val="162"/>
        </w:trPr>
        <w:tc>
          <w:tcPr>
            <w:tcW w:w="1100" w:type="dxa"/>
            <w:vAlign w:val="bottom"/>
          </w:tcPr>
          <w:p>
            <w:pPr>
              <w:spacing w:after="0"/>
              <w:rPr>
                <w:sz w:val="14"/>
                <w:szCs w:val="14"/>
                <w:color w:val="auto"/>
              </w:rPr>
            </w:pPr>
          </w:p>
        </w:tc>
        <w:tc>
          <w:tcPr>
            <w:tcW w:w="10400" w:type="dxa"/>
            <w:vAlign w:val="bottom"/>
            <w:gridSpan w:val="2"/>
          </w:tcPr>
          <w:p>
            <w:pPr>
              <w:ind w:left="660"/>
              <w:spacing w:after="0"/>
              <w:rPr>
                <w:sz w:val="20"/>
                <w:szCs w:val="20"/>
                <w:color w:val="auto"/>
              </w:rPr>
            </w:pPr>
            <w:r>
              <w:rPr>
                <w:rFonts w:ascii="Arial" w:cs="Arial" w:eastAsia="Arial" w:hAnsi="Arial"/>
                <w:sz w:val="14"/>
                <w:szCs w:val="14"/>
                <w:color w:val="auto"/>
                <w:w w:val="99"/>
              </w:rPr>
              <w:t>Vested if, during the vesting period, the Grantee’s employment with the Company and its Subsidiaries is terminated without Cause, the Grantee terminates his</w:t>
            </w:r>
          </w:p>
        </w:tc>
      </w:tr>
      <w:tr>
        <w:trPr>
          <w:trHeight w:val="182"/>
        </w:trPr>
        <w:tc>
          <w:tcPr>
            <w:tcW w:w="1100" w:type="dxa"/>
            <w:vAlign w:val="bottom"/>
          </w:tcPr>
          <w:p>
            <w:pPr>
              <w:spacing w:after="0"/>
              <w:rPr>
                <w:sz w:val="15"/>
                <w:szCs w:val="15"/>
                <w:color w:val="auto"/>
              </w:rPr>
            </w:pPr>
          </w:p>
        </w:tc>
        <w:tc>
          <w:tcPr>
            <w:tcW w:w="4120" w:type="dxa"/>
            <w:vAlign w:val="bottom"/>
          </w:tcPr>
          <w:p>
            <w:pPr>
              <w:ind w:left="660"/>
              <w:spacing w:after="0"/>
              <w:rPr>
                <w:sz w:val="20"/>
                <w:szCs w:val="20"/>
                <w:color w:val="auto"/>
              </w:rPr>
            </w:pPr>
            <w:r>
              <w:rPr>
                <w:rFonts w:ascii="Arial" w:cs="Arial" w:eastAsia="Arial" w:hAnsi="Arial"/>
                <w:sz w:val="14"/>
                <w:szCs w:val="14"/>
                <w:color w:val="auto"/>
              </w:rPr>
              <w:t>employment with the Company or a Subsidiary for</w:t>
            </w:r>
          </w:p>
        </w:tc>
        <w:tc>
          <w:tcPr>
            <w:tcW w:w="6280" w:type="dxa"/>
            <w:vAlign w:val="bottom"/>
          </w:tcPr>
          <w:p>
            <w:pPr>
              <w:spacing w:after="0"/>
              <w:rPr>
                <w:sz w:val="15"/>
                <w:szCs w:val="15"/>
                <w:color w:val="auto"/>
              </w:rPr>
            </w:pPr>
          </w:p>
        </w:tc>
      </w:tr>
      <w:tr>
        <w:trPr>
          <w:trHeight w:val="183"/>
        </w:trPr>
        <w:tc>
          <w:tcPr>
            <w:tcW w:w="1100" w:type="dxa"/>
            <w:vAlign w:val="bottom"/>
            <w:tcBorders>
              <w:bottom w:val="single" w:sz="8" w:color="9A9A9A"/>
            </w:tcBorders>
          </w:tcPr>
          <w:p>
            <w:pPr>
              <w:spacing w:after="0"/>
              <w:rPr>
                <w:sz w:val="15"/>
                <w:szCs w:val="15"/>
                <w:color w:val="auto"/>
              </w:rPr>
            </w:pPr>
          </w:p>
        </w:tc>
        <w:tc>
          <w:tcPr>
            <w:tcW w:w="4120" w:type="dxa"/>
            <w:vAlign w:val="bottom"/>
            <w:tcBorders>
              <w:bottom w:val="single" w:sz="8" w:color="9A9A9A"/>
            </w:tcBorders>
          </w:tcPr>
          <w:p>
            <w:pPr>
              <w:spacing w:after="0"/>
              <w:rPr>
                <w:sz w:val="15"/>
                <w:szCs w:val="15"/>
                <w:color w:val="auto"/>
              </w:rPr>
            </w:pPr>
          </w:p>
        </w:tc>
        <w:tc>
          <w:tcPr>
            <w:tcW w:w="6280" w:type="dxa"/>
            <w:vAlign w:val="bottom"/>
            <w:tcBorders>
              <w:bottom w:val="single" w:sz="8" w:color="9A9A9A"/>
            </w:tcBorders>
          </w:tcPr>
          <w:p>
            <w:pPr>
              <w:spacing w:after="0"/>
              <w:rPr>
                <w:sz w:val="15"/>
                <w:szCs w:val="1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7">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8">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127" w:right="179" w:bottom="1440" w:gutter="0" w:footer="0" w:header="0"/>
        </w:sectPr>
      </w:pPr>
    </w:p>
    <w:bookmarkStart w:id="142" w:name="page143"/>
    <w:bookmarkEnd w:id="142"/>
    <w:p>
      <w:pPr>
        <w:ind w:left="3220"/>
        <w:spacing w:after="0"/>
        <w:rPr>
          <w:sz w:val="20"/>
          <w:szCs w:val="20"/>
          <w:color w:val="auto"/>
        </w:rPr>
      </w:pPr>
      <w:r>
        <w:rPr>
          <w:rFonts w:ascii="Arial" w:cs="Arial" w:eastAsia="Arial" w:hAnsi="Arial"/>
          <w:sz w:val="12"/>
          <w:szCs w:val="12"/>
          <w:color w:val="auto"/>
        </w:rPr>
        <w:t>Good Reason, or the Grantee dies or becomes permanently disabled (as determined by the Committee) while in the employ of the Company</w:t>
      </w:r>
    </w:p>
    <w:p>
      <w:pPr>
        <w:spacing w:after="0" w:line="36" w:lineRule="exact"/>
        <w:rPr>
          <w:sz w:val="20"/>
          <w:szCs w:val="20"/>
          <w:color w:val="auto"/>
        </w:rPr>
      </w:pPr>
    </w:p>
    <w:p>
      <w:pPr>
        <w:ind w:left="1720"/>
        <w:spacing w:after="0"/>
        <w:rPr>
          <w:sz w:val="20"/>
          <w:szCs w:val="20"/>
          <w:color w:val="auto"/>
        </w:rPr>
      </w:pPr>
      <w:r>
        <w:rPr>
          <w:rFonts w:ascii="Arial" w:cs="Arial" w:eastAsia="Arial" w:hAnsi="Arial"/>
          <w:sz w:val="14"/>
          <w:szCs w:val="14"/>
          <w:color w:val="auto"/>
        </w:rPr>
        <w:t>or a Subsidiary.</w:t>
      </w:r>
    </w:p>
    <w:p>
      <w:pPr>
        <w:sectPr>
          <w:pgSz w:w="11900" w:h="16838" w:orient="portrait"/>
          <w:cols w:equalWidth="0" w:num="1">
            <w:col w:w="11380"/>
          </w:cols>
          <w:pgMar w:left="260" w:top="269" w:right="259" w:bottom="1440" w:gutter="0" w:footer="0" w:header="0"/>
        </w:sectPr>
      </w:pPr>
    </w:p>
    <w:p>
      <w:pPr>
        <w:spacing w:after="0" w:line="106" w:lineRule="exact"/>
        <w:rPr>
          <w:sz w:val="20"/>
          <w:szCs w:val="20"/>
          <w:color w:val="auto"/>
        </w:rPr>
      </w:pPr>
    </w:p>
    <w:p>
      <w:pPr>
        <w:ind w:left="220"/>
        <w:spacing w:after="0"/>
        <w:rPr>
          <w:sz w:val="20"/>
          <w:szCs w:val="20"/>
          <w:color w:val="auto"/>
        </w:rPr>
      </w:pPr>
      <w:r>
        <w:rPr>
          <w:rFonts w:ascii="Arial" w:cs="Arial" w:eastAsia="Arial" w:hAnsi="Arial"/>
          <w:sz w:val="14"/>
          <w:szCs w:val="14"/>
          <w:color w:val="auto"/>
        </w:rPr>
        <w:t>(d)</w:t>
      </w:r>
    </w:p>
    <w:p>
      <w:pPr>
        <w:spacing w:after="0" w:line="20" w:lineRule="exact"/>
        <w:rPr>
          <w:sz w:val="20"/>
          <w:szCs w:val="20"/>
          <w:color w:val="auto"/>
        </w:rPr>
      </w:pPr>
      <w:r>
        <w:rPr>
          <w:sz w:val="20"/>
          <w:szCs w:val="20"/>
          <w:color w:val="auto"/>
        </w:rPr>
        <w:br w:type="column"/>
      </w:r>
    </w:p>
    <w:p>
      <w:pPr>
        <w:spacing w:after="0" w:line="86" w:lineRule="exact"/>
        <w:rPr>
          <w:sz w:val="20"/>
          <w:szCs w:val="20"/>
          <w:color w:val="auto"/>
        </w:rPr>
      </w:pPr>
    </w:p>
    <w:p>
      <w:pPr>
        <w:ind w:right="20" w:firstLine="1495"/>
        <w:spacing w:after="0" w:line="273" w:lineRule="auto"/>
        <w:rPr>
          <w:sz w:val="20"/>
          <w:szCs w:val="20"/>
          <w:color w:val="auto"/>
        </w:rPr>
      </w:pPr>
      <w:r>
        <w:rPr>
          <w:rFonts w:ascii="Arial" w:cs="Arial" w:eastAsia="Arial" w:hAnsi="Arial"/>
          <w:sz w:val="14"/>
          <w:szCs w:val="14"/>
          <w:color w:val="auto"/>
        </w:rPr>
        <w:t>Notwithstanding anything contained in this Agreement to the contrary, the Committee may, in its sole discretion, accelerate the time at which the Restricted Shares become vested and nonforfeitable on such terms and conditions as it deems appropriate.</w:t>
      </w:r>
    </w:p>
    <w:p>
      <w:pPr>
        <w:spacing w:after="0" w:line="71" w:lineRule="exact"/>
        <w:rPr>
          <w:sz w:val="20"/>
          <w:szCs w:val="20"/>
          <w:color w:val="auto"/>
        </w:rPr>
      </w:pPr>
    </w:p>
    <w:p>
      <w:pPr>
        <w:sectPr>
          <w:pgSz w:w="11900" w:h="16838" w:orient="portrait"/>
          <w:cols w:equalWidth="0" w:num="2">
            <w:col w:w="1000" w:space="720"/>
            <w:col w:w="9660"/>
          </w:cols>
          <w:pgMar w:left="260" w:top="269" w:right="259" w:bottom="1440" w:gutter="0" w:footer="0" w:header="0"/>
          <w:type w:val="continuous"/>
        </w:sectPr>
      </w:pPr>
    </w:p>
    <w:p>
      <w:pPr>
        <w:ind w:left="-40" w:right="80" w:firstLine="875"/>
        <w:spacing w:after="0" w:line="254" w:lineRule="auto"/>
        <w:tabs>
          <w:tab w:leader="none" w:pos="1384" w:val="left"/>
        </w:tabs>
        <w:numPr>
          <w:ilvl w:val="0"/>
          <w:numId w:val="44"/>
        </w:numPr>
        <w:rPr>
          <w:rFonts w:ascii="Arial" w:cs="Arial" w:eastAsia="Arial" w:hAnsi="Arial"/>
          <w:sz w:val="14"/>
          <w:szCs w:val="14"/>
          <w:b w:val="1"/>
          <w:bCs w:val="1"/>
          <w:color w:val="auto"/>
        </w:rPr>
      </w:pPr>
      <w:r>
        <w:rPr>
          <w:rFonts w:ascii="Arial" w:cs="Arial" w:eastAsia="Arial" w:hAnsi="Arial"/>
          <w:sz w:val="14"/>
          <w:szCs w:val="14"/>
          <w:b w:val="1"/>
          <w:bCs w:val="1"/>
          <w:color w:val="auto"/>
        </w:rPr>
        <w:t>Forfeiture of Shares</w:t>
      </w:r>
      <w:r>
        <w:rPr>
          <w:rFonts w:ascii="Arial" w:cs="Arial" w:eastAsia="Arial" w:hAnsi="Arial"/>
          <w:sz w:val="14"/>
          <w:szCs w:val="14"/>
          <w:color w:val="auto"/>
        </w:rPr>
        <w:t>. The Restricted Shares that have not yet Vested pursuant to Section 2 (including without limitation any cash dividends or distributions and any non-cash proceeds related to the Restricted Shares for which the record date occurs on or after the date of forfeiture) shall be forfeited automatically without further action or notice if the Grantee ceases to be employed by the Company or a Subsidiary other than as provided in Section 2(b). In the event of a forfeiture of the Restricted Shares, the stock book entry account representing the Restricted Shares covered by this Agreement shall be cancelled and all Restricted Shares shall be returned to the Company.</w:t>
      </w:r>
    </w:p>
    <w:p>
      <w:pPr>
        <w:spacing w:after="0" w:line="84" w:lineRule="exact"/>
        <w:rPr>
          <w:rFonts w:ascii="Arial" w:cs="Arial" w:eastAsia="Arial" w:hAnsi="Arial"/>
          <w:sz w:val="14"/>
          <w:szCs w:val="14"/>
          <w:b w:val="1"/>
          <w:bCs w:val="1"/>
          <w:color w:val="auto"/>
        </w:rPr>
      </w:pPr>
    </w:p>
    <w:p>
      <w:pPr>
        <w:ind w:left="-40" w:right="100" w:firstLine="875"/>
        <w:spacing w:after="0" w:line="251" w:lineRule="auto"/>
        <w:tabs>
          <w:tab w:leader="none" w:pos="1384" w:val="left"/>
        </w:tabs>
        <w:numPr>
          <w:ilvl w:val="0"/>
          <w:numId w:val="44"/>
        </w:numPr>
        <w:rPr>
          <w:rFonts w:ascii="Arial" w:cs="Arial" w:eastAsia="Arial" w:hAnsi="Arial"/>
          <w:sz w:val="14"/>
          <w:szCs w:val="14"/>
          <w:b w:val="1"/>
          <w:bCs w:val="1"/>
          <w:color w:val="auto"/>
        </w:rPr>
      </w:pPr>
      <w:r>
        <w:rPr>
          <w:rFonts w:ascii="Arial" w:cs="Arial" w:eastAsia="Arial" w:hAnsi="Arial"/>
          <w:sz w:val="14"/>
          <w:szCs w:val="14"/>
          <w:b w:val="1"/>
          <w:bCs w:val="1"/>
          <w:color w:val="auto"/>
        </w:rPr>
        <w:t>Transferability</w:t>
      </w:r>
      <w:r>
        <w:rPr>
          <w:rFonts w:ascii="Arial" w:cs="Arial" w:eastAsia="Arial" w:hAnsi="Arial"/>
          <w:sz w:val="14"/>
          <w:szCs w:val="14"/>
          <w:color w:val="auto"/>
        </w:rPr>
        <w:t>. The Restricted Shares may not be sold, exchanged, assigned, transferred, pledged, encumbered or otherwise disposed of by the Grantee, except to the</w:t>
      </w:r>
      <w:r>
        <w:rPr>
          <w:rFonts w:ascii="Arial" w:cs="Arial" w:eastAsia="Arial" w:hAnsi="Arial"/>
          <w:sz w:val="14"/>
          <w:szCs w:val="14"/>
          <w:b w:val="1"/>
          <w:bCs w:val="1"/>
          <w:color w:val="auto"/>
        </w:rPr>
        <w:t xml:space="preserve"> </w:t>
      </w:r>
      <w:r>
        <w:rPr>
          <w:rFonts w:ascii="Arial" w:cs="Arial" w:eastAsia="Arial" w:hAnsi="Arial"/>
          <w:sz w:val="14"/>
          <w:szCs w:val="14"/>
          <w:color w:val="auto"/>
        </w:rPr>
        <w:t>Company, until the Restricted Shares have become nonforfeitable as provided in Section 2. Any purported transfer or encumbrance in violation of the provisions of this Section 4 shall be void, and the other party to any such purported transaction shall not obtain any rights to or interest in such Restricted Shares. The Committee, in its sole discretion, when and as is permitted by the Plan, may waive the restrictions on transferability with respect to all or a portion of the Restricted Shares, provided that any permitted transferee (other than the Company) shall remain subject to all the terms and conditions applicable to the Restricted Shares prior to such transfer.</w:t>
      </w:r>
    </w:p>
    <w:p>
      <w:pPr>
        <w:spacing w:after="0" w:line="94" w:lineRule="exact"/>
        <w:rPr>
          <w:rFonts w:ascii="Arial" w:cs="Arial" w:eastAsia="Arial" w:hAnsi="Arial"/>
          <w:sz w:val="14"/>
          <w:szCs w:val="14"/>
          <w:b w:val="1"/>
          <w:bCs w:val="1"/>
          <w:color w:val="auto"/>
        </w:rPr>
      </w:pPr>
    </w:p>
    <w:p>
      <w:pPr>
        <w:ind w:left="-40" w:firstLine="875"/>
        <w:spacing w:after="0" w:line="270" w:lineRule="auto"/>
        <w:tabs>
          <w:tab w:leader="none" w:pos="1384" w:val="left"/>
        </w:tabs>
        <w:numPr>
          <w:ilvl w:val="0"/>
          <w:numId w:val="44"/>
        </w:numPr>
        <w:rPr>
          <w:rFonts w:ascii="Arial" w:cs="Arial" w:eastAsia="Arial" w:hAnsi="Arial"/>
          <w:sz w:val="13"/>
          <w:szCs w:val="13"/>
          <w:b w:val="1"/>
          <w:bCs w:val="1"/>
          <w:color w:val="auto"/>
        </w:rPr>
      </w:pPr>
      <w:r>
        <w:rPr>
          <w:rFonts w:ascii="Arial" w:cs="Arial" w:eastAsia="Arial" w:hAnsi="Arial"/>
          <w:sz w:val="13"/>
          <w:szCs w:val="13"/>
          <w:b w:val="1"/>
          <w:bCs w:val="1"/>
          <w:color w:val="auto"/>
        </w:rPr>
        <w:t>Dividend, Voting and Other Rights</w:t>
      </w:r>
      <w:r>
        <w:rPr>
          <w:rFonts w:ascii="Arial" w:cs="Arial" w:eastAsia="Arial" w:hAnsi="Arial"/>
          <w:sz w:val="13"/>
          <w:szCs w:val="13"/>
          <w:color w:val="auto"/>
        </w:rPr>
        <w:t>. Except as otherwise provided herein, from and after the Date of Grant, the Grantee shall have all of the rights of a stockholder with</w:t>
      </w:r>
      <w:r>
        <w:rPr>
          <w:rFonts w:ascii="Arial" w:cs="Arial" w:eastAsia="Arial" w:hAnsi="Arial"/>
          <w:sz w:val="13"/>
          <w:szCs w:val="13"/>
          <w:b w:val="1"/>
          <w:bCs w:val="1"/>
          <w:color w:val="auto"/>
        </w:rPr>
        <w:t xml:space="preserve"> </w:t>
      </w:r>
      <w:r>
        <w:rPr>
          <w:rFonts w:ascii="Arial" w:cs="Arial" w:eastAsia="Arial" w:hAnsi="Arial"/>
          <w:sz w:val="13"/>
          <w:szCs w:val="13"/>
          <w:color w:val="auto"/>
        </w:rPr>
        <w:t xml:space="preserve">respect to the Restricted Shares, including the right to vote the Restricted Shares and receive any cash dividends that may be paid thereon (which such dividends shall be paid no later than the end of the calendar year in which the dividends are paid to the holders of the Common Shares or, if later, the 15th day of the third month following the date the dividends are paid to the holders of the Common Shares); </w:t>
      </w:r>
      <w:r>
        <w:rPr>
          <w:rFonts w:ascii="Arial" w:cs="Arial" w:eastAsia="Arial" w:hAnsi="Arial"/>
          <w:sz w:val="13"/>
          <w:szCs w:val="13"/>
          <w:u w:val="single" w:color="auto"/>
          <w:color w:val="auto"/>
        </w:rPr>
        <w:t>provided</w:t>
      </w:r>
      <w:r>
        <w:rPr>
          <w:rFonts w:ascii="Arial" w:cs="Arial" w:eastAsia="Arial" w:hAnsi="Arial"/>
          <w:sz w:val="13"/>
          <w:szCs w:val="13"/>
          <w:color w:val="auto"/>
        </w:rPr>
        <w:t xml:space="preserve">, </w:t>
      </w:r>
      <w:r>
        <w:rPr>
          <w:rFonts w:ascii="Arial" w:cs="Arial" w:eastAsia="Arial" w:hAnsi="Arial"/>
          <w:sz w:val="13"/>
          <w:szCs w:val="13"/>
          <w:u w:val="single" w:color="auto"/>
          <w:color w:val="auto"/>
        </w:rPr>
        <w:t>however</w:t>
      </w:r>
      <w:r>
        <w:rPr>
          <w:rFonts w:ascii="Arial" w:cs="Arial" w:eastAsia="Arial" w:hAnsi="Arial"/>
          <w:sz w:val="13"/>
          <w:szCs w:val="13"/>
          <w:color w:val="auto"/>
        </w:rPr>
        <w:t>, that any additional Common Shares or other securities that the Grantee may become entitled to receive pursuant to a stock dividend, stock split, combination of shares, recapitalization, merger, consolidation, separation or reorganization or any other change in the capital structure of the Company shall be considered Restricted Shares and shall be subject to the same restrictions as the Restricted Shares covered by this Agreement. Any cash dividends paid with respect to the Restricted Shares shall be reported on the Grantee’s annual wage and tax statement (Form W-2) as compensation and shall be subject to all applicable tax withholdings as provided in Section 10.</w:t>
      </w:r>
    </w:p>
    <w:p>
      <w:pPr>
        <w:spacing w:after="0" w:line="74" w:lineRule="exact"/>
        <w:rPr>
          <w:rFonts w:ascii="Arial" w:cs="Arial" w:eastAsia="Arial" w:hAnsi="Arial"/>
          <w:sz w:val="13"/>
          <w:szCs w:val="13"/>
          <w:b w:val="1"/>
          <w:bCs w:val="1"/>
          <w:color w:val="auto"/>
        </w:rPr>
      </w:pPr>
    </w:p>
    <w:p>
      <w:pPr>
        <w:ind w:left="-40" w:right="100" w:firstLine="875"/>
        <w:spacing w:after="0" w:line="254" w:lineRule="auto"/>
        <w:tabs>
          <w:tab w:leader="none" w:pos="1384" w:val="left"/>
        </w:tabs>
        <w:numPr>
          <w:ilvl w:val="0"/>
          <w:numId w:val="44"/>
        </w:numPr>
        <w:rPr>
          <w:rFonts w:ascii="Arial" w:cs="Arial" w:eastAsia="Arial" w:hAnsi="Arial"/>
          <w:sz w:val="14"/>
          <w:szCs w:val="14"/>
          <w:b w:val="1"/>
          <w:bCs w:val="1"/>
          <w:color w:val="auto"/>
        </w:rPr>
      </w:pPr>
      <w:r>
        <w:rPr>
          <w:rFonts w:ascii="Arial" w:cs="Arial" w:eastAsia="Arial" w:hAnsi="Arial"/>
          <w:sz w:val="14"/>
          <w:szCs w:val="14"/>
          <w:b w:val="1"/>
          <w:bCs w:val="1"/>
          <w:color w:val="auto"/>
        </w:rPr>
        <w:t>Custody of Restricted Shares</w:t>
      </w:r>
      <w:r>
        <w:rPr>
          <w:rFonts w:ascii="Arial" w:cs="Arial" w:eastAsia="Arial" w:hAnsi="Arial"/>
          <w:sz w:val="14"/>
          <w:szCs w:val="14"/>
          <w:color w:val="auto"/>
        </w:rPr>
        <w:t>;</w:t>
      </w:r>
      <w:r>
        <w:rPr>
          <w:rFonts w:ascii="Arial" w:cs="Arial" w:eastAsia="Arial" w:hAnsi="Arial"/>
          <w:sz w:val="14"/>
          <w:szCs w:val="14"/>
          <w:b w:val="1"/>
          <w:bCs w:val="1"/>
          <w:color w:val="auto"/>
        </w:rPr>
        <w:t xml:space="preserve"> Stock Power. </w:t>
      </w:r>
      <w:r>
        <w:rPr>
          <w:rFonts w:ascii="Arial" w:cs="Arial" w:eastAsia="Arial" w:hAnsi="Arial"/>
          <w:sz w:val="14"/>
          <w:szCs w:val="14"/>
          <w:color w:val="auto"/>
        </w:rPr>
        <w:t>Until the Restricted Shares have become Vested as provided in Section 2, the Restricted Shares shall be issued in book-entry</w:t>
      </w:r>
      <w:r>
        <w:rPr>
          <w:rFonts w:ascii="Arial" w:cs="Arial" w:eastAsia="Arial" w:hAnsi="Arial"/>
          <w:sz w:val="14"/>
          <w:szCs w:val="14"/>
          <w:b w:val="1"/>
          <w:bCs w:val="1"/>
          <w:color w:val="auto"/>
        </w:rPr>
        <w:t xml:space="preserve"> </w:t>
      </w:r>
      <w:r>
        <w:rPr>
          <w:rFonts w:ascii="Arial" w:cs="Arial" w:eastAsia="Arial" w:hAnsi="Arial"/>
          <w:sz w:val="14"/>
          <w:szCs w:val="14"/>
          <w:color w:val="auto"/>
        </w:rPr>
        <w:t>only form and shall not be represented by a certificate. The restrictions set forth in this Agreement shall be reflected on the stock transfer records maintained by or on behalf of the Company. By execution of this Agreement and effective until the Restricted Shares have become Vested as provided in Section 2, the Grantee hereby irrevocably constitute and appoint a person or persons of the Company’s choosing, or any of them, attorneys-in-fact to transfer the Restricted Shares on</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wp:posOffset>
            </wp:positionH>
            <wp:positionV relativeFrom="paragraph">
              <wp:posOffset>134620</wp:posOffset>
            </wp:positionV>
            <wp:extent cx="7329170" cy="3683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9">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380"/>
          </w:cols>
          <w:pgMar w:left="260" w:top="269" w:right="259" w:bottom="1440" w:gutter="0" w:footer="0" w:header="0"/>
          <w:type w:val="continuous"/>
        </w:sectPr>
      </w:pPr>
    </w:p>
    <w:bookmarkStart w:id="143" w:name="page144"/>
    <w:bookmarkEnd w:id="143"/>
    <w:p>
      <w:pPr>
        <w:ind w:right="240"/>
        <w:spacing w:after="0" w:line="313" w:lineRule="auto"/>
        <w:rPr>
          <w:sz w:val="20"/>
          <w:szCs w:val="20"/>
          <w:color w:val="auto"/>
        </w:rPr>
      </w:pPr>
      <w:r>
        <w:rPr>
          <w:rFonts w:ascii="Arial" w:cs="Arial" w:eastAsia="Arial" w:hAnsi="Arial"/>
          <w:sz w:val="13"/>
          <w:szCs w:val="13"/>
          <w:color w:val="auto"/>
        </w:rPr>
        <w:t>the stock transfer records of the Company with full power of substitution. The Grantee agrees to take any and all other actions (including without limitation executing, delivering, performing and filing such other agreements, instruments and documents) as the Company may deem necessary or appropriate to carry out and give effect to the provisions of this Agreement.</w:t>
      </w:r>
    </w:p>
    <w:p>
      <w:pPr>
        <w:spacing w:after="0" w:line="47" w:lineRule="exact"/>
        <w:rPr>
          <w:sz w:val="20"/>
          <w:szCs w:val="20"/>
          <w:color w:val="auto"/>
        </w:rPr>
      </w:pPr>
    </w:p>
    <w:p>
      <w:pPr>
        <w:ind w:right="20" w:firstLine="875"/>
        <w:spacing w:after="0" w:line="260" w:lineRule="auto"/>
        <w:tabs>
          <w:tab w:leader="none" w:pos="1424" w:val="left"/>
        </w:tabs>
        <w:numPr>
          <w:ilvl w:val="0"/>
          <w:numId w:val="45"/>
        </w:numPr>
        <w:rPr>
          <w:rFonts w:ascii="Arial" w:cs="Arial" w:eastAsia="Arial" w:hAnsi="Arial"/>
          <w:sz w:val="14"/>
          <w:szCs w:val="14"/>
          <w:b w:val="1"/>
          <w:bCs w:val="1"/>
          <w:color w:val="auto"/>
        </w:rPr>
      </w:pPr>
      <w:r>
        <w:rPr>
          <w:rFonts w:ascii="Arial" w:cs="Arial" w:eastAsia="Arial" w:hAnsi="Arial"/>
          <w:sz w:val="14"/>
          <w:szCs w:val="14"/>
          <w:b w:val="1"/>
          <w:bCs w:val="1"/>
          <w:color w:val="auto"/>
        </w:rPr>
        <w:t>Continuous Employment</w:t>
      </w:r>
      <w:r>
        <w:rPr>
          <w:rFonts w:ascii="Arial" w:cs="Arial" w:eastAsia="Arial" w:hAnsi="Arial"/>
          <w:sz w:val="14"/>
          <w:szCs w:val="14"/>
          <w:color w:val="auto"/>
        </w:rPr>
        <w:t>. For purposes of this Agreement, the continuous employment of the Grantee with the Company and its Subsidiaries shall not be deemed to have</w:t>
      </w:r>
      <w:r>
        <w:rPr>
          <w:rFonts w:ascii="Arial" w:cs="Arial" w:eastAsia="Arial" w:hAnsi="Arial"/>
          <w:sz w:val="14"/>
          <w:szCs w:val="14"/>
          <w:b w:val="1"/>
          <w:bCs w:val="1"/>
          <w:color w:val="auto"/>
        </w:rPr>
        <w:t xml:space="preserve"> </w:t>
      </w:r>
      <w:r>
        <w:rPr>
          <w:rFonts w:ascii="Arial" w:cs="Arial" w:eastAsia="Arial" w:hAnsi="Arial"/>
          <w:sz w:val="14"/>
          <w:szCs w:val="14"/>
          <w:color w:val="auto"/>
        </w:rPr>
        <w:t>been interrupted, and the Grantee shall not be deemed to have ceased to be an employee of the Company and its Subsidiaries, by reason of the transfer of his employment among the Company and its Subsidiaries or a leave of absence approved by the Committee.</w:t>
      </w:r>
    </w:p>
    <w:p>
      <w:pPr>
        <w:spacing w:after="0" w:line="89" w:lineRule="exact"/>
        <w:rPr>
          <w:rFonts w:ascii="Arial" w:cs="Arial" w:eastAsia="Arial" w:hAnsi="Arial"/>
          <w:sz w:val="14"/>
          <w:szCs w:val="14"/>
          <w:b w:val="1"/>
          <w:bCs w:val="1"/>
          <w:color w:val="auto"/>
        </w:rPr>
      </w:pPr>
    </w:p>
    <w:p>
      <w:pPr>
        <w:ind w:right="20" w:firstLine="875"/>
        <w:spacing w:after="0" w:line="272" w:lineRule="auto"/>
        <w:tabs>
          <w:tab w:leader="none" w:pos="1424" w:val="left"/>
        </w:tabs>
        <w:numPr>
          <w:ilvl w:val="0"/>
          <w:numId w:val="45"/>
        </w:numPr>
        <w:rPr>
          <w:rFonts w:ascii="Arial" w:cs="Arial" w:eastAsia="Arial" w:hAnsi="Arial"/>
          <w:sz w:val="13"/>
          <w:szCs w:val="13"/>
          <w:b w:val="1"/>
          <w:bCs w:val="1"/>
          <w:color w:val="auto"/>
        </w:rPr>
      </w:pPr>
      <w:r>
        <w:rPr>
          <w:rFonts w:ascii="Arial" w:cs="Arial" w:eastAsia="Arial" w:hAnsi="Arial"/>
          <w:sz w:val="13"/>
          <w:szCs w:val="13"/>
          <w:b w:val="1"/>
          <w:bCs w:val="1"/>
          <w:color w:val="auto"/>
        </w:rPr>
        <w:t>No Employment Contract; Disclaimer</w:t>
      </w:r>
      <w:r>
        <w:rPr>
          <w:rFonts w:ascii="Arial" w:cs="Arial" w:eastAsia="Arial" w:hAnsi="Arial"/>
          <w:sz w:val="13"/>
          <w:szCs w:val="13"/>
          <w:color w:val="auto"/>
        </w:rPr>
        <w:t>. Nothing contained in this Agreement shall confer upon the Grantee any right with respect to continuance of employment by the</w:t>
      </w:r>
      <w:r>
        <w:rPr>
          <w:rFonts w:ascii="Arial" w:cs="Arial" w:eastAsia="Arial" w:hAnsi="Arial"/>
          <w:sz w:val="13"/>
          <w:szCs w:val="13"/>
          <w:b w:val="1"/>
          <w:bCs w:val="1"/>
          <w:color w:val="auto"/>
        </w:rPr>
        <w:t xml:space="preserve"> </w:t>
      </w:r>
      <w:r>
        <w:rPr>
          <w:rFonts w:ascii="Arial" w:cs="Arial" w:eastAsia="Arial" w:hAnsi="Arial"/>
          <w:sz w:val="13"/>
          <w:szCs w:val="13"/>
          <w:color w:val="auto"/>
        </w:rPr>
        <w:t>Company and its Subsidiaries, nor limit or affect in any manner the right of the Company and its Subsidiaries to terminate the employment or adjust the compensation of the Grantee, in each case with or without cause. By acceptance of this Agreement, the Grantee acknowledges and agrees that neither this Agreement nor any other agreement awarded prior to the date hereof under any equity compensation plan of the Company or its subsidiaries has created or shall create, or be deemed or construed to create or have created, (i) a contractual, equitable, or other right to receive future grants of equity awards, or other benefits in lieu of equity awards, or (ii) a fiduciary duty or other comparable duty of trust or confidence owed to the Grantee (or any successor, assign, affiliate or family member of the Grantee) by the Company and its affiliates and their respective officers, directors, employees, agents or contractors.</w:t>
      </w:r>
    </w:p>
    <w:p>
      <w:pPr>
        <w:spacing w:after="0" w:line="73" w:lineRule="exact"/>
        <w:rPr>
          <w:rFonts w:ascii="Arial" w:cs="Arial" w:eastAsia="Arial" w:hAnsi="Arial"/>
          <w:sz w:val="13"/>
          <w:szCs w:val="13"/>
          <w:b w:val="1"/>
          <w:bCs w:val="1"/>
          <w:color w:val="auto"/>
        </w:rPr>
      </w:pPr>
    </w:p>
    <w:p>
      <w:pPr>
        <w:jc w:val="both"/>
        <w:ind w:right="160" w:firstLine="875"/>
        <w:spacing w:after="0" w:line="260" w:lineRule="auto"/>
        <w:tabs>
          <w:tab w:leader="none" w:pos="1424" w:val="left"/>
        </w:tabs>
        <w:numPr>
          <w:ilvl w:val="0"/>
          <w:numId w:val="45"/>
        </w:numPr>
        <w:rPr>
          <w:rFonts w:ascii="Arial" w:cs="Arial" w:eastAsia="Arial" w:hAnsi="Arial"/>
          <w:sz w:val="14"/>
          <w:szCs w:val="14"/>
          <w:b w:val="1"/>
          <w:bCs w:val="1"/>
          <w:color w:val="auto"/>
        </w:rPr>
      </w:pPr>
      <w:r>
        <w:rPr>
          <w:rFonts w:ascii="Arial" w:cs="Arial" w:eastAsia="Arial" w:hAnsi="Arial"/>
          <w:sz w:val="14"/>
          <w:szCs w:val="14"/>
          <w:b w:val="1"/>
          <w:bCs w:val="1"/>
          <w:color w:val="auto"/>
        </w:rPr>
        <w:t>Relation to Other Benefits</w:t>
      </w:r>
      <w:r>
        <w:rPr>
          <w:rFonts w:ascii="Arial" w:cs="Arial" w:eastAsia="Arial" w:hAnsi="Arial"/>
          <w:sz w:val="14"/>
          <w:szCs w:val="14"/>
          <w:color w:val="auto"/>
        </w:rPr>
        <w:t>. Any economic or other benefit to the Grantee under this Agreement or the Plan shall not be taken into account in determining any benefits to</w:t>
      </w:r>
      <w:r>
        <w:rPr>
          <w:rFonts w:ascii="Arial" w:cs="Arial" w:eastAsia="Arial" w:hAnsi="Arial"/>
          <w:sz w:val="14"/>
          <w:szCs w:val="14"/>
          <w:b w:val="1"/>
          <w:bCs w:val="1"/>
          <w:color w:val="auto"/>
        </w:rPr>
        <w:t xml:space="preserve"> </w:t>
      </w:r>
      <w:r>
        <w:rPr>
          <w:rFonts w:ascii="Arial" w:cs="Arial" w:eastAsia="Arial" w:hAnsi="Arial"/>
          <w:sz w:val="14"/>
          <w:szCs w:val="14"/>
          <w:color w:val="auto"/>
        </w:rPr>
        <w:t>which the Grantee may be entitled under any profit-sharing, retirement or other benefit or compensation plan maintained by the Company or a Subsidiary and shall not affect the amount of any life insurance coverage available to any beneficiary under any life insurance plan covering employees of the Company or a Subsidiary.</w:t>
      </w:r>
    </w:p>
    <w:p>
      <w:pPr>
        <w:spacing w:after="0" w:line="80" w:lineRule="exact"/>
        <w:rPr>
          <w:rFonts w:ascii="Arial" w:cs="Arial" w:eastAsia="Arial" w:hAnsi="Arial"/>
          <w:sz w:val="14"/>
          <w:szCs w:val="14"/>
          <w:b w:val="1"/>
          <w:bCs w:val="1"/>
          <w:color w:val="auto"/>
        </w:rPr>
      </w:pPr>
    </w:p>
    <w:p>
      <w:pPr>
        <w:ind w:firstLine="875"/>
        <w:spacing w:after="0" w:line="272" w:lineRule="auto"/>
        <w:tabs>
          <w:tab w:leader="none" w:pos="1496" w:val="left"/>
        </w:tabs>
        <w:numPr>
          <w:ilvl w:val="0"/>
          <w:numId w:val="45"/>
        </w:numPr>
        <w:rPr>
          <w:rFonts w:ascii="Arial" w:cs="Arial" w:eastAsia="Arial" w:hAnsi="Arial"/>
          <w:sz w:val="13"/>
          <w:szCs w:val="13"/>
          <w:b w:val="1"/>
          <w:bCs w:val="1"/>
          <w:color w:val="auto"/>
        </w:rPr>
      </w:pPr>
      <w:r>
        <w:rPr>
          <w:rFonts w:ascii="Arial" w:cs="Arial" w:eastAsia="Arial" w:hAnsi="Arial"/>
          <w:sz w:val="13"/>
          <w:szCs w:val="13"/>
          <w:b w:val="1"/>
          <w:bCs w:val="1"/>
          <w:color w:val="auto"/>
        </w:rPr>
        <w:t>Taxes and Withholding</w:t>
      </w:r>
      <w:r>
        <w:rPr>
          <w:rFonts w:ascii="Arial" w:cs="Arial" w:eastAsia="Arial" w:hAnsi="Arial"/>
          <w:sz w:val="13"/>
          <w:szCs w:val="13"/>
          <w:color w:val="auto"/>
        </w:rPr>
        <w:t>. The Grantee is responsible for any federal, state, local or other taxes with respect to the Restricted Shares (including the grant, the Vesting, the</w:t>
      </w:r>
      <w:r>
        <w:rPr>
          <w:rFonts w:ascii="Arial" w:cs="Arial" w:eastAsia="Arial" w:hAnsi="Arial"/>
          <w:sz w:val="13"/>
          <w:szCs w:val="13"/>
          <w:b w:val="1"/>
          <w:bCs w:val="1"/>
          <w:color w:val="auto"/>
        </w:rPr>
        <w:t xml:space="preserve"> </w:t>
      </w:r>
      <w:r>
        <w:rPr>
          <w:rFonts w:ascii="Arial" w:cs="Arial" w:eastAsia="Arial" w:hAnsi="Arial"/>
          <w:sz w:val="13"/>
          <w:szCs w:val="13"/>
          <w:color w:val="auto"/>
        </w:rPr>
        <w:t>receipt of Common Shares, the sale of Common Shares and the receipt of dividends or distributions, if any). The Company does not guarantee any particular tax treatment or results in connection with the grant or Vesting of the Restricted Shares or the payment of dividends or distributions. If the Company or any Subsidiary is required to withhold any federal, state, local or other taxes in connection with the delivery or vesting of the Restricted Shares, the Grantee shall pay the tax or make provisions that are satisfactory to the Company or such Subsidiary for the payment thereof. The Grantee may elect to satisfy all or any portion of any such withholding obligation by surrendering to the Company or such Subsidiary a portion of the Common Shares that become Vested hereunder, and the Common Shares so surrendered by the Grantee shall be credited against any such withholding obligation at the Market Value per Share of such Common Shares on the date of such surrender.</w:t>
      </w:r>
    </w:p>
    <w:p>
      <w:pPr>
        <w:spacing w:after="0" w:line="82" w:lineRule="exact"/>
        <w:rPr>
          <w:rFonts w:ascii="Arial" w:cs="Arial" w:eastAsia="Arial" w:hAnsi="Arial"/>
          <w:sz w:val="13"/>
          <w:szCs w:val="13"/>
          <w:b w:val="1"/>
          <w:bCs w:val="1"/>
          <w:color w:val="auto"/>
        </w:rPr>
      </w:pPr>
    </w:p>
    <w:p>
      <w:pPr>
        <w:ind w:right="20" w:firstLine="875"/>
        <w:spacing w:after="0" w:line="279" w:lineRule="auto"/>
        <w:tabs>
          <w:tab w:leader="none" w:pos="1488" w:val="left"/>
        </w:tabs>
        <w:numPr>
          <w:ilvl w:val="0"/>
          <w:numId w:val="45"/>
        </w:numPr>
        <w:rPr>
          <w:rFonts w:ascii="Arial" w:cs="Arial" w:eastAsia="Arial" w:hAnsi="Arial"/>
          <w:sz w:val="14"/>
          <w:szCs w:val="14"/>
          <w:b w:val="1"/>
          <w:bCs w:val="1"/>
          <w:color w:val="auto"/>
        </w:rPr>
      </w:pPr>
      <w:r>
        <w:rPr>
          <w:rFonts w:ascii="Arial" w:cs="Arial" w:eastAsia="Arial" w:hAnsi="Arial"/>
          <w:sz w:val="14"/>
          <w:szCs w:val="14"/>
          <w:b w:val="1"/>
          <w:bCs w:val="1"/>
          <w:color w:val="auto"/>
        </w:rPr>
        <w:t xml:space="preserve">Section 83(b) Election Prohibited. </w:t>
      </w:r>
      <w:r>
        <w:rPr>
          <w:rFonts w:ascii="Arial" w:cs="Arial" w:eastAsia="Arial" w:hAnsi="Arial"/>
          <w:sz w:val="14"/>
          <w:szCs w:val="14"/>
          <w:color w:val="auto"/>
        </w:rPr>
        <w:t>As a condition to receiving this award, the Grantee acknowledges and agrees that he or she shall not file an election under Section 83(b)</w:t>
      </w:r>
      <w:r>
        <w:rPr>
          <w:rFonts w:ascii="Arial" w:cs="Arial" w:eastAsia="Arial" w:hAnsi="Arial"/>
          <w:sz w:val="14"/>
          <w:szCs w:val="14"/>
          <w:b w:val="1"/>
          <w:bCs w:val="1"/>
          <w:color w:val="auto"/>
        </w:rPr>
        <w:t xml:space="preserve"> </w:t>
      </w:r>
      <w:r>
        <w:rPr>
          <w:rFonts w:ascii="Arial" w:cs="Arial" w:eastAsia="Arial" w:hAnsi="Arial"/>
          <w:sz w:val="14"/>
          <w:szCs w:val="14"/>
          <w:color w:val="auto"/>
        </w:rPr>
        <w:t>of the Code with respect to all or any portion of the Restricted Shares.</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134620</wp:posOffset>
            </wp:positionV>
            <wp:extent cx="7329170" cy="3683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0">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269" w:right="219" w:bottom="1440" w:gutter="0" w:footer="0" w:header="0"/>
        </w:sectPr>
      </w:pPr>
    </w:p>
    <w:bookmarkStart w:id="144" w:name="page145"/>
    <w:bookmarkEnd w:id="144"/>
    <w:p>
      <w:pPr>
        <w:ind w:left="-60" w:right="240" w:firstLine="875"/>
        <w:spacing w:after="0" w:line="260" w:lineRule="auto"/>
        <w:tabs>
          <w:tab w:leader="none" w:pos="1436" w:val="left"/>
        </w:tabs>
        <w:numPr>
          <w:ilvl w:val="0"/>
          <w:numId w:val="46"/>
        </w:numPr>
        <w:rPr>
          <w:rFonts w:ascii="Arial" w:cs="Arial" w:eastAsia="Arial" w:hAnsi="Arial"/>
          <w:sz w:val="14"/>
          <w:szCs w:val="14"/>
          <w:b w:val="1"/>
          <w:bCs w:val="1"/>
          <w:color w:val="auto"/>
        </w:rPr>
      </w:pPr>
      <w:r>
        <w:rPr>
          <w:rFonts w:ascii="Arial" w:cs="Arial" w:eastAsia="Arial" w:hAnsi="Arial"/>
          <w:sz w:val="14"/>
          <w:szCs w:val="14"/>
          <w:b w:val="1"/>
          <w:bCs w:val="1"/>
          <w:color w:val="auto"/>
        </w:rPr>
        <w:t>Compliance with Law</w:t>
      </w:r>
      <w:r>
        <w:rPr>
          <w:rFonts w:ascii="Arial" w:cs="Arial" w:eastAsia="Arial" w:hAnsi="Arial"/>
          <w:sz w:val="14"/>
          <w:szCs w:val="14"/>
          <w:color w:val="auto"/>
        </w:rPr>
        <w:t>. The Company shall make reasonable efforts to comply with all applicable federal and state securities laws and listing requirements of the</w:t>
      </w:r>
      <w:r>
        <w:rPr>
          <w:rFonts w:ascii="Arial" w:cs="Arial" w:eastAsia="Arial" w:hAnsi="Arial"/>
          <w:sz w:val="14"/>
          <w:szCs w:val="14"/>
          <w:b w:val="1"/>
          <w:bCs w:val="1"/>
          <w:color w:val="auto"/>
        </w:rPr>
        <w:t xml:space="preserve"> </w:t>
      </w:r>
      <w:r>
        <w:rPr>
          <w:rFonts w:ascii="Arial" w:cs="Arial" w:eastAsia="Arial" w:hAnsi="Arial"/>
          <w:sz w:val="14"/>
          <w:szCs w:val="14"/>
          <w:color w:val="auto"/>
        </w:rPr>
        <w:t xml:space="preserve">NASDAQ or any national securities exchange with respect to the Restricted Shares; </w:t>
      </w:r>
      <w:r>
        <w:rPr>
          <w:rFonts w:ascii="Arial" w:cs="Arial" w:eastAsia="Arial" w:hAnsi="Arial"/>
          <w:sz w:val="14"/>
          <w:szCs w:val="14"/>
          <w:u w:val="single" w:color="auto"/>
          <w:color w:val="auto"/>
        </w:rPr>
        <w:t>provided</w:t>
      </w:r>
      <w:r>
        <w:rPr>
          <w:rFonts w:ascii="Arial" w:cs="Arial" w:eastAsia="Arial" w:hAnsi="Arial"/>
          <w:sz w:val="14"/>
          <w:szCs w:val="14"/>
          <w:color w:val="auto"/>
        </w:rPr>
        <w:t xml:space="preserve">, </w:t>
      </w:r>
      <w:r>
        <w:rPr>
          <w:rFonts w:ascii="Arial" w:cs="Arial" w:eastAsia="Arial" w:hAnsi="Arial"/>
          <w:sz w:val="14"/>
          <w:szCs w:val="14"/>
          <w:u w:val="single" w:color="auto"/>
          <w:color w:val="auto"/>
        </w:rPr>
        <w:t>however</w:t>
      </w:r>
      <w:r>
        <w:rPr>
          <w:rFonts w:ascii="Arial" w:cs="Arial" w:eastAsia="Arial" w:hAnsi="Arial"/>
          <w:sz w:val="14"/>
          <w:szCs w:val="14"/>
          <w:color w:val="auto"/>
        </w:rPr>
        <w:t>, notwithstanding any other provision of this Agreement, the Restricted Shares shall not be delivered or become Vested if the delivery or vesting thereof would result in a violation of any such law or listing requirement.</w:t>
      </w:r>
    </w:p>
    <w:p>
      <w:pPr>
        <w:spacing w:after="0" w:line="80" w:lineRule="exact"/>
        <w:rPr>
          <w:rFonts w:ascii="Arial" w:cs="Arial" w:eastAsia="Arial" w:hAnsi="Arial"/>
          <w:sz w:val="14"/>
          <w:szCs w:val="14"/>
          <w:b w:val="1"/>
          <w:bCs w:val="1"/>
          <w:color w:val="auto"/>
        </w:rPr>
      </w:pPr>
    </w:p>
    <w:p>
      <w:pPr>
        <w:ind w:left="-60" w:right="200" w:firstLine="875"/>
        <w:spacing w:after="0" w:line="260" w:lineRule="auto"/>
        <w:tabs>
          <w:tab w:leader="none" w:pos="1436" w:val="left"/>
        </w:tabs>
        <w:numPr>
          <w:ilvl w:val="0"/>
          <w:numId w:val="46"/>
        </w:numPr>
        <w:rPr>
          <w:rFonts w:ascii="Arial" w:cs="Arial" w:eastAsia="Arial" w:hAnsi="Arial"/>
          <w:sz w:val="14"/>
          <w:szCs w:val="14"/>
          <w:b w:val="1"/>
          <w:bCs w:val="1"/>
          <w:color w:val="auto"/>
        </w:rPr>
      </w:pPr>
      <w:r>
        <w:rPr>
          <w:rFonts w:ascii="Arial" w:cs="Arial" w:eastAsia="Arial" w:hAnsi="Arial"/>
          <w:sz w:val="14"/>
          <w:szCs w:val="14"/>
          <w:b w:val="1"/>
          <w:bCs w:val="1"/>
          <w:color w:val="auto"/>
        </w:rPr>
        <w:t>Amendments</w:t>
      </w:r>
      <w:r>
        <w:rPr>
          <w:rFonts w:ascii="Arial" w:cs="Arial" w:eastAsia="Arial" w:hAnsi="Arial"/>
          <w:sz w:val="14"/>
          <w:szCs w:val="14"/>
          <w:color w:val="auto"/>
        </w:rPr>
        <w:t>. Subject to the terms of the Plan, the Committee may modify this Agreement upon written notice to the Grantee. Any amendment to the Plan shall be</w:t>
      </w:r>
      <w:r>
        <w:rPr>
          <w:rFonts w:ascii="Arial" w:cs="Arial" w:eastAsia="Arial" w:hAnsi="Arial"/>
          <w:sz w:val="14"/>
          <w:szCs w:val="14"/>
          <w:b w:val="1"/>
          <w:bCs w:val="1"/>
          <w:color w:val="auto"/>
        </w:rPr>
        <w:t xml:space="preserve"> </w:t>
      </w:r>
      <w:r>
        <w:rPr>
          <w:rFonts w:ascii="Arial" w:cs="Arial" w:eastAsia="Arial" w:hAnsi="Arial"/>
          <w:sz w:val="14"/>
          <w:szCs w:val="14"/>
          <w:color w:val="auto"/>
        </w:rPr>
        <w:t>deemed to be an amendment to this Agreement to the extent that the amendment is applicable hereto. Notwithstanding the foregoing, no amendment of the Plan or this Agreement shall adversely affect the rights of the Grantee under this Agreement regarding Restricted Shares that are then vested under the Plan without the Grantee’s consent.</w:t>
      </w:r>
    </w:p>
    <w:p>
      <w:pPr>
        <w:spacing w:after="0" w:line="89" w:lineRule="exact"/>
        <w:rPr>
          <w:rFonts w:ascii="Arial" w:cs="Arial" w:eastAsia="Arial" w:hAnsi="Arial"/>
          <w:sz w:val="14"/>
          <w:szCs w:val="14"/>
          <w:b w:val="1"/>
          <w:bCs w:val="1"/>
          <w:color w:val="auto"/>
        </w:rPr>
      </w:pPr>
    </w:p>
    <w:p>
      <w:pPr>
        <w:ind w:left="-60" w:right="200" w:firstLine="875"/>
        <w:spacing w:after="0" w:line="279" w:lineRule="auto"/>
        <w:tabs>
          <w:tab w:leader="none" w:pos="1436" w:val="left"/>
        </w:tabs>
        <w:numPr>
          <w:ilvl w:val="0"/>
          <w:numId w:val="46"/>
        </w:numPr>
        <w:rPr>
          <w:rFonts w:ascii="Arial" w:cs="Arial" w:eastAsia="Arial" w:hAnsi="Arial"/>
          <w:sz w:val="14"/>
          <w:szCs w:val="14"/>
          <w:b w:val="1"/>
          <w:bCs w:val="1"/>
          <w:color w:val="auto"/>
        </w:rPr>
      </w:pPr>
      <w:r>
        <w:rPr>
          <w:rFonts w:ascii="Arial" w:cs="Arial" w:eastAsia="Arial" w:hAnsi="Arial"/>
          <w:sz w:val="14"/>
          <w:szCs w:val="14"/>
          <w:b w:val="1"/>
          <w:bCs w:val="1"/>
          <w:color w:val="auto"/>
        </w:rPr>
        <w:t>Severability</w:t>
      </w:r>
      <w:r>
        <w:rPr>
          <w:rFonts w:ascii="Arial" w:cs="Arial" w:eastAsia="Arial" w:hAnsi="Arial"/>
          <w:sz w:val="14"/>
          <w:szCs w:val="14"/>
          <w:color w:val="auto"/>
        </w:rPr>
        <w:t>. In the event that one or more of the provisions of this Agreement shall be invalidated for any reason by a court of competent jurisdiction, any provision so</w:t>
      </w:r>
      <w:r>
        <w:rPr>
          <w:rFonts w:ascii="Arial" w:cs="Arial" w:eastAsia="Arial" w:hAnsi="Arial"/>
          <w:sz w:val="14"/>
          <w:szCs w:val="14"/>
          <w:b w:val="1"/>
          <w:bCs w:val="1"/>
          <w:color w:val="auto"/>
        </w:rPr>
        <w:t xml:space="preserve"> </w:t>
      </w:r>
      <w:r>
        <w:rPr>
          <w:rFonts w:ascii="Arial" w:cs="Arial" w:eastAsia="Arial" w:hAnsi="Arial"/>
          <w:sz w:val="14"/>
          <w:szCs w:val="14"/>
          <w:color w:val="auto"/>
        </w:rPr>
        <w:t>invalidated shall be deemed to be separable from the other provisions hereof, and the remaining provisions hereof shall continue to be valid and fully enforceable.</w:t>
      </w:r>
    </w:p>
    <w:p>
      <w:pPr>
        <w:spacing w:after="0" w:line="67" w:lineRule="exact"/>
        <w:rPr>
          <w:rFonts w:ascii="Arial" w:cs="Arial" w:eastAsia="Arial" w:hAnsi="Arial"/>
          <w:sz w:val="14"/>
          <w:szCs w:val="14"/>
          <w:b w:val="1"/>
          <w:bCs w:val="1"/>
          <w:color w:val="auto"/>
        </w:rPr>
      </w:pPr>
    </w:p>
    <w:p>
      <w:pPr>
        <w:ind w:left="-60" w:right="60" w:firstLine="875"/>
        <w:spacing w:after="0" w:line="251" w:lineRule="auto"/>
        <w:tabs>
          <w:tab w:leader="none" w:pos="1436" w:val="left"/>
        </w:tabs>
        <w:numPr>
          <w:ilvl w:val="0"/>
          <w:numId w:val="46"/>
        </w:numPr>
        <w:rPr>
          <w:rFonts w:ascii="Arial" w:cs="Arial" w:eastAsia="Arial" w:hAnsi="Arial"/>
          <w:sz w:val="14"/>
          <w:szCs w:val="14"/>
          <w:b w:val="1"/>
          <w:bCs w:val="1"/>
          <w:color w:val="auto"/>
        </w:rPr>
      </w:pPr>
      <w:r>
        <w:rPr>
          <w:rFonts w:ascii="Arial" w:cs="Arial" w:eastAsia="Arial" w:hAnsi="Arial"/>
          <w:sz w:val="14"/>
          <w:szCs w:val="14"/>
          <w:b w:val="1"/>
          <w:bCs w:val="1"/>
          <w:color w:val="auto"/>
        </w:rPr>
        <w:t>Relation to Plan</w:t>
      </w:r>
      <w:r>
        <w:rPr>
          <w:rFonts w:ascii="Arial" w:cs="Arial" w:eastAsia="Arial" w:hAnsi="Arial"/>
          <w:sz w:val="14"/>
          <w:szCs w:val="14"/>
          <w:color w:val="auto"/>
        </w:rPr>
        <w:t>. This Agreement is subject to the terms and conditions of the Plan. This Agreement and the Plan contain the entire agreement and understanding of the</w:t>
      </w:r>
      <w:r>
        <w:rPr>
          <w:rFonts w:ascii="Arial" w:cs="Arial" w:eastAsia="Arial" w:hAnsi="Arial"/>
          <w:sz w:val="14"/>
          <w:szCs w:val="14"/>
          <w:b w:val="1"/>
          <w:bCs w:val="1"/>
          <w:color w:val="auto"/>
        </w:rPr>
        <w:t xml:space="preserve"> </w:t>
      </w:r>
      <w:r>
        <w:rPr>
          <w:rFonts w:ascii="Arial" w:cs="Arial" w:eastAsia="Arial" w:hAnsi="Arial"/>
          <w:sz w:val="14"/>
          <w:szCs w:val="14"/>
          <w:color w:val="auto"/>
        </w:rPr>
        <w:t>parties with respect to the subject matter contained in this Agreement, and supersede all prior written or oral communications, representations and negotiations in respect thereto. In the event of any inconsistency between the provisions of this Agreement and the Plan, the Plan shall govern. Capitalized terms used herein without definition shall have the meanings assigned to them in the Plan. The Committee acting pursuant to the Plan, as constituted from time to time, shall, except as expressly provided otherwise herein, have the right to determine any questions which arise in connection with the grant of the Restricted Shares.</w:t>
      </w:r>
    </w:p>
    <w:p>
      <w:pPr>
        <w:spacing w:after="0" w:line="85" w:lineRule="exact"/>
        <w:rPr>
          <w:rFonts w:ascii="Arial" w:cs="Arial" w:eastAsia="Arial" w:hAnsi="Arial"/>
          <w:sz w:val="14"/>
          <w:szCs w:val="14"/>
          <w:b w:val="1"/>
          <w:bCs w:val="1"/>
          <w:color w:val="auto"/>
        </w:rPr>
      </w:pPr>
    </w:p>
    <w:p>
      <w:pPr>
        <w:ind w:left="-60" w:right="240" w:firstLine="875"/>
        <w:spacing w:after="0" w:line="279" w:lineRule="auto"/>
        <w:tabs>
          <w:tab w:leader="none" w:pos="1436" w:val="left"/>
        </w:tabs>
        <w:numPr>
          <w:ilvl w:val="0"/>
          <w:numId w:val="46"/>
        </w:numPr>
        <w:rPr>
          <w:rFonts w:ascii="Arial" w:cs="Arial" w:eastAsia="Arial" w:hAnsi="Arial"/>
          <w:sz w:val="14"/>
          <w:szCs w:val="14"/>
          <w:b w:val="1"/>
          <w:bCs w:val="1"/>
          <w:color w:val="auto"/>
        </w:rPr>
      </w:pPr>
      <w:r>
        <w:rPr>
          <w:rFonts w:ascii="Arial" w:cs="Arial" w:eastAsia="Arial" w:hAnsi="Arial"/>
          <w:sz w:val="14"/>
          <w:szCs w:val="14"/>
          <w:b w:val="1"/>
          <w:bCs w:val="1"/>
          <w:color w:val="auto"/>
        </w:rPr>
        <w:t>Successors and Assigns</w:t>
      </w:r>
      <w:r>
        <w:rPr>
          <w:rFonts w:ascii="Arial" w:cs="Arial" w:eastAsia="Arial" w:hAnsi="Arial"/>
          <w:sz w:val="14"/>
          <w:szCs w:val="14"/>
          <w:color w:val="auto"/>
        </w:rPr>
        <w:t>. Without limiting Section 4, the provisions of this Agreement shall inure to the benefit of, and be binding upon, the successors, administrators,</w:t>
      </w:r>
      <w:r>
        <w:rPr>
          <w:rFonts w:ascii="Arial" w:cs="Arial" w:eastAsia="Arial" w:hAnsi="Arial"/>
          <w:sz w:val="14"/>
          <w:szCs w:val="14"/>
          <w:b w:val="1"/>
          <w:bCs w:val="1"/>
          <w:color w:val="auto"/>
        </w:rPr>
        <w:t xml:space="preserve"> </w:t>
      </w:r>
      <w:r>
        <w:rPr>
          <w:rFonts w:ascii="Arial" w:cs="Arial" w:eastAsia="Arial" w:hAnsi="Arial"/>
          <w:sz w:val="14"/>
          <w:szCs w:val="14"/>
          <w:color w:val="auto"/>
        </w:rPr>
        <w:t>heirs, legal representatives and assigns of the Grantee, and the successors and assigns of the Company.</w:t>
      </w:r>
    </w:p>
    <w:p>
      <w:pPr>
        <w:spacing w:after="0" w:line="76" w:lineRule="exact"/>
        <w:rPr>
          <w:rFonts w:ascii="Arial" w:cs="Arial" w:eastAsia="Arial" w:hAnsi="Arial"/>
          <w:sz w:val="14"/>
          <w:szCs w:val="14"/>
          <w:b w:val="1"/>
          <w:bCs w:val="1"/>
          <w:color w:val="auto"/>
        </w:rPr>
      </w:pPr>
    </w:p>
    <w:p>
      <w:pPr>
        <w:ind w:left="-60" w:right="80" w:firstLine="875"/>
        <w:spacing w:after="0" w:line="279" w:lineRule="auto"/>
        <w:tabs>
          <w:tab w:leader="none" w:pos="1436" w:val="left"/>
        </w:tabs>
        <w:numPr>
          <w:ilvl w:val="0"/>
          <w:numId w:val="46"/>
        </w:numPr>
        <w:rPr>
          <w:rFonts w:ascii="Arial" w:cs="Arial" w:eastAsia="Arial" w:hAnsi="Arial"/>
          <w:sz w:val="14"/>
          <w:szCs w:val="14"/>
          <w:b w:val="1"/>
          <w:bCs w:val="1"/>
          <w:color w:val="auto"/>
        </w:rPr>
      </w:pPr>
      <w:r>
        <w:rPr>
          <w:rFonts w:ascii="Arial" w:cs="Arial" w:eastAsia="Arial" w:hAnsi="Arial"/>
          <w:sz w:val="14"/>
          <w:szCs w:val="14"/>
          <w:b w:val="1"/>
          <w:bCs w:val="1"/>
          <w:color w:val="auto"/>
        </w:rPr>
        <w:t>Governing Law</w:t>
      </w:r>
      <w:r>
        <w:rPr>
          <w:rFonts w:ascii="Arial" w:cs="Arial" w:eastAsia="Arial" w:hAnsi="Arial"/>
          <w:sz w:val="14"/>
          <w:szCs w:val="14"/>
          <w:color w:val="auto"/>
        </w:rPr>
        <w:t>. The interpretation, performance, and enforcement of this Agreement shall be governed by the laws of the State of Maryland, without giving effect to the</w:t>
      </w:r>
      <w:r>
        <w:rPr>
          <w:rFonts w:ascii="Arial" w:cs="Arial" w:eastAsia="Arial" w:hAnsi="Arial"/>
          <w:sz w:val="14"/>
          <w:szCs w:val="14"/>
          <w:b w:val="1"/>
          <w:bCs w:val="1"/>
          <w:color w:val="auto"/>
        </w:rPr>
        <w:t xml:space="preserve"> </w:t>
      </w:r>
      <w:r>
        <w:rPr>
          <w:rFonts w:ascii="Arial" w:cs="Arial" w:eastAsia="Arial" w:hAnsi="Arial"/>
          <w:sz w:val="14"/>
          <w:szCs w:val="14"/>
          <w:color w:val="auto"/>
        </w:rPr>
        <w:t>principles of conflict of laws thereof.</w:t>
      </w:r>
    </w:p>
    <w:p>
      <w:pPr>
        <w:spacing w:after="0" w:line="67" w:lineRule="exact"/>
        <w:rPr>
          <w:rFonts w:ascii="Arial" w:cs="Arial" w:eastAsia="Arial" w:hAnsi="Arial"/>
          <w:sz w:val="14"/>
          <w:szCs w:val="14"/>
          <w:b w:val="1"/>
          <w:bCs w:val="1"/>
          <w:color w:val="auto"/>
        </w:rPr>
      </w:pPr>
    </w:p>
    <w:p>
      <w:pPr>
        <w:ind w:left="-60" w:firstLine="875"/>
        <w:spacing w:after="0" w:line="275" w:lineRule="auto"/>
        <w:tabs>
          <w:tab w:leader="none" w:pos="1436" w:val="left"/>
        </w:tabs>
        <w:numPr>
          <w:ilvl w:val="0"/>
          <w:numId w:val="46"/>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Electronic Delivery. </w:t>
      </w:r>
      <w:r>
        <w:rPr>
          <w:rFonts w:ascii="Arial" w:cs="Arial" w:eastAsia="Arial" w:hAnsi="Arial"/>
          <w:sz w:val="13"/>
          <w:szCs w:val="13"/>
          <w:color w:val="auto"/>
        </w:rPr>
        <w:t>The Grantee hereby consents and agrees to electronic delivery of any documents that the Company may elect to deliver (including, but not limited to,</w:t>
      </w:r>
      <w:r>
        <w:rPr>
          <w:rFonts w:ascii="Arial" w:cs="Arial" w:eastAsia="Arial" w:hAnsi="Arial"/>
          <w:sz w:val="13"/>
          <w:szCs w:val="13"/>
          <w:b w:val="1"/>
          <w:bCs w:val="1"/>
          <w:color w:val="auto"/>
        </w:rPr>
        <w:t xml:space="preserve"> </w:t>
      </w:r>
      <w:r>
        <w:rPr>
          <w:rFonts w:ascii="Arial" w:cs="Arial" w:eastAsia="Arial" w:hAnsi="Arial"/>
          <w:sz w:val="13"/>
          <w:szCs w:val="13"/>
          <w:color w:val="auto"/>
        </w:rPr>
        <w:t>prospectuses, prospectus supplements, grant or award notifications and agreements, account statements, annual and quarterly reports, and all other forms of communications) in connection with this and any other award made or offered under the Plan. The Grantee understands that, unless earlier revoked by the Grantee by giving written notice to the Secretary of the Company, this consent shall be effective for the duration of the Agreement. The Grantee also understands that he or she shall have the right at any time to request that the Company deliver written copies of any and all materials referred to above at no charge. The Grantee hereby consents to any and all procedures the Company has established or may establish for an electronic signature system</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wp:posOffset>
            </wp:positionH>
            <wp:positionV relativeFrom="paragraph">
              <wp:posOffset>134620</wp:posOffset>
            </wp:positionV>
            <wp:extent cx="7329170" cy="3683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1">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360"/>
          </w:cols>
          <w:pgMar w:left="280" w:top="265" w:right="259" w:bottom="1440" w:gutter="0" w:footer="0" w:header="0"/>
        </w:sectPr>
      </w:pPr>
    </w:p>
    <w:bookmarkStart w:id="145" w:name="page146"/>
    <w:bookmarkEnd w:id="145"/>
    <w:p>
      <w:pPr>
        <w:spacing w:after="0" w:line="257" w:lineRule="auto"/>
        <w:rPr>
          <w:sz w:val="20"/>
          <w:szCs w:val="20"/>
          <w:color w:val="auto"/>
        </w:rPr>
      </w:pPr>
      <w:r>
        <w:rPr>
          <w:rFonts w:ascii="Arial" w:cs="Arial" w:eastAsia="Arial" w:hAnsi="Arial"/>
          <w:sz w:val="14"/>
          <w:szCs w:val="14"/>
          <w:color w:val="auto"/>
        </w:rPr>
        <w:t>for delivery and acceptance of any such documents that the Company may elect to deliver, and agrees that his or her electronic signature is the same as, and shall have the same force and effect as, his or her manual signature. The Grantee consents and agrees that any such procedures and delivery may be effected by a third party engaged by the Company to provide administrative services related to the Plan.</w:t>
      </w:r>
    </w:p>
    <w:p>
      <w:pPr>
        <w:spacing w:after="0" w:line="86" w:lineRule="exact"/>
        <w:rPr>
          <w:sz w:val="20"/>
          <w:szCs w:val="20"/>
          <w:color w:val="auto"/>
        </w:rPr>
      </w:pPr>
    </w:p>
    <w:p>
      <w:pPr>
        <w:ind w:right="40" w:firstLine="883"/>
        <w:spacing w:after="0" w:line="273" w:lineRule="auto"/>
        <w:rPr>
          <w:sz w:val="20"/>
          <w:szCs w:val="20"/>
          <w:color w:val="auto"/>
        </w:rPr>
      </w:pPr>
      <w:r>
        <w:rPr>
          <w:rFonts w:ascii="Arial" w:cs="Arial" w:eastAsia="Arial" w:hAnsi="Arial"/>
          <w:sz w:val="14"/>
          <w:szCs w:val="14"/>
          <w:color w:val="auto"/>
        </w:rPr>
        <w:t>IN WITNESS WHEREOF, the Company has caused this Agreement to be executed on its behalf by its duly authorized officer and the Grantee has also executed this Agreement, as of the Date of Grant.</w:t>
      </w:r>
    </w:p>
    <w:p>
      <w:pPr>
        <w:spacing w:after="0" w:line="84" w:lineRule="exact"/>
        <w:rPr>
          <w:sz w:val="20"/>
          <w:szCs w:val="20"/>
          <w:color w:val="auto"/>
        </w:rPr>
      </w:pPr>
    </w:p>
    <w:p>
      <w:pPr>
        <w:jc w:val="center"/>
        <w:ind w:right="320"/>
        <w:spacing w:after="0"/>
        <w:rPr>
          <w:sz w:val="20"/>
          <w:szCs w:val="20"/>
          <w:color w:val="auto"/>
        </w:rPr>
      </w:pPr>
      <w:r>
        <w:rPr>
          <w:rFonts w:ascii="Arial" w:cs="Arial" w:eastAsia="Arial" w:hAnsi="Arial"/>
          <w:sz w:val="14"/>
          <w:szCs w:val="14"/>
          <w:color w:val="auto"/>
        </w:rPr>
        <w:t>UNITI GROUP INC.</w:t>
      </w:r>
    </w:p>
    <w:p>
      <w:pPr>
        <w:sectPr>
          <w:pgSz w:w="11900" w:h="16838" w:orient="portrait"/>
          <w:cols w:equalWidth="0" w:num="1">
            <w:col w:w="11460"/>
          </w:cols>
          <w:pgMar w:left="220" w:top="269" w:right="219" w:bottom="1440" w:gutter="0" w:footer="0" w:header="0"/>
        </w:sectPr>
      </w:pPr>
    </w:p>
    <w:p>
      <w:pPr>
        <w:spacing w:after="0" w:line="145" w:lineRule="exact"/>
        <w:rPr>
          <w:sz w:val="20"/>
          <w:szCs w:val="20"/>
          <w:color w:val="auto"/>
        </w:rPr>
      </w:pPr>
    </w:p>
    <w:p>
      <w:pPr>
        <w:ind w:left="5300"/>
        <w:spacing w:after="0"/>
        <w:rPr>
          <w:sz w:val="20"/>
          <w:szCs w:val="20"/>
          <w:color w:val="auto"/>
        </w:rPr>
      </w:pPr>
      <w:r>
        <w:rPr>
          <w:rFonts w:ascii="Arial" w:cs="Arial" w:eastAsia="Arial" w:hAnsi="Arial"/>
          <w:sz w:val="14"/>
          <w:szCs w:val="14"/>
          <w:color w:val="auto"/>
        </w:rPr>
        <w:t>By:</w:t>
      </w:r>
    </w:p>
    <w:p>
      <w:pPr>
        <w:spacing w:after="0" w:line="13" w:lineRule="exact"/>
        <w:rPr>
          <w:sz w:val="20"/>
          <w:szCs w:val="20"/>
          <w:color w:val="auto"/>
        </w:rPr>
      </w:pPr>
    </w:p>
    <w:p>
      <w:pPr>
        <w:ind w:left="5300"/>
        <w:spacing w:after="0"/>
        <w:rPr>
          <w:sz w:val="20"/>
          <w:szCs w:val="20"/>
          <w:color w:val="auto"/>
        </w:rPr>
      </w:pPr>
      <w:r>
        <w:rPr>
          <w:rFonts w:ascii="Arial" w:cs="Arial" w:eastAsia="Arial" w:hAnsi="Arial"/>
          <w:sz w:val="13"/>
          <w:szCs w:val="13"/>
          <w:color w:val="auto"/>
        </w:rPr>
        <w:t>Title:</w:t>
      </w:r>
    </w:p>
    <w:p>
      <w:pPr>
        <w:spacing w:after="0" w:line="20" w:lineRule="exact"/>
        <w:rPr>
          <w:sz w:val="20"/>
          <w:szCs w:val="20"/>
          <w:color w:val="auto"/>
        </w:rPr>
      </w:pPr>
      <w:r>
        <w:rPr>
          <w:sz w:val="20"/>
          <w:szCs w:val="20"/>
          <w:color w:val="auto"/>
        </w:rPr>
        <w:br w:type="column"/>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color w:val="auto"/>
        </w:rPr>
        <w:t>Kenny Gunderman</w:t>
      </w:r>
    </w:p>
    <w:p>
      <w:pPr>
        <w:spacing w:after="0" w:line="25" w:lineRule="exact"/>
        <w:rPr>
          <w:sz w:val="20"/>
          <w:szCs w:val="20"/>
          <w:color w:val="auto"/>
        </w:rPr>
      </w:pPr>
    </w:p>
    <w:p>
      <w:pPr>
        <w:spacing w:after="0"/>
        <w:rPr>
          <w:sz w:val="20"/>
          <w:szCs w:val="20"/>
          <w:color w:val="auto"/>
        </w:rPr>
      </w:pPr>
      <w:r>
        <w:rPr>
          <w:rFonts w:ascii="Arial" w:cs="Arial" w:eastAsia="Arial" w:hAnsi="Arial"/>
          <w:sz w:val="12"/>
          <w:szCs w:val="12"/>
          <w:color w:val="auto"/>
        </w:rPr>
        <w:t>President and CEO</w:t>
      </w:r>
    </w:p>
    <w:p>
      <w:pPr>
        <w:spacing w:after="0" w:line="152" w:lineRule="exact"/>
        <w:rPr>
          <w:sz w:val="20"/>
          <w:szCs w:val="20"/>
          <w:color w:val="auto"/>
        </w:rPr>
      </w:pPr>
    </w:p>
    <w:p>
      <w:pPr>
        <w:sectPr>
          <w:pgSz w:w="11900" w:h="16838" w:orient="portrait"/>
          <w:cols w:equalWidth="0" w:num="2">
            <w:col w:w="5600" w:space="440"/>
            <w:col w:w="5420"/>
          </w:cols>
          <w:pgMar w:left="220" w:top="269" w:right="219" w:bottom="1440" w:gutter="0" w:footer="0" w:header="0"/>
          <w:type w:val="continuous"/>
        </w:sectPr>
      </w:pPr>
    </w:p>
    <w:p>
      <w:pPr>
        <w:ind w:right="60"/>
        <w:spacing w:after="0" w:line="251" w:lineRule="auto"/>
        <w:rPr>
          <w:sz w:val="20"/>
          <w:szCs w:val="20"/>
          <w:color w:val="auto"/>
        </w:rPr>
      </w:pPr>
      <w:r>
        <w:rPr>
          <w:rFonts w:ascii="Arial" w:cs="Arial" w:eastAsia="Arial" w:hAnsi="Arial"/>
          <w:sz w:val="14"/>
          <w:szCs w:val="14"/>
          <w:color w:val="auto"/>
        </w:rPr>
        <w:t xml:space="preserve">By clicking the </w:t>
      </w:r>
      <w:r>
        <w:rPr>
          <w:rFonts w:ascii="Arial" w:cs="Arial" w:eastAsia="Arial" w:hAnsi="Arial"/>
          <w:sz w:val="14"/>
          <w:szCs w:val="14"/>
          <w:b w:val="1"/>
          <w:bCs w:val="1"/>
          <w:color w:val="auto"/>
        </w:rPr>
        <w:t>[I Accept]</w:t>
      </w:r>
      <w:r>
        <w:rPr>
          <w:rFonts w:ascii="Arial" w:cs="Arial" w:eastAsia="Arial" w:hAnsi="Arial"/>
          <w:sz w:val="14"/>
          <w:szCs w:val="14"/>
          <w:color w:val="auto"/>
        </w:rPr>
        <w:t xml:space="preserve"> button, the Grantee hereby acknowledges that a copy of the Plan, Plan Summary and Prospectus and the Company’s most recent Annual Report and Proxy Statement (the “Prospectus Information”) are available for viewing on the Company’s intranet site at [web address]. The Grantee hereby consents to receiving this Prospectus Information electronically, or, in the alternative, agrees to contact [name and phone number] to request a paper copy of the Prospectus Information at no charge. The Grantee represents that he or she is familiar with the terms and provisions of the Prospectus Information and hereby accepts the award of Restricted Shares on the terms and conditions set forth herein and in the Plan. These terms and conditions constitute a legal contract that will bind both you and the Company as soon as you click the </w:t>
      </w:r>
      <w:r>
        <w:rPr>
          <w:rFonts w:ascii="Arial" w:cs="Arial" w:eastAsia="Arial" w:hAnsi="Arial"/>
          <w:sz w:val="14"/>
          <w:szCs w:val="14"/>
          <w:b w:val="1"/>
          <w:bCs w:val="1"/>
          <w:color w:val="auto"/>
        </w:rPr>
        <w:t>[I Accept]</w:t>
      </w:r>
      <w:r>
        <w:rPr>
          <w:rFonts w:ascii="Arial" w:cs="Arial" w:eastAsia="Arial" w:hAnsi="Arial"/>
          <w:sz w:val="14"/>
          <w:szCs w:val="14"/>
          <w:color w:val="auto"/>
        </w:rPr>
        <w:t xml:space="preserve"> button.</w:t>
      </w: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ectPr>
          <w:pgSz w:w="11900" w:h="16838" w:orient="portrait"/>
          <w:cols w:equalWidth="0" w:num="1">
            <w:col w:w="11460"/>
          </w:cols>
          <w:pgMar w:left="220" w:top="269" w:right="219" w:bottom="1440" w:gutter="0" w:footer="0" w:header="0"/>
          <w:type w:val="continuous"/>
        </w:sectPr>
      </w:pPr>
    </w:p>
    <w:bookmarkStart w:id="146" w:name="page147"/>
    <w:bookmarkEnd w:id="146"/>
    <w:p>
      <w:pPr>
        <w:jc w:val="right"/>
        <w:spacing w:after="0"/>
        <w:rPr>
          <w:sz w:val="20"/>
          <w:szCs w:val="20"/>
          <w:color w:val="auto"/>
        </w:rPr>
      </w:pPr>
      <w:r>
        <w:rPr>
          <w:rFonts w:ascii="Arial" w:cs="Arial" w:eastAsia="Arial" w:hAnsi="Arial"/>
          <w:sz w:val="13"/>
          <w:szCs w:val="13"/>
          <w:b w:val="1"/>
          <w:bCs w:val="1"/>
          <w:color w:val="auto"/>
        </w:rPr>
        <w:t>Exhibit 10.21</w:t>
      </w:r>
    </w:p>
    <w:p>
      <w:pPr>
        <w:spacing w:after="0" w:line="17"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UNITI GROUP INC.</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2015 EQUITY INCENTIVE PLAN</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PERFORMANCE-BASED RESTRICTED STOCK UNIT AGREEMENT</w:t>
      </w:r>
    </w:p>
    <w:p>
      <w:pPr>
        <w:spacing w:after="0" w:line="149"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Summary of Restricted Stock Unit Award</w:t>
      </w:r>
    </w:p>
    <w:p>
      <w:pPr>
        <w:spacing w:after="0" w:line="118" w:lineRule="exact"/>
        <w:rPr>
          <w:sz w:val="20"/>
          <w:szCs w:val="20"/>
          <w:color w:val="auto"/>
        </w:rPr>
      </w:pPr>
    </w:p>
    <w:p>
      <w:pPr>
        <w:ind w:right="160" w:firstLine="883"/>
        <w:spacing w:after="0" w:line="257" w:lineRule="auto"/>
        <w:rPr>
          <w:sz w:val="20"/>
          <w:szCs w:val="20"/>
          <w:color w:val="auto"/>
        </w:rPr>
      </w:pPr>
      <w:r>
        <w:rPr>
          <w:rFonts w:ascii="Arial" w:cs="Arial" w:eastAsia="Arial" w:hAnsi="Arial"/>
          <w:sz w:val="14"/>
          <w:szCs w:val="14"/>
          <w:color w:val="auto"/>
        </w:rPr>
        <w:t>As of the Date of Grant set forth below, Uniti Group Inc., a Maryland corporation (the “Company”), grants to the Grantee named below, in accordance with the terms of the Uniti Group Inc. 2015 Equity Incentive Plan (the “Plan”), and this Restricted Stock Unit Agreement (the “Agreement”), the contingent right to receive all, a portion or a multiple of the Target Number of Restricted Stock Units set forth below:</w:t>
      </w:r>
    </w:p>
    <w:p>
      <w:pPr>
        <w:spacing w:after="0" w:line="113" w:lineRule="exact"/>
        <w:rPr>
          <w:sz w:val="20"/>
          <w:szCs w:val="20"/>
          <w:color w:val="auto"/>
        </w:rPr>
      </w:pPr>
    </w:p>
    <w:p>
      <w:pPr>
        <w:jc w:val="center"/>
        <w:ind w:right="8680"/>
        <w:spacing w:after="0"/>
        <w:rPr>
          <w:sz w:val="20"/>
          <w:szCs w:val="20"/>
          <w:color w:val="auto"/>
        </w:rPr>
      </w:pPr>
      <w:r>
        <w:rPr>
          <w:rFonts w:ascii="Arial" w:cs="Arial" w:eastAsia="Arial" w:hAnsi="Arial"/>
          <w:sz w:val="14"/>
          <w:szCs w:val="14"/>
          <w:color w:val="auto"/>
        </w:rPr>
        <w:t>Name of Grantee:</w:t>
      </w:r>
    </w:p>
    <w:p>
      <w:pPr>
        <w:spacing w:after="0" w:line="145" w:lineRule="exact"/>
        <w:rPr>
          <w:sz w:val="20"/>
          <w:szCs w:val="20"/>
          <w:color w:val="auto"/>
        </w:rPr>
      </w:pPr>
    </w:p>
    <w:p>
      <w:pPr>
        <w:ind w:left="180"/>
        <w:spacing w:after="0"/>
        <w:rPr>
          <w:sz w:val="20"/>
          <w:szCs w:val="20"/>
          <w:color w:val="auto"/>
        </w:rPr>
      </w:pPr>
      <w:r>
        <w:rPr>
          <w:rFonts w:ascii="Arial" w:cs="Arial" w:eastAsia="Arial" w:hAnsi="Arial"/>
          <w:sz w:val="14"/>
          <w:szCs w:val="14"/>
          <w:color w:val="auto"/>
        </w:rPr>
        <w:t>Target Number of Restricted Stock Units:</w:t>
      </w:r>
    </w:p>
    <w:p>
      <w:pPr>
        <w:spacing w:after="0" w:line="145" w:lineRule="exact"/>
        <w:rPr>
          <w:sz w:val="20"/>
          <w:szCs w:val="20"/>
          <w:color w:val="auto"/>
        </w:rPr>
      </w:pPr>
    </w:p>
    <w:p>
      <w:pPr>
        <w:ind w:left="60"/>
        <w:spacing w:after="0"/>
        <w:rPr>
          <w:sz w:val="20"/>
          <w:szCs w:val="20"/>
          <w:color w:val="auto"/>
        </w:rPr>
      </w:pPr>
      <w:r>
        <w:rPr>
          <w:rFonts w:ascii="Arial" w:cs="Arial" w:eastAsia="Arial" w:hAnsi="Arial"/>
          <w:sz w:val="14"/>
          <w:szCs w:val="14"/>
          <w:color w:val="auto"/>
        </w:rPr>
        <w:t>Date of Grant:</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Terms of Agreement</w:t>
      </w:r>
    </w:p>
    <w:p>
      <w:pPr>
        <w:spacing w:after="0" w:line="141" w:lineRule="exact"/>
        <w:rPr>
          <w:sz w:val="20"/>
          <w:szCs w:val="20"/>
          <w:color w:val="auto"/>
        </w:rPr>
      </w:pPr>
    </w:p>
    <w:p>
      <w:pPr>
        <w:ind w:right="140" w:firstLine="875"/>
        <w:spacing w:after="0" w:line="254" w:lineRule="auto"/>
        <w:tabs>
          <w:tab w:leader="none" w:pos="1424" w:val="left"/>
        </w:tabs>
        <w:numPr>
          <w:ilvl w:val="0"/>
          <w:numId w:val="47"/>
        </w:numPr>
        <w:rPr>
          <w:rFonts w:ascii="Arial" w:cs="Arial" w:eastAsia="Arial" w:hAnsi="Arial"/>
          <w:sz w:val="14"/>
          <w:szCs w:val="14"/>
          <w:color w:val="auto"/>
        </w:rPr>
      </w:pPr>
      <w:r>
        <w:rPr>
          <w:rFonts w:ascii="Arial" w:cs="Arial" w:eastAsia="Arial" w:hAnsi="Arial"/>
          <w:sz w:val="14"/>
          <w:szCs w:val="14"/>
          <w:b w:val="1"/>
          <w:bCs w:val="1"/>
          <w:color w:val="auto"/>
        </w:rPr>
        <w:t>Grant of Restricted Stock Units</w:t>
      </w:r>
      <w:r>
        <w:rPr>
          <w:rFonts w:ascii="Arial" w:cs="Arial" w:eastAsia="Arial" w:hAnsi="Arial"/>
          <w:sz w:val="14"/>
          <w:szCs w:val="14"/>
          <w:color w:val="auto"/>
        </w:rPr>
        <w:t>. Subject to and upon the terms, conditions, and restrictions set forth in this Agreement and in the Plan, the Company hereby grants to the</w:t>
      </w:r>
      <w:r>
        <w:rPr>
          <w:rFonts w:ascii="Arial" w:cs="Arial" w:eastAsia="Arial" w:hAnsi="Arial"/>
          <w:sz w:val="14"/>
          <w:szCs w:val="14"/>
          <w:b w:val="1"/>
          <w:bCs w:val="1"/>
          <w:color w:val="auto"/>
        </w:rPr>
        <w:t xml:space="preserve"> </w:t>
      </w:r>
      <w:r>
        <w:rPr>
          <w:rFonts w:ascii="Arial" w:cs="Arial" w:eastAsia="Arial" w:hAnsi="Arial"/>
          <w:sz w:val="14"/>
          <w:szCs w:val="14"/>
          <w:color w:val="auto"/>
        </w:rPr>
        <w:t>Grantee as of the Date of Grant this Performance-Based Restricted Stock Unit Award, which represents the contingent right to receive all, a portion, or a multiple of the Target Number of Restricted Stock Units (the “Restricted Stock Units”) set forth herein. Except as otherwise provided herein, each Restricted Stock Unit shall represent the right to receive one Common Share and shall at all times be equal in value to one Common Share.</w:t>
      </w:r>
    </w:p>
    <w:p>
      <w:pPr>
        <w:spacing w:after="0" w:line="93" w:lineRule="exact"/>
        <w:rPr>
          <w:rFonts w:ascii="Arial" w:cs="Arial" w:eastAsia="Arial" w:hAnsi="Arial"/>
          <w:sz w:val="14"/>
          <w:szCs w:val="14"/>
          <w:color w:val="auto"/>
        </w:rPr>
      </w:pPr>
    </w:p>
    <w:p>
      <w:pPr>
        <w:ind w:left="1420" w:hanging="545"/>
        <w:spacing w:after="0"/>
        <w:tabs>
          <w:tab w:leader="none" w:pos="1420" w:val="left"/>
        </w:tabs>
        <w:numPr>
          <w:ilvl w:val="0"/>
          <w:numId w:val="47"/>
        </w:numPr>
        <w:rPr>
          <w:rFonts w:ascii="Arial" w:cs="Arial" w:eastAsia="Arial" w:hAnsi="Arial"/>
          <w:sz w:val="14"/>
          <w:szCs w:val="14"/>
          <w:color w:val="auto"/>
        </w:rPr>
      </w:pPr>
      <w:r>
        <w:rPr>
          <w:rFonts w:ascii="Arial" w:cs="Arial" w:eastAsia="Arial" w:hAnsi="Arial"/>
          <w:sz w:val="14"/>
          <w:szCs w:val="14"/>
          <w:b w:val="1"/>
          <w:bCs w:val="1"/>
          <w:color w:val="auto"/>
        </w:rPr>
        <w:t>Right to Receive Payment</w:t>
      </w:r>
      <w:r>
        <w:rPr>
          <w:rFonts w:ascii="Arial" w:cs="Arial" w:eastAsia="Arial" w:hAnsi="Arial"/>
          <w:sz w:val="14"/>
          <w:szCs w:val="14"/>
          <w:color w:val="auto"/>
        </w:rPr>
        <w:t>.</w:t>
      </w:r>
    </w:p>
    <w:p>
      <w:pPr>
        <w:spacing w:after="0" w:line="122" w:lineRule="exact"/>
        <w:rPr>
          <w:sz w:val="20"/>
          <w:szCs w:val="20"/>
          <w:color w:val="auto"/>
        </w:rPr>
      </w:pPr>
    </w:p>
    <w:p>
      <w:pPr>
        <w:ind w:left="1460" w:hanging="585"/>
        <w:spacing w:after="0"/>
        <w:tabs>
          <w:tab w:leader="none" w:pos="1460" w:val="left"/>
        </w:tabs>
        <w:numPr>
          <w:ilvl w:val="0"/>
          <w:numId w:val="48"/>
        </w:numPr>
        <w:rPr>
          <w:rFonts w:ascii="Arial" w:cs="Arial" w:eastAsia="Arial" w:hAnsi="Arial"/>
          <w:sz w:val="14"/>
          <w:szCs w:val="14"/>
          <w:color w:val="auto"/>
        </w:rPr>
      </w:pPr>
      <w:r>
        <w:rPr>
          <w:rFonts w:ascii="Arial" w:cs="Arial" w:eastAsia="Arial" w:hAnsi="Arial"/>
          <w:sz w:val="14"/>
          <w:szCs w:val="14"/>
          <w:u w:val="single" w:color="auto"/>
          <w:color w:val="auto"/>
        </w:rPr>
        <w:t>In General</w:t>
      </w:r>
      <w:r>
        <w:rPr>
          <w:rFonts w:ascii="Arial" w:cs="Arial" w:eastAsia="Arial" w:hAnsi="Arial"/>
          <w:sz w:val="14"/>
          <w:szCs w:val="14"/>
          <w:color w:val="auto"/>
        </w:rPr>
        <w:t>.</w:t>
      </w:r>
    </w:p>
    <w:p>
      <w:pPr>
        <w:spacing w:after="0" w:line="118" w:lineRule="exact"/>
        <w:rPr>
          <w:sz w:val="20"/>
          <w:szCs w:val="20"/>
          <w:color w:val="auto"/>
        </w:rPr>
      </w:pPr>
    </w:p>
    <w:p>
      <w:pPr>
        <w:ind w:left="1300"/>
        <w:spacing w:after="0"/>
        <w:rPr>
          <w:sz w:val="20"/>
          <w:szCs w:val="20"/>
          <w:color w:val="auto"/>
        </w:rPr>
      </w:pPr>
      <w:r>
        <w:rPr>
          <w:rFonts w:ascii="Arial" w:cs="Arial" w:eastAsia="Arial" w:hAnsi="Arial"/>
          <w:sz w:val="14"/>
          <w:szCs w:val="14"/>
          <w:color w:val="auto"/>
        </w:rPr>
        <w:t>(i)The Grantee shall vest in all or a portion of the Target Number of Restricted Stock Units on _______________, 2018 (the “Vesting Date”), in accordance with the</w:t>
      </w:r>
    </w:p>
    <w:p>
      <w:pPr>
        <w:spacing w:after="0" w:line="13" w:lineRule="exact"/>
        <w:rPr>
          <w:sz w:val="20"/>
          <w:szCs w:val="20"/>
          <w:color w:val="auto"/>
        </w:rPr>
      </w:pPr>
    </w:p>
    <w:p>
      <w:pPr>
        <w:ind w:right="160"/>
        <w:spacing w:after="0" w:line="255" w:lineRule="auto"/>
        <w:rPr>
          <w:sz w:val="20"/>
          <w:szCs w:val="20"/>
          <w:color w:val="auto"/>
        </w:rPr>
      </w:pPr>
      <w:r>
        <w:rPr>
          <w:rFonts w:ascii="Arial" w:cs="Arial" w:eastAsia="Arial" w:hAnsi="Arial"/>
          <w:sz w:val="14"/>
          <w:szCs w:val="14"/>
          <w:color w:val="auto"/>
        </w:rPr>
        <w:t xml:space="preserve">performance matrix attached hereto as </w:t>
      </w:r>
      <w:r>
        <w:rPr>
          <w:rFonts w:ascii="Arial" w:cs="Arial" w:eastAsia="Arial" w:hAnsi="Arial"/>
          <w:sz w:val="14"/>
          <w:szCs w:val="14"/>
          <w:u w:val="single" w:color="auto"/>
          <w:color w:val="auto"/>
        </w:rPr>
        <w:t>Appendix A</w:t>
      </w:r>
      <w:r>
        <w:rPr>
          <w:rFonts w:ascii="Arial" w:cs="Arial" w:eastAsia="Arial" w:hAnsi="Arial"/>
          <w:sz w:val="14"/>
          <w:szCs w:val="14"/>
          <w:color w:val="auto"/>
        </w:rPr>
        <w:t xml:space="preserve"> (the “Performance Matrix”); provided that the Grantee shall have remained in the continuous employ of the Company or any Subsidiary through the Vesting Date.</w:t>
      </w:r>
    </w:p>
    <w:p>
      <w:pPr>
        <w:spacing w:after="0" w:line="96" w:lineRule="exact"/>
        <w:rPr>
          <w:sz w:val="20"/>
          <w:szCs w:val="20"/>
          <w:color w:val="auto"/>
        </w:rPr>
      </w:pPr>
    </w:p>
    <w:p>
      <w:pPr>
        <w:ind w:right="40" w:firstLine="1315"/>
        <w:spacing w:after="0" w:line="249" w:lineRule="auto"/>
        <w:rPr>
          <w:sz w:val="20"/>
          <w:szCs w:val="20"/>
          <w:color w:val="auto"/>
        </w:rPr>
      </w:pPr>
      <w:r>
        <w:rPr>
          <w:rFonts w:ascii="Arial" w:cs="Arial" w:eastAsia="Arial" w:hAnsi="Arial"/>
          <w:sz w:val="14"/>
          <w:szCs w:val="14"/>
          <w:color w:val="auto"/>
        </w:rPr>
        <w:t>(ii)Notwithstanding the provisions of Section 2(a)(i), in the event the Grantee’s employment with the Company and its Subsidiaries is terminated without Cause, the Grantee terminates his employment with the Company or a Subsidiary for Good Reason, the Grantee experiences a Company-approved retirement (as determined in the sole discretion of the Committee), or the Grantee dies or becomes permanently disabled (as determined by the Committee) while in the employ of the Company or any Subsidiary, the Grantee shall remain eligible to vest in his Restricted Stock Units on the Vesting Date subject to the Performance Matrix and actual performance achieved. On the Vesting Date following such termination of employment, the Grantee shall vest in a pro-rated portion of the Restricted Stock Units which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192405</wp:posOffset>
            </wp:positionV>
            <wp:extent cx="7329170" cy="3683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2">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24" w:right="199" w:bottom="1440" w:gutter="0" w:footer="0" w:header="0"/>
        </w:sectPr>
      </w:pPr>
    </w:p>
    <w:bookmarkStart w:id="147" w:name="page148"/>
    <w:bookmarkEnd w:id="147"/>
    <w:p>
      <w:pPr>
        <w:ind w:right="20"/>
        <w:spacing w:after="0" w:line="272" w:lineRule="auto"/>
        <w:rPr>
          <w:sz w:val="20"/>
          <w:szCs w:val="20"/>
          <w:color w:val="auto"/>
        </w:rPr>
      </w:pPr>
      <w:r>
        <w:rPr>
          <w:rFonts w:ascii="Arial" w:cs="Arial" w:eastAsia="Arial" w:hAnsi="Arial"/>
          <w:sz w:val="14"/>
          <w:szCs w:val="14"/>
          <w:color w:val="auto"/>
        </w:rPr>
        <w:t>Grantee would have been entitled had such termination of employment not occurred, based on the number days the Grantee was employed by the Company between the Date of Grant and the Vesting Date.</w:t>
      </w:r>
    </w:p>
    <w:p>
      <w:pPr>
        <w:spacing w:after="0" w:line="76" w:lineRule="exact"/>
        <w:rPr>
          <w:sz w:val="20"/>
          <w:szCs w:val="20"/>
          <w:color w:val="auto"/>
        </w:rPr>
      </w:pPr>
    </w:p>
    <w:p>
      <w:pPr>
        <w:ind w:right="120" w:firstLine="1315"/>
        <w:spacing w:after="0" w:line="286" w:lineRule="auto"/>
        <w:rPr>
          <w:sz w:val="20"/>
          <w:szCs w:val="20"/>
          <w:color w:val="auto"/>
        </w:rPr>
      </w:pPr>
      <w:r>
        <w:rPr>
          <w:rFonts w:ascii="Arial" w:cs="Arial" w:eastAsia="Arial" w:hAnsi="Arial"/>
          <w:sz w:val="13"/>
          <w:szCs w:val="13"/>
          <w:color w:val="auto"/>
        </w:rPr>
        <w:t>(iii)Notwithstanding the provisions of Section 2(a)(i) or 2(a)(ii), the Target Number of Restricted Stock Units covered by this Agreement (and not previously vested under Section 2(a) or forfeited under Section 3) shall immediately become vested if, prior to the applicable Vesting Date, the Grantee’s employment with the Company or any Subsidiary is terminated without Cause or the Grantee terminates his employment with the Company or any Subsidiary for Good Reason, in each case within the one year period immediately following a Change in Control.</w:t>
      </w:r>
    </w:p>
    <w:p>
      <w:pPr>
        <w:spacing w:after="0" w:line="78" w:lineRule="exact"/>
        <w:rPr>
          <w:sz w:val="20"/>
          <w:szCs w:val="20"/>
          <w:color w:val="auto"/>
        </w:rPr>
      </w:pPr>
    </w:p>
    <w:p>
      <w:pPr>
        <w:ind w:right="140" w:firstLine="1315"/>
        <w:spacing w:after="0" w:line="273" w:lineRule="auto"/>
        <w:rPr>
          <w:sz w:val="20"/>
          <w:szCs w:val="20"/>
          <w:color w:val="auto"/>
        </w:rPr>
      </w:pPr>
      <w:r>
        <w:rPr>
          <w:rFonts w:ascii="Arial" w:cs="Arial" w:eastAsia="Arial" w:hAnsi="Arial"/>
          <w:sz w:val="14"/>
          <w:szCs w:val="14"/>
          <w:color w:val="auto"/>
        </w:rPr>
        <w:t>(iv)Notwithstanding anything contained in this Agreement to the contrary, the Committee may, in its sole discretion, at any time declare the Restricted Stock Units vested and nonforfeitable on such terms and conditions as it deems appropriate.</w:t>
      </w:r>
    </w:p>
    <w:p>
      <w:pPr>
        <w:spacing w:after="0" w:line="75" w:lineRule="exact"/>
        <w:rPr>
          <w:sz w:val="20"/>
          <w:szCs w:val="20"/>
          <w:color w:val="auto"/>
        </w:rPr>
      </w:pPr>
    </w:p>
    <w:p>
      <w:pPr>
        <w:ind w:right="20" w:firstLine="875"/>
        <w:spacing w:after="0" w:line="257" w:lineRule="auto"/>
        <w:tabs>
          <w:tab w:leader="none" w:pos="1475" w:val="left"/>
        </w:tabs>
        <w:numPr>
          <w:ilvl w:val="0"/>
          <w:numId w:val="49"/>
        </w:numPr>
        <w:rPr>
          <w:rFonts w:ascii="Arial" w:cs="Arial" w:eastAsia="Arial" w:hAnsi="Arial"/>
          <w:sz w:val="14"/>
          <w:szCs w:val="14"/>
          <w:color w:val="auto"/>
        </w:rPr>
      </w:pPr>
      <w:r>
        <w:rPr>
          <w:rFonts w:ascii="Arial" w:cs="Arial" w:eastAsia="Arial" w:hAnsi="Arial"/>
          <w:sz w:val="14"/>
          <w:szCs w:val="14"/>
          <w:u w:val="single" w:color="auto"/>
          <w:color w:val="auto"/>
        </w:rPr>
        <w:t>Adjustment of Performance Goals</w:t>
      </w:r>
      <w:r>
        <w:rPr>
          <w:rFonts w:ascii="Arial" w:cs="Arial" w:eastAsia="Arial" w:hAnsi="Arial"/>
          <w:sz w:val="14"/>
          <w:szCs w:val="14"/>
          <w:color w:val="auto"/>
        </w:rPr>
        <w:t>. If the Committee determines that a change in the business, operations, corporate structure or capital structure of the Company or any Subsidiary, the manner in which it conducts business or other events or circumstances render any of the Performance Goals to be unsuitable, the Committee may modify such Performance Goal or the level of achievement, in whole or in part, as the Committee deems appropriate.</w:t>
      </w:r>
    </w:p>
    <w:p>
      <w:pPr>
        <w:spacing w:after="0" w:line="82" w:lineRule="exact"/>
        <w:rPr>
          <w:sz w:val="20"/>
          <w:szCs w:val="20"/>
          <w:color w:val="auto"/>
        </w:rPr>
      </w:pPr>
    </w:p>
    <w:p>
      <w:pPr>
        <w:ind w:firstLine="875"/>
        <w:spacing w:after="0" w:line="254" w:lineRule="auto"/>
        <w:tabs>
          <w:tab w:leader="none" w:pos="1424" w:val="left"/>
        </w:tabs>
        <w:numPr>
          <w:ilvl w:val="0"/>
          <w:numId w:val="50"/>
        </w:numPr>
        <w:rPr>
          <w:rFonts w:ascii="Arial" w:cs="Arial" w:eastAsia="Arial" w:hAnsi="Arial"/>
          <w:sz w:val="14"/>
          <w:szCs w:val="14"/>
          <w:color w:val="auto"/>
        </w:rPr>
      </w:pPr>
      <w:r>
        <w:rPr>
          <w:rFonts w:ascii="Arial" w:cs="Arial" w:eastAsia="Arial" w:hAnsi="Arial"/>
          <w:sz w:val="14"/>
          <w:szCs w:val="14"/>
          <w:b w:val="1"/>
          <w:bCs w:val="1"/>
          <w:color w:val="auto"/>
        </w:rPr>
        <w:t>Forfeiture</w:t>
      </w:r>
      <w:r>
        <w:rPr>
          <w:rFonts w:ascii="Arial" w:cs="Arial" w:eastAsia="Arial" w:hAnsi="Arial"/>
          <w:sz w:val="14"/>
          <w:szCs w:val="14"/>
          <w:color w:val="auto"/>
        </w:rPr>
        <w:t>. The Restricted Stock Units that have not yet vested pursuant to Section 2(a) (and any right to unpaid Dividend Equivalents under Section 7 with respect to the</w:t>
      </w:r>
      <w:r>
        <w:rPr>
          <w:rFonts w:ascii="Arial" w:cs="Arial" w:eastAsia="Arial" w:hAnsi="Arial"/>
          <w:sz w:val="14"/>
          <w:szCs w:val="14"/>
          <w:b w:val="1"/>
          <w:bCs w:val="1"/>
          <w:color w:val="auto"/>
        </w:rPr>
        <w:t xml:space="preserve"> </w:t>
      </w:r>
      <w:r>
        <w:rPr>
          <w:rFonts w:ascii="Arial" w:cs="Arial" w:eastAsia="Arial" w:hAnsi="Arial"/>
          <w:sz w:val="14"/>
          <w:szCs w:val="14"/>
          <w:color w:val="auto"/>
        </w:rPr>
        <w:t>Restricted Stock Units) shall be forfeited automatically without further action or notice (i) except as otherwise provided pursuant to Section 2(a)(ii), to the extent that the Performance Goal for a fiscal year has not been achieved, but only with respect to the percentage of the Target Number of Restricted Stock Units allocated to such fiscal year; or (ii) in the event the Grantee ceases to be employed by the Company or any Subsidiary other than as provided in Section 2(a)(ii).</w:t>
      </w:r>
    </w:p>
    <w:p>
      <w:pPr>
        <w:spacing w:after="0" w:line="93" w:lineRule="exact"/>
        <w:rPr>
          <w:rFonts w:ascii="Arial" w:cs="Arial" w:eastAsia="Arial" w:hAnsi="Arial"/>
          <w:sz w:val="14"/>
          <w:szCs w:val="14"/>
          <w:color w:val="auto"/>
        </w:rPr>
      </w:pPr>
    </w:p>
    <w:p>
      <w:pPr>
        <w:ind w:left="1420" w:hanging="545"/>
        <w:spacing w:after="0"/>
        <w:tabs>
          <w:tab w:leader="none" w:pos="1420" w:val="left"/>
        </w:tabs>
        <w:numPr>
          <w:ilvl w:val="0"/>
          <w:numId w:val="50"/>
        </w:numPr>
        <w:rPr>
          <w:rFonts w:ascii="Arial" w:cs="Arial" w:eastAsia="Arial" w:hAnsi="Arial"/>
          <w:sz w:val="14"/>
          <w:szCs w:val="14"/>
          <w:color w:val="auto"/>
        </w:rPr>
      </w:pPr>
      <w:r>
        <w:rPr>
          <w:rFonts w:ascii="Arial" w:cs="Arial" w:eastAsia="Arial" w:hAnsi="Arial"/>
          <w:sz w:val="14"/>
          <w:szCs w:val="14"/>
          <w:b w:val="1"/>
          <w:bCs w:val="1"/>
          <w:color w:val="auto"/>
        </w:rPr>
        <w:t>Payment of Restricted Stock Units</w:t>
      </w:r>
      <w:r>
        <w:rPr>
          <w:rFonts w:ascii="Arial" w:cs="Arial" w:eastAsia="Arial" w:hAnsi="Arial"/>
          <w:sz w:val="14"/>
          <w:szCs w:val="14"/>
          <w:color w:val="auto"/>
        </w:rPr>
        <w:t>.</w:t>
      </w:r>
    </w:p>
    <w:p>
      <w:pPr>
        <w:spacing w:after="0" w:line="122" w:lineRule="exact"/>
        <w:rPr>
          <w:sz w:val="20"/>
          <w:szCs w:val="20"/>
          <w:color w:val="auto"/>
        </w:rPr>
      </w:pPr>
    </w:p>
    <w:p>
      <w:pPr>
        <w:ind w:right="460" w:firstLine="875"/>
        <w:spacing w:after="0" w:line="273" w:lineRule="auto"/>
        <w:tabs>
          <w:tab w:leader="none" w:pos="1475" w:val="left"/>
        </w:tabs>
        <w:numPr>
          <w:ilvl w:val="0"/>
          <w:numId w:val="51"/>
        </w:numPr>
        <w:rPr>
          <w:rFonts w:ascii="Arial" w:cs="Arial" w:eastAsia="Arial" w:hAnsi="Arial"/>
          <w:sz w:val="14"/>
          <w:szCs w:val="14"/>
          <w:color w:val="auto"/>
        </w:rPr>
      </w:pPr>
      <w:r>
        <w:rPr>
          <w:rFonts w:ascii="Arial" w:cs="Arial" w:eastAsia="Arial" w:hAnsi="Arial"/>
          <w:sz w:val="14"/>
          <w:szCs w:val="14"/>
          <w:u w:val="single" w:color="auto"/>
          <w:color w:val="auto"/>
        </w:rPr>
        <w:t>In General</w:t>
      </w:r>
      <w:r>
        <w:rPr>
          <w:rFonts w:ascii="Arial" w:cs="Arial" w:eastAsia="Arial" w:hAnsi="Arial"/>
          <w:sz w:val="14"/>
          <w:szCs w:val="14"/>
          <w:color w:val="auto"/>
        </w:rPr>
        <w:t>. Except as may be otherwise provided in this Section 4, the Company shall deliver to the Grantee (or the Grantee’s estate in the event of death) the Shares underlying the vested Restricted Stock Units within sixty (60) days after the date that they become vested in accordance with Section 2.</w:t>
      </w:r>
    </w:p>
    <w:p>
      <w:pPr>
        <w:spacing w:after="0" w:line="75" w:lineRule="exact"/>
        <w:rPr>
          <w:rFonts w:ascii="Arial" w:cs="Arial" w:eastAsia="Arial" w:hAnsi="Arial"/>
          <w:sz w:val="14"/>
          <w:szCs w:val="14"/>
          <w:color w:val="auto"/>
        </w:rPr>
      </w:pPr>
    </w:p>
    <w:p>
      <w:pPr>
        <w:ind w:right="80" w:firstLine="875"/>
        <w:spacing w:after="0" w:line="257" w:lineRule="auto"/>
        <w:tabs>
          <w:tab w:leader="none" w:pos="1484" w:val="left"/>
        </w:tabs>
        <w:numPr>
          <w:ilvl w:val="0"/>
          <w:numId w:val="51"/>
        </w:numPr>
        <w:rPr>
          <w:rFonts w:ascii="Arial" w:cs="Arial" w:eastAsia="Arial" w:hAnsi="Arial"/>
          <w:sz w:val="14"/>
          <w:szCs w:val="14"/>
          <w:color w:val="auto"/>
        </w:rPr>
      </w:pPr>
      <w:r>
        <w:rPr>
          <w:rFonts w:ascii="Arial" w:cs="Arial" w:eastAsia="Arial" w:hAnsi="Arial"/>
          <w:sz w:val="14"/>
          <w:szCs w:val="14"/>
          <w:u w:val="single" w:color="auto"/>
          <w:color w:val="auto"/>
        </w:rPr>
        <w:t>Special Payment Terms</w:t>
      </w:r>
      <w:r>
        <w:rPr>
          <w:rFonts w:ascii="Arial" w:cs="Arial" w:eastAsia="Arial" w:hAnsi="Arial"/>
          <w:sz w:val="14"/>
          <w:szCs w:val="14"/>
          <w:color w:val="auto"/>
        </w:rPr>
        <w:t>. To the extent that the Grantee’s right to receive payment of the Restricted Stock Units constitutes a “deferral of compensation” within the meaning of Section 409A of the Code, then notwithstanding Section 4(a), the Shares underlying the Restricted Stock Units that become vested pursuant to Section 2(a)(ii), if any, shall be subject to the following rules:</w:t>
      </w:r>
    </w:p>
    <w:p>
      <w:pPr>
        <w:spacing w:after="0" w:line="95" w:lineRule="exact"/>
        <w:rPr>
          <w:rFonts w:ascii="Arial" w:cs="Arial" w:eastAsia="Arial" w:hAnsi="Arial"/>
          <w:sz w:val="14"/>
          <w:szCs w:val="14"/>
          <w:color w:val="auto"/>
        </w:rPr>
      </w:pPr>
    </w:p>
    <w:p>
      <w:pPr>
        <w:ind w:right="60" w:firstLine="1307"/>
        <w:spacing w:after="0" w:line="257" w:lineRule="auto"/>
        <w:tabs>
          <w:tab w:leader="none" w:pos="1884" w:val="left"/>
        </w:tabs>
        <w:numPr>
          <w:ilvl w:val="1"/>
          <w:numId w:val="51"/>
        </w:numPr>
        <w:rPr>
          <w:rFonts w:ascii="Arial" w:cs="Arial" w:eastAsia="Arial" w:hAnsi="Arial"/>
          <w:sz w:val="14"/>
          <w:szCs w:val="14"/>
          <w:color w:val="auto"/>
        </w:rPr>
      </w:pPr>
      <w:r>
        <w:rPr>
          <w:rFonts w:ascii="Arial" w:cs="Arial" w:eastAsia="Arial" w:hAnsi="Arial"/>
          <w:sz w:val="14"/>
          <w:szCs w:val="14"/>
          <w:color w:val="auto"/>
        </w:rPr>
        <w:t>Except as provided in Section 4(b)(ii), the Shares underlying the Restricted Stock Units that become vested pursuant to Section 2(a)(ii) shall be delivered to the Grantee (or the Grantee’s estate in the event of death) within sixty (60) days after the earlier of (x) the Grantee’s “separation from service” within the meaning of Section 409A of the Code; or (y) the Vesting Date next following the date that the Restricted Stock Units become vested pursuant to Section 2(a)(ii).</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117475</wp:posOffset>
            </wp:positionV>
            <wp:extent cx="7329170" cy="3683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3">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25" w:right="199" w:bottom="1440" w:gutter="0" w:footer="0" w:header="0"/>
        </w:sectPr>
      </w:pPr>
    </w:p>
    <w:bookmarkStart w:id="148" w:name="page149"/>
    <w:bookmarkEnd w:id="148"/>
    <w:p>
      <w:pPr>
        <w:ind w:firstLine="1307"/>
        <w:spacing w:after="0" w:line="267" w:lineRule="auto"/>
        <w:tabs>
          <w:tab w:leader="none" w:pos="1924" w:val="left"/>
        </w:tabs>
        <w:numPr>
          <w:ilvl w:val="1"/>
          <w:numId w:val="52"/>
        </w:numPr>
        <w:rPr>
          <w:rFonts w:ascii="Arial" w:cs="Arial" w:eastAsia="Arial" w:hAnsi="Arial"/>
          <w:sz w:val="13"/>
          <w:szCs w:val="13"/>
          <w:color w:val="auto"/>
        </w:rPr>
      </w:pPr>
      <w:r>
        <w:rPr>
          <w:rFonts w:ascii="Arial" w:cs="Arial" w:eastAsia="Arial" w:hAnsi="Arial"/>
          <w:sz w:val="13"/>
          <w:szCs w:val="13"/>
          <w:color w:val="auto"/>
        </w:rPr>
        <w:t>If the Restricted Stock Units would otherwise become payable as a result of Section 4(b)(i)(x) but the Grantee is a “specified employee” at that time within the meaning of Section 409A of the Code (as determined pursuant to Company’s policy for identifying specified employees), then to the extent required to comply with Section 409A of the Code, payment of the Restricted Stock Units shall not be made as described Section 4(b)(i) and (x) in the case of a separation from service pursuant to Section 2(a)(ii)(A) the Shares shall instead be delivered to the Grantee within sixty (60) days after the first business day that is more than six months after the date of his or her separation from service or, if the Grantee dies during such six-month period, within ninety (90) days after the Grantee’s death (such date the “409A Settlement Date”) and (y) in the case of a separation from service pursuant to Section 2(a)(ii)(B) payment of the Restricted Stock Units shall be made on the 409A Settlement Date in cash (in lieu of payment in Shares) with a value equal to the number of Shares that otherwise would have been paid multiplied by the Market Value per Share as of the date of such separation from service, together with interest from the date of such separation from service until the 409A Settlement Date at the applicable Federal short-term rate, compounded semi-annually, in effect under 1274(d) of the Code as of the date of such separation from service.</w:t>
      </w:r>
    </w:p>
    <w:p>
      <w:pPr>
        <w:spacing w:after="0" w:line="83" w:lineRule="exact"/>
        <w:rPr>
          <w:rFonts w:ascii="Arial" w:cs="Arial" w:eastAsia="Arial" w:hAnsi="Arial"/>
          <w:sz w:val="13"/>
          <w:szCs w:val="13"/>
          <w:color w:val="auto"/>
        </w:rPr>
      </w:pPr>
    </w:p>
    <w:p>
      <w:pPr>
        <w:ind w:right="220" w:firstLine="875"/>
        <w:spacing w:after="0" w:line="273" w:lineRule="auto"/>
        <w:tabs>
          <w:tab w:leader="none" w:pos="1475" w:val="left"/>
        </w:tabs>
        <w:numPr>
          <w:ilvl w:val="0"/>
          <w:numId w:val="53"/>
        </w:numPr>
        <w:rPr>
          <w:rFonts w:ascii="Arial" w:cs="Arial" w:eastAsia="Arial" w:hAnsi="Arial"/>
          <w:sz w:val="14"/>
          <w:szCs w:val="14"/>
          <w:color w:val="auto"/>
        </w:rPr>
      </w:pPr>
      <w:r>
        <w:rPr>
          <w:rFonts w:ascii="Arial" w:cs="Arial" w:eastAsia="Arial" w:hAnsi="Arial"/>
          <w:sz w:val="14"/>
          <w:szCs w:val="14"/>
          <w:u w:val="single" w:color="auto"/>
          <w:color w:val="auto"/>
        </w:rPr>
        <w:t>Satisfaction of the Company’s Obligations</w:t>
      </w:r>
      <w:r>
        <w:rPr>
          <w:rFonts w:ascii="Arial" w:cs="Arial" w:eastAsia="Arial" w:hAnsi="Arial"/>
          <w:sz w:val="14"/>
          <w:szCs w:val="14"/>
          <w:color w:val="auto"/>
        </w:rPr>
        <w:t>. The Company’s obligations with respect to the Restricted Stock Units shall be satisfied in full upon the delivery of the Shares underlying the Vested Restricted Stock Units or the cash payment described in Section 4(b)(ii)(y).</w:t>
      </w:r>
    </w:p>
    <w:p>
      <w:pPr>
        <w:spacing w:after="0" w:line="80" w:lineRule="exact"/>
        <w:rPr>
          <w:sz w:val="20"/>
          <w:szCs w:val="20"/>
          <w:color w:val="auto"/>
        </w:rPr>
      </w:pPr>
    </w:p>
    <w:p>
      <w:pPr>
        <w:ind w:right="140" w:firstLine="875"/>
        <w:spacing w:after="0" w:line="260" w:lineRule="auto"/>
        <w:tabs>
          <w:tab w:leader="none" w:pos="1424" w:val="left"/>
        </w:tabs>
        <w:numPr>
          <w:ilvl w:val="0"/>
          <w:numId w:val="54"/>
        </w:numPr>
        <w:rPr>
          <w:rFonts w:ascii="Arial" w:cs="Arial" w:eastAsia="Arial" w:hAnsi="Arial"/>
          <w:sz w:val="14"/>
          <w:szCs w:val="14"/>
          <w:color w:val="auto"/>
        </w:rPr>
      </w:pPr>
      <w:r>
        <w:rPr>
          <w:rFonts w:ascii="Arial" w:cs="Arial" w:eastAsia="Arial" w:hAnsi="Arial"/>
          <w:sz w:val="14"/>
          <w:szCs w:val="14"/>
          <w:b w:val="1"/>
          <w:bCs w:val="1"/>
          <w:color w:val="auto"/>
        </w:rPr>
        <w:t>Transferability</w:t>
      </w:r>
      <w:r>
        <w:rPr>
          <w:rFonts w:ascii="Arial" w:cs="Arial" w:eastAsia="Arial" w:hAnsi="Arial"/>
          <w:sz w:val="14"/>
          <w:szCs w:val="14"/>
          <w:color w:val="auto"/>
        </w:rPr>
        <w:t>. The Restricted Stock Units or the right to the cash payment described in Section 4(b)(ii)(y) may not be sold, exchanged, assigned, transferred, pledged,</w:t>
      </w:r>
      <w:r>
        <w:rPr>
          <w:rFonts w:ascii="Arial" w:cs="Arial" w:eastAsia="Arial" w:hAnsi="Arial"/>
          <w:sz w:val="14"/>
          <w:szCs w:val="14"/>
          <w:b w:val="1"/>
          <w:bCs w:val="1"/>
          <w:color w:val="auto"/>
        </w:rPr>
        <w:t xml:space="preserve"> </w:t>
      </w:r>
      <w:r>
        <w:rPr>
          <w:rFonts w:ascii="Arial" w:cs="Arial" w:eastAsia="Arial" w:hAnsi="Arial"/>
          <w:sz w:val="14"/>
          <w:szCs w:val="14"/>
          <w:color w:val="auto"/>
        </w:rPr>
        <w:t>encumbered or otherwise disposed of by the Grantee, unless otherwise provided under the Plan. Any purported transfer or encumbrance in violation of the provisions of this Section 5 shall be void, and the other party to any such purported transaction shall not obtain any rights to or interest in such Restricted Stock Units or cash payment right.</w:t>
      </w:r>
    </w:p>
    <w:p>
      <w:pPr>
        <w:spacing w:after="0" w:line="80" w:lineRule="exact"/>
        <w:rPr>
          <w:rFonts w:ascii="Arial" w:cs="Arial" w:eastAsia="Arial" w:hAnsi="Arial"/>
          <w:sz w:val="14"/>
          <w:szCs w:val="14"/>
          <w:color w:val="auto"/>
        </w:rPr>
      </w:pPr>
    </w:p>
    <w:p>
      <w:pPr>
        <w:ind w:right="80" w:firstLine="875"/>
        <w:spacing w:after="0" w:line="251" w:lineRule="auto"/>
        <w:tabs>
          <w:tab w:leader="none" w:pos="1424" w:val="left"/>
        </w:tabs>
        <w:numPr>
          <w:ilvl w:val="0"/>
          <w:numId w:val="54"/>
        </w:numPr>
        <w:rPr>
          <w:rFonts w:ascii="Arial" w:cs="Arial" w:eastAsia="Arial" w:hAnsi="Arial"/>
          <w:sz w:val="14"/>
          <w:szCs w:val="14"/>
          <w:color w:val="auto"/>
        </w:rPr>
      </w:pPr>
      <w:r>
        <w:rPr>
          <w:rFonts w:ascii="Arial" w:cs="Arial" w:eastAsia="Arial" w:hAnsi="Arial"/>
          <w:sz w:val="14"/>
          <w:szCs w:val="14"/>
          <w:b w:val="1"/>
          <w:bCs w:val="1"/>
          <w:color w:val="auto"/>
        </w:rPr>
        <w:t>No Dividend, Voting or Other Rights</w:t>
      </w:r>
      <w:r>
        <w:rPr>
          <w:rFonts w:ascii="Arial" w:cs="Arial" w:eastAsia="Arial" w:hAnsi="Arial"/>
          <w:sz w:val="14"/>
          <w:szCs w:val="14"/>
          <w:color w:val="auto"/>
        </w:rPr>
        <w:t>. The Grantee shall not possess any incidents of ownership (including, without limitation, dividend and voting rights) in the Common</w:t>
      </w:r>
      <w:r>
        <w:rPr>
          <w:rFonts w:ascii="Arial" w:cs="Arial" w:eastAsia="Arial" w:hAnsi="Arial"/>
          <w:sz w:val="14"/>
          <w:szCs w:val="14"/>
          <w:b w:val="1"/>
          <w:bCs w:val="1"/>
          <w:color w:val="auto"/>
        </w:rPr>
        <w:t xml:space="preserve"> </w:t>
      </w:r>
      <w:r>
        <w:rPr>
          <w:rFonts w:ascii="Arial" w:cs="Arial" w:eastAsia="Arial" w:hAnsi="Arial"/>
          <w:sz w:val="14"/>
          <w:szCs w:val="14"/>
          <w:color w:val="auto"/>
        </w:rPr>
        <w:t>Shares underlying the Restricted Stock Units credited to his or her account until such Common Shares have been delivered to the Grantee in accordance with Section 4. The obligations of the Company under this Agreement will be merely that of an unfunded and unsecured promise of the Company to deliver Common Shares or cash as the case may be (and pay Dividend Equivalents as defined in Section 7) in the future, and the rights of the Grantee will be no greater than that of an unsecured general creditor. No assets of the Company or any Subsidiary will be held or set aside as security for the obligations of the Company under this Agreement.</w:t>
      </w:r>
    </w:p>
    <w:p>
      <w:pPr>
        <w:spacing w:after="0" w:line="85" w:lineRule="exact"/>
        <w:rPr>
          <w:rFonts w:ascii="Arial" w:cs="Arial" w:eastAsia="Arial" w:hAnsi="Arial"/>
          <w:sz w:val="14"/>
          <w:szCs w:val="14"/>
          <w:color w:val="auto"/>
        </w:rPr>
      </w:pPr>
    </w:p>
    <w:p>
      <w:pPr>
        <w:ind w:right="40" w:firstLine="875"/>
        <w:spacing w:after="0" w:line="251" w:lineRule="auto"/>
        <w:tabs>
          <w:tab w:leader="none" w:pos="1424" w:val="left"/>
        </w:tabs>
        <w:numPr>
          <w:ilvl w:val="0"/>
          <w:numId w:val="54"/>
        </w:numPr>
        <w:rPr>
          <w:rFonts w:ascii="Arial" w:cs="Arial" w:eastAsia="Arial" w:hAnsi="Arial"/>
          <w:sz w:val="14"/>
          <w:szCs w:val="14"/>
          <w:color w:val="auto"/>
        </w:rPr>
      </w:pPr>
      <w:r>
        <w:rPr>
          <w:rFonts w:ascii="Arial" w:cs="Arial" w:eastAsia="Arial" w:hAnsi="Arial"/>
          <w:sz w:val="14"/>
          <w:szCs w:val="14"/>
          <w:b w:val="1"/>
          <w:bCs w:val="1"/>
          <w:color w:val="auto"/>
        </w:rPr>
        <w:t>Dividend Equivalents</w:t>
      </w:r>
      <w:r>
        <w:rPr>
          <w:rFonts w:ascii="Arial" w:cs="Arial" w:eastAsia="Arial" w:hAnsi="Arial"/>
          <w:sz w:val="14"/>
          <w:szCs w:val="14"/>
          <w:color w:val="auto"/>
        </w:rPr>
        <w:t>. Upon payment of a vested Restricted Stock Unit, the Grantee shall be entitled to a cash payment equal to the aggregate cash dividends declared and</w:t>
      </w:r>
      <w:r>
        <w:rPr>
          <w:rFonts w:ascii="Arial" w:cs="Arial" w:eastAsia="Arial" w:hAnsi="Arial"/>
          <w:sz w:val="14"/>
          <w:szCs w:val="14"/>
          <w:b w:val="1"/>
          <w:bCs w:val="1"/>
          <w:color w:val="auto"/>
        </w:rPr>
        <w:t xml:space="preserve"> </w:t>
      </w:r>
      <w:r>
        <w:rPr>
          <w:rFonts w:ascii="Arial" w:cs="Arial" w:eastAsia="Arial" w:hAnsi="Arial"/>
          <w:sz w:val="14"/>
          <w:szCs w:val="14"/>
          <w:color w:val="auto"/>
        </w:rPr>
        <w:t>paid or payable with respect to one (1) Common Share for each record date that occurs during the period beginning on the Date of Grant and ending on the date the vested Restricted Stock Unit is paid or, in the case of a separation from service pursuant to Section 2(a)(ii)(B), the date of the separation from service (the “Dividend Equivalent”). The Dividend Equivalents shall be forfeited to the extent that the underlying Restricted Stock Unit is forfeited and shall be paid to the Grantee, if at all, at the same time that the related vested Restricted Stock Unit is paid to the Grantee in accordance with Section 4.</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117475</wp:posOffset>
            </wp:positionV>
            <wp:extent cx="7329170" cy="3683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4">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26" w:right="199" w:bottom="1440" w:gutter="0" w:footer="0" w:header="0"/>
        </w:sectPr>
      </w:pPr>
    </w:p>
    <w:bookmarkStart w:id="149" w:name="page150"/>
    <w:bookmarkEnd w:id="149"/>
    <w:p>
      <w:pPr>
        <w:ind w:right="180" w:firstLine="875"/>
        <w:spacing w:after="0" w:line="260" w:lineRule="auto"/>
        <w:tabs>
          <w:tab w:leader="none" w:pos="1424" w:val="left"/>
        </w:tabs>
        <w:numPr>
          <w:ilvl w:val="0"/>
          <w:numId w:val="55"/>
        </w:numPr>
        <w:rPr>
          <w:rFonts w:ascii="Arial" w:cs="Arial" w:eastAsia="Arial" w:hAnsi="Arial"/>
          <w:sz w:val="14"/>
          <w:szCs w:val="14"/>
          <w:color w:val="auto"/>
        </w:rPr>
      </w:pPr>
      <w:r>
        <w:rPr>
          <w:rFonts w:ascii="Arial" w:cs="Arial" w:eastAsia="Arial" w:hAnsi="Arial"/>
          <w:sz w:val="14"/>
          <w:szCs w:val="14"/>
          <w:b w:val="1"/>
          <w:bCs w:val="1"/>
          <w:color w:val="auto"/>
        </w:rPr>
        <w:t>Continuous Employment</w:t>
      </w:r>
      <w:r>
        <w:rPr>
          <w:rFonts w:ascii="Arial" w:cs="Arial" w:eastAsia="Arial" w:hAnsi="Arial"/>
          <w:sz w:val="14"/>
          <w:szCs w:val="14"/>
          <w:color w:val="auto"/>
        </w:rPr>
        <w:t>. For purposes of this Agreement, the continuous employment of the Grantee with the Company or any Subsidiary shall not be deemed to have</w:t>
      </w:r>
      <w:r>
        <w:rPr>
          <w:rFonts w:ascii="Arial" w:cs="Arial" w:eastAsia="Arial" w:hAnsi="Arial"/>
          <w:sz w:val="14"/>
          <w:szCs w:val="14"/>
          <w:b w:val="1"/>
          <w:bCs w:val="1"/>
          <w:color w:val="auto"/>
        </w:rPr>
        <w:t xml:space="preserve"> </w:t>
      </w:r>
      <w:r>
        <w:rPr>
          <w:rFonts w:ascii="Arial" w:cs="Arial" w:eastAsia="Arial" w:hAnsi="Arial"/>
          <w:sz w:val="14"/>
          <w:szCs w:val="14"/>
          <w:color w:val="auto"/>
        </w:rPr>
        <w:t>been interrupted, and the Grantee shall not be deemed to have ceased to be an employee of the Company or any Subsidiary, by reason of the transfer of his or her employment among the Company and any Subsidiary, or a leave of absence approved by the Committee.</w:t>
      </w:r>
    </w:p>
    <w:p>
      <w:pPr>
        <w:spacing w:after="0" w:line="79" w:lineRule="exact"/>
        <w:rPr>
          <w:rFonts w:ascii="Arial" w:cs="Arial" w:eastAsia="Arial" w:hAnsi="Arial"/>
          <w:sz w:val="14"/>
          <w:szCs w:val="14"/>
          <w:color w:val="auto"/>
        </w:rPr>
      </w:pPr>
    </w:p>
    <w:p>
      <w:pPr>
        <w:ind w:firstLine="875"/>
        <w:spacing w:after="0" w:line="272" w:lineRule="auto"/>
        <w:tabs>
          <w:tab w:leader="none" w:pos="1424" w:val="left"/>
        </w:tabs>
        <w:numPr>
          <w:ilvl w:val="0"/>
          <w:numId w:val="55"/>
        </w:numPr>
        <w:rPr>
          <w:rFonts w:ascii="Arial" w:cs="Arial" w:eastAsia="Arial" w:hAnsi="Arial"/>
          <w:sz w:val="13"/>
          <w:szCs w:val="13"/>
          <w:color w:val="auto"/>
        </w:rPr>
      </w:pPr>
      <w:r>
        <w:rPr>
          <w:rFonts w:ascii="Arial" w:cs="Arial" w:eastAsia="Arial" w:hAnsi="Arial"/>
          <w:sz w:val="13"/>
          <w:szCs w:val="13"/>
          <w:b w:val="1"/>
          <w:bCs w:val="1"/>
          <w:color w:val="auto"/>
        </w:rPr>
        <w:t>No Employment Contract; Disclaimer</w:t>
      </w:r>
      <w:r>
        <w:rPr>
          <w:rFonts w:ascii="Arial" w:cs="Arial" w:eastAsia="Arial" w:hAnsi="Arial"/>
          <w:sz w:val="13"/>
          <w:szCs w:val="13"/>
          <w:color w:val="auto"/>
        </w:rPr>
        <w:t>. Nothing contained in this Agreement shall confer upon the Grantee any right with respect to continuance of employment by the</w:t>
      </w:r>
      <w:r>
        <w:rPr>
          <w:rFonts w:ascii="Arial" w:cs="Arial" w:eastAsia="Arial" w:hAnsi="Arial"/>
          <w:sz w:val="13"/>
          <w:szCs w:val="13"/>
          <w:b w:val="1"/>
          <w:bCs w:val="1"/>
          <w:color w:val="auto"/>
        </w:rPr>
        <w:t xml:space="preserve"> </w:t>
      </w:r>
      <w:r>
        <w:rPr>
          <w:rFonts w:ascii="Arial" w:cs="Arial" w:eastAsia="Arial" w:hAnsi="Arial"/>
          <w:sz w:val="13"/>
          <w:szCs w:val="13"/>
          <w:color w:val="auto"/>
        </w:rPr>
        <w:t>Company or any Subsidiary, nor limit or affect in any manner the right of the Company and any Subsidiary to terminate the employment or adjust the compensation of the Grantee, in each case with or without Cause. By acceptance of this Agreement, the Grantee acknowledges and agrees that neither this Agreement nor any other agreement awarded prior to the date hereof under any equity compensation plan of the Company or its Subsidiaries has created or shall create, or be deemed or construed to create or have created, (i) a contractual, equitable, or other right to receive future grants of equity awards, or other benefits in lieu of equity awards, or (ii) a fiduciary duty or other comparable duty of trust or confidence owed to the Grantee (or any successor, assign, affiliate or family member of the Grantee) by the Company and its affiliates and its respective officers, directors, employees, agents or contractors.</w:t>
      </w:r>
    </w:p>
    <w:p>
      <w:pPr>
        <w:spacing w:after="0" w:line="82" w:lineRule="exact"/>
        <w:rPr>
          <w:rFonts w:ascii="Arial" w:cs="Arial" w:eastAsia="Arial" w:hAnsi="Arial"/>
          <w:sz w:val="13"/>
          <w:szCs w:val="13"/>
          <w:color w:val="auto"/>
        </w:rPr>
      </w:pPr>
    </w:p>
    <w:p>
      <w:pPr>
        <w:ind w:right="20" w:firstLine="875"/>
        <w:spacing w:after="0" w:line="260" w:lineRule="auto"/>
        <w:tabs>
          <w:tab w:leader="none" w:pos="1496" w:val="left"/>
        </w:tabs>
        <w:numPr>
          <w:ilvl w:val="0"/>
          <w:numId w:val="55"/>
        </w:numPr>
        <w:rPr>
          <w:rFonts w:ascii="Arial" w:cs="Arial" w:eastAsia="Arial" w:hAnsi="Arial"/>
          <w:sz w:val="14"/>
          <w:szCs w:val="14"/>
          <w:color w:val="auto"/>
        </w:rPr>
      </w:pPr>
      <w:r>
        <w:rPr>
          <w:rFonts w:ascii="Arial" w:cs="Arial" w:eastAsia="Arial" w:hAnsi="Arial"/>
          <w:sz w:val="14"/>
          <w:szCs w:val="14"/>
          <w:b w:val="1"/>
          <w:bCs w:val="1"/>
          <w:color w:val="auto"/>
        </w:rPr>
        <w:t>Relation to Other Benefits</w:t>
      </w:r>
      <w:r>
        <w:rPr>
          <w:rFonts w:ascii="Arial" w:cs="Arial" w:eastAsia="Arial" w:hAnsi="Arial"/>
          <w:sz w:val="14"/>
          <w:szCs w:val="14"/>
          <w:color w:val="auto"/>
        </w:rPr>
        <w:t>. Any economic or other benefit to the Grantee under this Agreement or the Plan shall not be taken into account in determining any benefits to</w:t>
      </w:r>
      <w:r>
        <w:rPr>
          <w:rFonts w:ascii="Arial" w:cs="Arial" w:eastAsia="Arial" w:hAnsi="Arial"/>
          <w:sz w:val="14"/>
          <w:szCs w:val="14"/>
          <w:b w:val="1"/>
          <w:bCs w:val="1"/>
          <w:color w:val="auto"/>
        </w:rPr>
        <w:t xml:space="preserve"> </w:t>
      </w:r>
      <w:r>
        <w:rPr>
          <w:rFonts w:ascii="Arial" w:cs="Arial" w:eastAsia="Arial" w:hAnsi="Arial"/>
          <w:sz w:val="14"/>
          <w:szCs w:val="14"/>
          <w:color w:val="auto"/>
        </w:rPr>
        <w:t>which the Grantee may be entitled under any profit-sharing, retirement or other benefit or compensation plan maintained by the Company or any Subsidiary and shall not affect the amount of any life insurance coverage available to any beneficiary under any life insurance plan covering employees of the Company or any Subsidiary.</w:t>
      </w:r>
    </w:p>
    <w:p>
      <w:pPr>
        <w:spacing w:after="0" w:line="80" w:lineRule="exact"/>
        <w:rPr>
          <w:rFonts w:ascii="Arial" w:cs="Arial" w:eastAsia="Arial" w:hAnsi="Arial"/>
          <w:sz w:val="14"/>
          <w:szCs w:val="14"/>
          <w:color w:val="auto"/>
        </w:rPr>
      </w:pPr>
    </w:p>
    <w:p>
      <w:pPr>
        <w:ind w:right="40" w:firstLine="875"/>
        <w:spacing w:after="0" w:line="245" w:lineRule="auto"/>
        <w:tabs>
          <w:tab w:leader="none" w:pos="1490" w:val="left"/>
        </w:tabs>
        <w:numPr>
          <w:ilvl w:val="0"/>
          <w:numId w:val="55"/>
        </w:numPr>
        <w:rPr>
          <w:rFonts w:ascii="Arial" w:cs="Arial" w:eastAsia="Arial" w:hAnsi="Arial"/>
          <w:sz w:val="14"/>
          <w:szCs w:val="14"/>
          <w:color w:val="auto"/>
        </w:rPr>
      </w:pPr>
      <w:r>
        <w:rPr>
          <w:rFonts w:ascii="Arial" w:cs="Arial" w:eastAsia="Arial" w:hAnsi="Arial"/>
          <w:sz w:val="14"/>
          <w:szCs w:val="14"/>
          <w:b w:val="1"/>
          <w:bCs w:val="1"/>
          <w:color w:val="auto"/>
        </w:rPr>
        <w:t>Taxes and Withholding</w:t>
      </w:r>
      <w:r>
        <w:rPr>
          <w:rFonts w:ascii="Arial" w:cs="Arial" w:eastAsia="Arial" w:hAnsi="Arial"/>
          <w:sz w:val="14"/>
          <w:szCs w:val="14"/>
          <w:color w:val="auto"/>
        </w:rPr>
        <w:t>. The Grantee is responsible for any federal, state, local or other taxes with respect to the Restricted Stock Units (including the vesting of the</w:t>
      </w:r>
      <w:r>
        <w:rPr>
          <w:rFonts w:ascii="Arial" w:cs="Arial" w:eastAsia="Arial" w:hAnsi="Arial"/>
          <w:sz w:val="14"/>
          <w:szCs w:val="14"/>
          <w:b w:val="1"/>
          <w:bCs w:val="1"/>
          <w:color w:val="auto"/>
        </w:rPr>
        <w:t xml:space="preserve"> </w:t>
      </w:r>
      <w:r>
        <w:rPr>
          <w:rFonts w:ascii="Arial" w:cs="Arial" w:eastAsia="Arial" w:hAnsi="Arial"/>
          <w:sz w:val="14"/>
          <w:szCs w:val="14"/>
          <w:color w:val="auto"/>
        </w:rPr>
        <w:t>Restricted Stock Units, the receipt of Common Shares or cash and the receipt of Dividend Equivalents). The Company does not guarantee any particular tax treatment or results in connection with the grant or vesting of the Restricted Stock Units, the delivery of Common Shares or cash or the payment of Dividend Equivalents. To the extent the Company or any Subsidiary of the Company is required to withhold any federal, state, local, foreign or other taxes in connection with the delivery of Common Shares or cash under this Agreement, the Grantee shall pay the tax or make provisions that are satisfactory to the Company or such Subsidiary for the payment thereof. The Grantee may elect (on a form provided by the Company) for the Company or any Subsidiary (as applicable) to retain a number of Common Shares otherwise deliverable hereunder (to the extent any cash otherwise payable is insufficient) with a value equal to the required withholding (based on the Market Value of the Common Shares on the date of delivery) in order to satisfy the withholding obligation; provided that in no event shall the value of the Common Shares together with any cash retained exceed the minimum amount of taxes required to be withheld or such other amount that will not result in a negative accounting impact. If the Company or any Subsidiary is required to withhold any federal, state, local or other taxes at any time other than upon delivery of Common Shares or cash under this Agreement, then the Company or the Subsidiary (as applicable) shall have the right in its sole discretion to (a) require the Grantee to pay or provide for payment of the required tax withholding, or (b) deduct the required tax withholding from any amount of salary, bonus, incentive compensation or other</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117475</wp:posOffset>
            </wp:positionV>
            <wp:extent cx="7329170" cy="3683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5">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60"/>
          </w:cols>
          <w:pgMar w:left="220" w:top="121" w:right="219" w:bottom="1440" w:gutter="0" w:footer="0" w:header="0"/>
        </w:sectPr>
      </w:pPr>
    </w:p>
    <w:bookmarkStart w:id="150" w:name="page151"/>
    <w:bookmarkEnd w:id="150"/>
    <w:p>
      <w:pPr>
        <w:jc w:val="both"/>
        <w:ind w:right="280"/>
        <w:spacing w:after="0" w:line="257" w:lineRule="auto"/>
        <w:rPr>
          <w:sz w:val="20"/>
          <w:szCs w:val="20"/>
          <w:color w:val="auto"/>
        </w:rPr>
      </w:pPr>
      <w:r>
        <w:rPr>
          <w:rFonts w:ascii="Arial" w:cs="Arial" w:eastAsia="Arial" w:hAnsi="Arial"/>
          <w:sz w:val="14"/>
          <w:szCs w:val="14"/>
          <w:color w:val="auto"/>
        </w:rPr>
        <w:t>amounts otherwise payable in cash to the Grantee (other than deferred compensation subject to Section 409A of the Code). If the Company or any Subsidiary is required to withhold any federal, state, local or other taxes with respect to Dividend Equivalents, then the Company or Subsidiary (as applicable) shall have the right in its sole discretion to reduce the cash payment related to the Dividend Equivalent by the applicable tax withholding.</w:t>
      </w:r>
    </w:p>
    <w:p>
      <w:pPr>
        <w:spacing w:after="0" w:line="82" w:lineRule="exact"/>
        <w:rPr>
          <w:sz w:val="20"/>
          <w:szCs w:val="20"/>
          <w:color w:val="auto"/>
        </w:rPr>
      </w:pPr>
    </w:p>
    <w:p>
      <w:pPr>
        <w:ind w:right="120" w:firstLine="875"/>
        <w:spacing w:after="0" w:line="260" w:lineRule="auto"/>
        <w:tabs>
          <w:tab w:leader="none" w:pos="1496" w:val="left"/>
        </w:tabs>
        <w:numPr>
          <w:ilvl w:val="0"/>
          <w:numId w:val="56"/>
        </w:numPr>
        <w:rPr>
          <w:rFonts w:ascii="Arial" w:cs="Arial" w:eastAsia="Arial" w:hAnsi="Arial"/>
          <w:sz w:val="14"/>
          <w:szCs w:val="14"/>
          <w:color w:val="auto"/>
        </w:rPr>
      </w:pPr>
      <w:r>
        <w:rPr>
          <w:rFonts w:ascii="Arial" w:cs="Arial" w:eastAsia="Arial" w:hAnsi="Arial"/>
          <w:sz w:val="14"/>
          <w:szCs w:val="14"/>
          <w:b w:val="1"/>
          <w:bCs w:val="1"/>
          <w:color w:val="auto"/>
        </w:rPr>
        <w:t>Compliance with Law</w:t>
      </w:r>
      <w:r>
        <w:rPr>
          <w:rFonts w:ascii="Arial" w:cs="Arial" w:eastAsia="Arial" w:hAnsi="Arial"/>
          <w:sz w:val="14"/>
          <w:szCs w:val="14"/>
          <w:color w:val="auto"/>
        </w:rPr>
        <w:t>. The Company shall make reasonable efforts to comply with all applicable federal and state securities laws and listing requirements of the</w:t>
      </w:r>
      <w:r>
        <w:rPr>
          <w:rFonts w:ascii="Arial" w:cs="Arial" w:eastAsia="Arial" w:hAnsi="Arial"/>
          <w:sz w:val="14"/>
          <w:szCs w:val="14"/>
          <w:b w:val="1"/>
          <w:bCs w:val="1"/>
          <w:color w:val="auto"/>
        </w:rPr>
        <w:t xml:space="preserve"> </w:t>
      </w:r>
      <w:r>
        <w:rPr>
          <w:rFonts w:ascii="Arial" w:cs="Arial" w:eastAsia="Arial" w:hAnsi="Arial"/>
          <w:sz w:val="14"/>
          <w:szCs w:val="14"/>
          <w:color w:val="auto"/>
        </w:rPr>
        <w:t>NASDAQ or any national securities exchange with respect to the Restricted Stock Units; provided, however, notwithstanding any other provision of this Agreement, the Restricted Stock Units shall not be delivered if the delivery thereof would result in a violation of any such law or listing requirement.</w:t>
      </w:r>
    </w:p>
    <w:p>
      <w:pPr>
        <w:spacing w:after="0" w:line="89" w:lineRule="exact"/>
        <w:rPr>
          <w:rFonts w:ascii="Arial" w:cs="Arial" w:eastAsia="Arial" w:hAnsi="Arial"/>
          <w:sz w:val="14"/>
          <w:szCs w:val="14"/>
          <w:color w:val="auto"/>
        </w:rPr>
      </w:pPr>
    </w:p>
    <w:p>
      <w:pPr>
        <w:ind w:firstLine="875"/>
        <w:spacing w:after="0" w:line="254" w:lineRule="auto"/>
        <w:tabs>
          <w:tab w:leader="none" w:pos="1496" w:val="left"/>
        </w:tabs>
        <w:numPr>
          <w:ilvl w:val="0"/>
          <w:numId w:val="56"/>
        </w:numPr>
        <w:rPr>
          <w:rFonts w:ascii="Arial" w:cs="Arial" w:eastAsia="Arial" w:hAnsi="Arial"/>
          <w:sz w:val="14"/>
          <w:szCs w:val="14"/>
          <w:color w:val="auto"/>
        </w:rPr>
      </w:pPr>
      <w:r>
        <w:rPr>
          <w:rFonts w:ascii="Arial" w:cs="Arial" w:eastAsia="Arial" w:hAnsi="Arial"/>
          <w:sz w:val="14"/>
          <w:szCs w:val="14"/>
          <w:b w:val="1"/>
          <w:bCs w:val="1"/>
          <w:color w:val="auto"/>
        </w:rPr>
        <w:t>Amendments</w:t>
      </w:r>
      <w:r>
        <w:rPr>
          <w:rFonts w:ascii="Arial" w:cs="Arial" w:eastAsia="Arial" w:hAnsi="Arial"/>
          <w:sz w:val="14"/>
          <w:szCs w:val="14"/>
          <w:color w:val="auto"/>
        </w:rPr>
        <w:t>. Subject to the terms of the Plan, the Committee may modify this Agreement upon written notice to the Grantee. Any amendment to the Plan shall be</w:t>
      </w:r>
      <w:r>
        <w:rPr>
          <w:rFonts w:ascii="Arial" w:cs="Arial" w:eastAsia="Arial" w:hAnsi="Arial"/>
          <w:sz w:val="14"/>
          <w:szCs w:val="14"/>
          <w:b w:val="1"/>
          <w:bCs w:val="1"/>
          <w:color w:val="auto"/>
        </w:rPr>
        <w:t xml:space="preserve"> </w:t>
      </w:r>
      <w:r>
        <w:rPr>
          <w:rFonts w:ascii="Arial" w:cs="Arial" w:eastAsia="Arial" w:hAnsi="Arial"/>
          <w:sz w:val="14"/>
          <w:szCs w:val="14"/>
          <w:color w:val="auto"/>
        </w:rPr>
        <w:t>deemed to be an amendment to this Agreement to the extent that the amendment is applicable hereto. Notwithstanding the foregoing, and except as specifically provided in Sections 2(a)(iii) and 2(b), no amendment of the Plan or this Agreement shall adversely affect the rights of the Grantee under this Agreement regarding vested Restricted Share Units under the Plan and this Agreement without the Grantee’s consent.</w:t>
      </w:r>
    </w:p>
    <w:p>
      <w:pPr>
        <w:spacing w:after="0" w:line="84" w:lineRule="exact"/>
        <w:rPr>
          <w:rFonts w:ascii="Arial" w:cs="Arial" w:eastAsia="Arial" w:hAnsi="Arial"/>
          <w:sz w:val="14"/>
          <w:szCs w:val="14"/>
          <w:color w:val="auto"/>
        </w:rPr>
      </w:pPr>
    </w:p>
    <w:p>
      <w:pPr>
        <w:ind w:right="260" w:firstLine="875"/>
        <w:spacing w:after="0" w:line="279" w:lineRule="auto"/>
        <w:tabs>
          <w:tab w:leader="none" w:pos="1496" w:val="left"/>
        </w:tabs>
        <w:numPr>
          <w:ilvl w:val="0"/>
          <w:numId w:val="56"/>
        </w:numPr>
        <w:rPr>
          <w:rFonts w:ascii="Arial" w:cs="Arial" w:eastAsia="Arial" w:hAnsi="Arial"/>
          <w:sz w:val="14"/>
          <w:szCs w:val="14"/>
          <w:color w:val="auto"/>
        </w:rPr>
      </w:pPr>
      <w:r>
        <w:rPr>
          <w:rFonts w:ascii="Arial" w:cs="Arial" w:eastAsia="Arial" w:hAnsi="Arial"/>
          <w:sz w:val="14"/>
          <w:szCs w:val="14"/>
          <w:b w:val="1"/>
          <w:bCs w:val="1"/>
          <w:color w:val="auto"/>
        </w:rPr>
        <w:t>Severability</w:t>
      </w:r>
      <w:r>
        <w:rPr>
          <w:rFonts w:ascii="Arial" w:cs="Arial" w:eastAsia="Arial" w:hAnsi="Arial"/>
          <w:sz w:val="14"/>
          <w:szCs w:val="14"/>
          <w:color w:val="auto"/>
        </w:rPr>
        <w:t>. In the event that one or more of the provisions of this Agreement shall be invalidated for any reason by a court of competent jurisdiction, any provision so</w:t>
      </w:r>
      <w:r>
        <w:rPr>
          <w:rFonts w:ascii="Arial" w:cs="Arial" w:eastAsia="Arial" w:hAnsi="Arial"/>
          <w:sz w:val="14"/>
          <w:szCs w:val="14"/>
          <w:b w:val="1"/>
          <w:bCs w:val="1"/>
          <w:color w:val="auto"/>
        </w:rPr>
        <w:t xml:space="preserve"> </w:t>
      </w:r>
      <w:r>
        <w:rPr>
          <w:rFonts w:ascii="Arial" w:cs="Arial" w:eastAsia="Arial" w:hAnsi="Arial"/>
          <w:sz w:val="14"/>
          <w:szCs w:val="14"/>
          <w:color w:val="auto"/>
        </w:rPr>
        <w:t>invalidated shall be deemed to be separable from the other provisions hereof, and the remaining provisions hereof shall continue to be valid and fully enforceable.</w:t>
      </w:r>
    </w:p>
    <w:p>
      <w:pPr>
        <w:spacing w:after="0" w:line="67" w:lineRule="exact"/>
        <w:rPr>
          <w:rFonts w:ascii="Arial" w:cs="Arial" w:eastAsia="Arial" w:hAnsi="Arial"/>
          <w:sz w:val="14"/>
          <w:szCs w:val="14"/>
          <w:color w:val="auto"/>
        </w:rPr>
      </w:pPr>
    </w:p>
    <w:p>
      <w:pPr>
        <w:ind w:right="180" w:firstLine="875"/>
        <w:spacing w:after="0" w:line="260" w:lineRule="auto"/>
        <w:tabs>
          <w:tab w:leader="none" w:pos="1496" w:val="left"/>
        </w:tabs>
        <w:numPr>
          <w:ilvl w:val="0"/>
          <w:numId w:val="56"/>
        </w:numPr>
        <w:rPr>
          <w:rFonts w:ascii="Arial" w:cs="Arial" w:eastAsia="Arial" w:hAnsi="Arial"/>
          <w:sz w:val="14"/>
          <w:szCs w:val="14"/>
          <w:color w:val="auto"/>
        </w:rPr>
      </w:pPr>
      <w:r>
        <w:rPr>
          <w:rFonts w:ascii="Arial" w:cs="Arial" w:eastAsia="Arial" w:hAnsi="Arial"/>
          <w:sz w:val="14"/>
          <w:szCs w:val="14"/>
          <w:b w:val="1"/>
          <w:bCs w:val="1"/>
          <w:color w:val="auto"/>
        </w:rPr>
        <w:t>Claw-Back Policy</w:t>
      </w:r>
      <w:r>
        <w:rPr>
          <w:rFonts w:ascii="Arial" w:cs="Arial" w:eastAsia="Arial" w:hAnsi="Arial"/>
          <w:sz w:val="14"/>
          <w:szCs w:val="14"/>
          <w:color w:val="auto"/>
        </w:rPr>
        <w:t>. Notwithstanding any provision contained herein to the contrary, this Agreement, the Restricted Stock Units and any Common Shares that the Grantee</w:t>
      </w:r>
      <w:r>
        <w:rPr>
          <w:rFonts w:ascii="Arial" w:cs="Arial" w:eastAsia="Arial" w:hAnsi="Arial"/>
          <w:sz w:val="14"/>
          <w:szCs w:val="14"/>
          <w:b w:val="1"/>
          <w:bCs w:val="1"/>
          <w:color w:val="auto"/>
        </w:rPr>
        <w:t xml:space="preserve"> </w:t>
      </w:r>
      <w:r>
        <w:rPr>
          <w:rFonts w:ascii="Arial" w:cs="Arial" w:eastAsia="Arial" w:hAnsi="Arial"/>
          <w:sz w:val="14"/>
          <w:szCs w:val="14"/>
          <w:color w:val="auto"/>
        </w:rPr>
        <w:t>may receive pursuant to this Agreement, are subject to the Uniti Group Inc. Claw-Back Policy then in affect (the “Policy”), and the Claw-Back Policy Acknowledgement and Agreement that the Grantee signed in accordance with the Policy (the “Claw-Back Agreement”).</w:t>
      </w:r>
    </w:p>
    <w:p>
      <w:pPr>
        <w:spacing w:after="0" w:line="89" w:lineRule="exact"/>
        <w:rPr>
          <w:rFonts w:ascii="Arial" w:cs="Arial" w:eastAsia="Arial" w:hAnsi="Arial"/>
          <w:sz w:val="14"/>
          <w:szCs w:val="14"/>
          <w:color w:val="auto"/>
        </w:rPr>
      </w:pPr>
    </w:p>
    <w:p>
      <w:pPr>
        <w:ind w:right="60" w:firstLine="875"/>
        <w:spacing w:after="0" w:line="251" w:lineRule="auto"/>
        <w:tabs>
          <w:tab w:leader="none" w:pos="1496" w:val="left"/>
        </w:tabs>
        <w:numPr>
          <w:ilvl w:val="0"/>
          <w:numId w:val="56"/>
        </w:numPr>
        <w:rPr>
          <w:rFonts w:ascii="Arial" w:cs="Arial" w:eastAsia="Arial" w:hAnsi="Arial"/>
          <w:sz w:val="14"/>
          <w:szCs w:val="14"/>
          <w:color w:val="auto"/>
        </w:rPr>
      </w:pPr>
      <w:r>
        <w:rPr>
          <w:rFonts w:ascii="Arial" w:cs="Arial" w:eastAsia="Arial" w:hAnsi="Arial"/>
          <w:sz w:val="14"/>
          <w:szCs w:val="14"/>
          <w:b w:val="1"/>
          <w:bCs w:val="1"/>
          <w:color w:val="auto"/>
        </w:rPr>
        <w:t>Relation to Plan</w:t>
      </w:r>
      <w:r>
        <w:rPr>
          <w:rFonts w:ascii="Arial" w:cs="Arial" w:eastAsia="Arial" w:hAnsi="Arial"/>
          <w:sz w:val="14"/>
          <w:szCs w:val="14"/>
          <w:color w:val="auto"/>
        </w:rPr>
        <w:t>. This Agreement is subject to the terms and conditions of the Plan. This Agreement, the Policy, the Claw-Back Agreement and the Plan contain the entire</w:t>
      </w:r>
      <w:r>
        <w:rPr>
          <w:rFonts w:ascii="Arial" w:cs="Arial" w:eastAsia="Arial" w:hAnsi="Arial"/>
          <w:sz w:val="14"/>
          <w:szCs w:val="14"/>
          <w:b w:val="1"/>
          <w:bCs w:val="1"/>
          <w:color w:val="auto"/>
        </w:rPr>
        <w:t xml:space="preserve"> </w:t>
      </w:r>
      <w:r>
        <w:rPr>
          <w:rFonts w:ascii="Arial" w:cs="Arial" w:eastAsia="Arial" w:hAnsi="Arial"/>
          <w:sz w:val="14"/>
          <w:szCs w:val="14"/>
          <w:color w:val="auto"/>
        </w:rPr>
        <w:t>agreement and understanding of the parties with respect to the subject matter contained in this Agreement, and supersede all prior written or oral communications, representations and negotiations in respect thereto. In the event of any inconsistency between the provisions of this Agreement and the Plan, the Plan shall govern. Capitalized terms used herein without definition shall have the meanings assigned to them in the Plan. The Committee acting pursuant to the Plan, as constituted from time to time, shall, except as expressly provided otherwise herein, have the right to determine any questions which arise in connection with the grant of the Restricted Stock Units.</w:t>
      </w:r>
    </w:p>
    <w:p>
      <w:pPr>
        <w:spacing w:after="0" w:line="85" w:lineRule="exact"/>
        <w:rPr>
          <w:rFonts w:ascii="Arial" w:cs="Arial" w:eastAsia="Arial" w:hAnsi="Arial"/>
          <w:sz w:val="14"/>
          <w:szCs w:val="14"/>
          <w:color w:val="auto"/>
        </w:rPr>
      </w:pPr>
    </w:p>
    <w:p>
      <w:pPr>
        <w:ind w:right="300" w:firstLine="875"/>
        <w:spacing w:after="0" w:line="279" w:lineRule="auto"/>
        <w:tabs>
          <w:tab w:leader="none" w:pos="1496" w:val="left"/>
        </w:tabs>
        <w:numPr>
          <w:ilvl w:val="0"/>
          <w:numId w:val="56"/>
        </w:numPr>
        <w:rPr>
          <w:rFonts w:ascii="Arial" w:cs="Arial" w:eastAsia="Arial" w:hAnsi="Arial"/>
          <w:sz w:val="14"/>
          <w:szCs w:val="14"/>
          <w:color w:val="auto"/>
        </w:rPr>
      </w:pPr>
      <w:r>
        <w:rPr>
          <w:rFonts w:ascii="Arial" w:cs="Arial" w:eastAsia="Arial" w:hAnsi="Arial"/>
          <w:sz w:val="14"/>
          <w:szCs w:val="14"/>
          <w:b w:val="1"/>
          <w:bCs w:val="1"/>
          <w:color w:val="auto"/>
        </w:rPr>
        <w:t>Successors and Assigns</w:t>
      </w:r>
      <w:r>
        <w:rPr>
          <w:rFonts w:ascii="Arial" w:cs="Arial" w:eastAsia="Arial" w:hAnsi="Arial"/>
          <w:sz w:val="14"/>
          <w:szCs w:val="14"/>
          <w:color w:val="auto"/>
        </w:rPr>
        <w:t>. Without limiting Section 5, the provisions of this Agreement shall inure to the benefit of, and be binding upon, the successors, administrators,</w:t>
      </w:r>
      <w:r>
        <w:rPr>
          <w:rFonts w:ascii="Arial" w:cs="Arial" w:eastAsia="Arial" w:hAnsi="Arial"/>
          <w:sz w:val="14"/>
          <w:szCs w:val="14"/>
          <w:b w:val="1"/>
          <w:bCs w:val="1"/>
          <w:color w:val="auto"/>
        </w:rPr>
        <w:t xml:space="preserve"> </w:t>
      </w:r>
      <w:r>
        <w:rPr>
          <w:rFonts w:ascii="Arial" w:cs="Arial" w:eastAsia="Arial" w:hAnsi="Arial"/>
          <w:sz w:val="14"/>
          <w:szCs w:val="14"/>
          <w:color w:val="auto"/>
        </w:rPr>
        <w:t>heirs, legal representatives and assigns of the Grantee, and the successors and assigns of the Company and its affiliates.</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117475</wp:posOffset>
            </wp:positionV>
            <wp:extent cx="7329170" cy="3683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6">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220" w:top="126" w:right="199" w:bottom="1440" w:gutter="0" w:footer="0" w:header="0"/>
        </w:sectPr>
      </w:pPr>
    </w:p>
    <w:bookmarkStart w:id="151" w:name="page152"/>
    <w:bookmarkEnd w:id="151"/>
    <w:p>
      <w:pPr>
        <w:ind w:left="60" w:right="80" w:firstLine="875"/>
        <w:spacing w:after="0" w:line="279" w:lineRule="auto"/>
        <w:tabs>
          <w:tab w:leader="none" w:pos="1556" w:val="left"/>
        </w:tabs>
        <w:numPr>
          <w:ilvl w:val="0"/>
          <w:numId w:val="57"/>
        </w:numPr>
        <w:rPr>
          <w:rFonts w:ascii="Arial" w:cs="Arial" w:eastAsia="Arial" w:hAnsi="Arial"/>
          <w:sz w:val="14"/>
          <w:szCs w:val="14"/>
          <w:color w:val="auto"/>
        </w:rPr>
      </w:pPr>
      <w:r>
        <w:rPr>
          <w:rFonts w:ascii="Arial" w:cs="Arial" w:eastAsia="Arial" w:hAnsi="Arial"/>
          <w:sz w:val="14"/>
          <w:szCs w:val="14"/>
          <w:b w:val="1"/>
          <w:bCs w:val="1"/>
          <w:color w:val="auto"/>
        </w:rPr>
        <w:t>Governing Law</w:t>
      </w:r>
      <w:r>
        <w:rPr>
          <w:rFonts w:ascii="Arial" w:cs="Arial" w:eastAsia="Arial" w:hAnsi="Arial"/>
          <w:sz w:val="14"/>
          <w:szCs w:val="14"/>
          <w:color w:val="auto"/>
        </w:rPr>
        <w:t>. The interpretation, performance, and enforcement of this Agreement shall be governed by the laws of the State of Maryland, without giving effect to the</w:t>
      </w:r>
      <w:r>
        <w:rPr>
          <w:rFonts w:ascii="Arial" w:cs="Arial" w:eastAsia="Arial" w:hAnsi="Arial"/>
          <w:sz w:val="14"/>
          <w:szCs w:val="14"/>
          <w:b w:val="1"/>
          <w:bCs w:val="1"/>
          <w:color w:val="auto"/>
        </w:rPr>
        <w:t xml:space="preserve"> </w:t>
      </w:r>
      <w:r>
        <w:rPr>
          <w:rFonts w:ascii="Arial" w:cs="Arial" w:eastAsia="Arial" w:hAnsi="Arial"/>
          <w:sz w:val="14"/>
          <w:szCs w:val="14"/>
          <w:color w:val="auto"/>
        </w:rPr>
        <w:t>principles of conflict of laws thereof.</w:t>
      </w:r>
    </w:p>
    <w:p>
      <w:pPr>
        <w:spacing w:after="0" w:line="66" w:lineRule="exact"/>
        <w:rPr>
          <w:rFonts w:ascii="Arial" w:cs="Arial" w:eastAsia="Arial" w:hAnsi="Arial"/>
          <w:sz w:val="14"/>
          <w:szCs w:val="14"/>
          <w:color w:val="auto"/>
        </w:rPr>
      </w:pPr>
    </w:p>
    <w:p>
      <w:pPr>
        <w:ind w:left="60" w:firstLine="875"/>
        <w:spacing w:after="0" w:line="296" w:lineRule="auto"/>
        <w:tabs>
          <w:tab w:leader="none" w:pos="1556" w:val="left"/>
        </w:tabs>
        <w:numPr>
          <w:ilvl w:val="0"/>
          <w:numId w:val="57"/>
        </w:numPr>
        <w:rPr>
          <w:rFonts w:ascii="Arial" w:cs="Arial" w:eastAsia="Arial" w:hAnsi="Arial"/>
          <w:sz w:val="12"/>
          <w:szCs w:val="12"/>
          <w:color w:val="auto"/>
        </w:rPr>
      </w:pPr>
      <w:r>
        <w:rPr>
          <w:rFonts w:ascii="Arial" w:cs="Arial" w:eastAsia="Arial" w:hAnsi="Arial"/>
          <w:sz w:val="12"/>
          <w:szCs w:val="12"/>
          <w:b w:val="1"/>
          <w:bCs w:val="1"/>
          <w:color w:val="auto"/>
        </w:rPr>
        <w:t xml:space="preserve">Electronic Delivery. </w:t>
      </w:r>
      <w:r>
        <w:rPr>
          <w:rFonts w:ascii="Arial" w:cs="Arial" w:eastAsia="Arial" w:hAnsi="Arial"/>
          <w:sz w:val="12"/>
          <w:szCs w:val="12"/>
          <w:color w:val="auto"/>
        </w:rPr>
        <w:t>The Grantee hereby consents and agrees to electronic delivery of any documents that the Company may elect to deliver (including, but not limited to,</w:t>
      </w:r>
      <w:r>
        <w:rPr>
          <w:rFonts w:ascii="Arial" w:cs="Arial" w:eastAsia="Arial" w:hAnsi="Arial"/>
          <w:sz w:val="12"/>
          <w:szCs w:val="12"/>
          <w:b w:val="1"/>
          <w:bCs w:val="1"/>
          <w:color w:val="auto"/>
        </w:rPr>
        <w:t xml:space="preserve"> </w:t>
      </w:r>
      <w:r>
        <w:rPr>
          <w:rFonts w:ascii="Arial" w:cs="Arial" w:eastAsia="Arial" w:hAnsi="Arial"/>
          <w:sz w:val="12"/>
          <w:szCs w:val="12"/>
          <w:color w:val="auto"/>
        </w:rPr>
        <w:t>prospectuses, prospectus supplements, grant or award notifications and agreements, account statements, annual and quarterly reports, and all other forms of communications) in connection with this and any other award made or offered under the Plan. The Grantee understands that, unless earlier revoked by the Grantee by giving written notice to the Secretary of the Company, this consent shall be effective for the duration of the Agreement. The Grantee also understands that he or she shall have the right at any time to request that the Company deliver written copies of any and all materials referred to above at no charge. The Grantee hereby consents to any and all procedures the Company has established or may establish for an electronic signature system for delivery and acceptance of any such documents that the Company may elect to deliver, and agrees that his or her electronic signature is the same as, and shall have the same force and effect as, his or her manual signature. The Grantee consents and agrees that any such procedures and delivery may be effected by a third party engaged by the Company or any Subsidiary to provide administrative services related to the Plan.</w:t>
      </w:r>
    </w:p>
    <w:p>
      <w:pPr>
        <w:spacing w:after="0" w:line="74" w:lineRule="exact"/>
        <w:rPr>
          <w:sz w:val="20"/>
          <w:szCs w:val="20"/>
          <w:color w:val="auto"/>
        </w:rPr>
      </w:pPr>
    </w:p>
    <w:p>
      <w:pPr>
        <w:spacing w:after="0"/>
        <w:rPr>
          <w:sz w:val="20"/>
          <w:szCs w:val="20"/>
          <w:color w:val="auto"/>
        </w:rPr>
      </w:pPr>
      <w:r>
        <w:rPr>
          <w:rFonts w:ascii="Arial" w:cs="Arial" w:eastAsia="Arial" w:hAnsi="Arial"/>
          <w:sz w:val="14"/>
          <w:szCs w:val="14"/>
          <w:color w:val="auto"/>
        </w:rPr>
        <w:t>e Company has caused this Agreement to be executed on its behalf by its duly authorized officer and the Grantee has also executed this Agreement, as of the Date of Grant.</w:t>
      </w:r>
    </w:p>
    <w:p>
      <w:pPr>
        <w:spacing w:after="0" w:line="118" w:lineRule="exact"/>
        <w:rPr>
          <w:sz w:val="20"/>
          <w:szCs w:val="20"/>
          <w:color w:val="auto"/>
        </w:rPr>
      </w:pPr>
    </w:p>
    <w:p>
      <w:pPr>
        <w:ind w:left="5020"/>
        <w:spacing w:after="0"/>
        <w:rPr>
          <w:sz w:val="20"/>
          <w:szCs w:val="20"/>
          <w:color w:val="auto"/>
        </w:rPr>
      </w:pPr>
      <w:r>
        <w:rPr>
          <w:rFonts w:ascii="Arial" w:cs="Arial" w:eastAsia="Arial" w:hAnsi="Arial"/>
          <w:sz w:val="14"/>
          <w:szCs w:val="14"/>
          <w:color w:val="auto"/>
        </w:rPr>
        <w:t>UNITI GROUP INC.</w:t>
      </w:r>
    </w:p>
    <w:p>
      <w:pPr>
        <w:sectPr>
          <w:pgSz w:w="11900" w:h="16838" w:orient="portrait"/>
          <w:cols w:equalWidth="0" w:num="1">
            <w:col w:w="11480"/>
          </w:cols>
          <w:pgMar w:left="160" w:top="121" w:right="259" w:bottom="1440" w:gutter="0" w:footer="0" w:header="0"/>
        </w:sectPr>
      </w:pPr>
    </w:p>
    <w:p>
      <w:pPr>
        <w:spacing w:after="0" w:line="163" w:lineRule="exact"/>
        <w:rPr>
          <w:sz w:val="20"/>
          <w:szCs w:val="20"/>
          <w:color w:val="auto"/>
        </w:rPr>
      </w:pPr>
    </w:p>
    <w:p>
      <w:pPr>
        <w:ind w:left="5360"/>
        <w:spacing w:after="0"/>
        <w:rPr>
          <w:sz w:val="20"/>
          <w:szCs w:val="20"/>
          <w:color w:val="auto"/>
        </w:rPr>
      </w:pPr>
      <w:r>
        <w:rPr>
          <w:rFonts w:ascii="Arial" w:cs="Arial" w:eastAsia="Arial" w:hAnsi="Arial"/>
          <w:sz w:val="14"/>
          <w:szCs w:val="14"/>
          <w:color w:val="auto"/>
        </w:rPr>
        <w:t>By:</w:t>
      </w:r>
    </w:p>
    <w:p>
      <w:pPr>
        <w:spacing w:after="0" w:line="13" w:lineRule="exact"/>
        <w:rPr>
          <w:sz w:val="20"/>
          <w:szCs w:val="20"/>
          <w:color w:val="auto"/>
        </w:rPr>
      </w:pPr>
    </w:p>
    <w:p>
      <w:pPr>
        <w:ind w:left="5360"/>
        <w:spacing w:after="0"/>
        <w:rPr>
          <w:sz w:val="20"/>
          <w:szCs w:val="20"/>
          <w:color w:val="auto"/>
        </w:rPr>
      </w:pPr>
      <w:r>
        <w:rPr>
          <w:rFonts w:ascii="Arial" w:cs="Arial" w:eastAsia="Arial" w:hAnsi="Arial"/>
          <w:sz w:val="13"/>
          <w:szCs w:val="13"/>
          <w:color w:val="auto"/>
        </w:rPr>
        <w:t>Title:</w:t>
      </w:r>
    </w:p>
    <w:p>
      <w:pPr>
        <w:spacing w:after="0" w:line="20" w:lineRule="exact"/>
        <w:rPr>
          <w:sz w:val="20"/>
          <w:szCs w:val="20"/>
          <w:color w:val="auto"/>
        </w:rPr>
      </w:pPr>
      <w:r>
        <w:rPr>
          <w:sz w:val="20"/>
          <w:szCs w:val="20"/>
          <w:color w:val="auto"/>
        </w:rPr>
        <w:br w:type="column"/>
      </w:r>
    </w:p>
    <w:p>
      <w:pPr>
        <w:spacing w:after="0" w:line="143" w:lineRule="exact"/>
        <w:rPr>
          <w:sz w:val="20"/>
          <w:szCs w:val="20"/>
          <w:color w:val="auto"/>
        </w:rPr>
      </w:pPr>
    </w:p>
    <w:p>
      <w:pPr>
        <w:spacing w:after="0"/>
        <w:rPr>
          <w:sz w:val="20"/>
          <w:szCs w:val="20"/>
          <w:color w:val="auto"/>
        </w:rPr>
      </w:pPr>
      <w:r>
        <w:rPr>
          <w:rFonts w:ascii="Arial" w:cs="Arial" w:eastAsia="Arial" w:hAnsi="Arial"/>
          <w:sz w:val="13"/>
          <w:szCs w:val="13"/>
          <w:color w:val="auto"/>
        </w:rPr>
        <w:t>Kenny Gunderman</w:t>
      </w:r>
    </w:p>
    <w:p>
      <w:pPr>
        <w:spacing w:after="0" w:line="25" w:lineRule="exact"/>
        <w:rPr>
          <w:sz w:val="20"/>
          <w:szCs w:val="20"/>
          <w:color w:val="auto"/>
        </w:rPr>
      </w:pPr>
    </w:p>
    <w:p>
      <w:pPr>
        <w:spacing w:after="0"/>
        <w:rPr>
          <w:sz w:val="20"/>
          <w:szCs w:val="20"/>
          <w:color w:val="auto"/>
        </w:rPr>
      </w:pPr>
      <w:r>
        <w:rPr>
          <w:rFonts w:ascii="Arial" w:cs="Arial" w:eastAsia="Arial" w:hAnsi="Arial"/>
          <w:sz w:val="12"/>
          <w:szCs w:val="12"/>
          <w:color w:val="auto"/>
        </w:rPr>
        <w:t>President and CEO</w:t>
      </w:r>
    </w:p>
    <w:p>
      <w:pPr>
        <w:spacing w:after="0" w:line="152" w:lineRule="exact"/>
        <w:rPr>
          <w:sz w:val="20"/>
          <w:szCs w:val="20"/>
          <w:color w:val="auto"/>
        </w:rPr>
      </w:pPr>
    </w:p>
    <w:p>
      <w:pPr>
        <w:sectPr>
          <w:pgSz w:w="11900" w:h="16838" w:orient="portrait"/>
          <w:cols w:equalWidth="0" w:num="2">
            <w:col w:w="5660" w:space="440"/>
            <w:col w:w="5380"/>
          </w:cols>
          <w:pgMar w:left="160" w:top="121" w:right="259" w:bottom="1440" w:gutter="0" w:footer="0" w:header="0"/>
          <w:type w:val="continuous"/>
        </w:sectPr>
      </w:pPr>
    </w:p>
    <w:p>
      <w:pPr>
        <w:ind w:left="60" w:right="20"/>
        <w:spacing w:after="0" w:line="251" w:lineRule="auto"/>
        <w:rPr>
          <w:sz w:val="20"/>
          <w:szCs w:val="20"/>
          <w:color w:val="auto"/>
        </w:rPr>
      </w:pPr>
      <w:r>
        <w:rPr>
          <w:rFonts w:ascii="Arial" w:cs="Arial" w:eastAsia="Arial" w:hAnsi="Arial"/>
          <w:sz w:val="14"/>
          <w:szCs w:val="14"/>
          <w:color w:val="auto"/>
        </w:rPr>
        <w:t xml:space="preserve">By clicking the </w:t>
      </w:r>
      <w:r>
        <w:rPr>
          <w:rFonts w:ascii="Arial" w:cs="Arial" w:eastAsia="Arial" w:hAnsi="Arial"/>
          <w:sz w:val="14"/>
          <w:szCs w:val="14"/>
          <w:b w:val="1"/>
          <w:bCs w:val="1"/>
          <w:color w:val="auto"/>
        </w:rPr>
        <w:t>[I Accept]</w:t>
      </w:r>
      <w:r>
        <w:rPr>
          <w:rFonts w:ascii="Arial" w:cs="Arial" w:eastAsia="Arial" w:hAnsi="Arial"/>
          <w:sz w:val="14"/>
          <w:szCs w:val="14"/>
          <w:color w:val="auto"/>
        </w:rPr>
        <w:t xml:space="preserve"> button, the Grantee hereby acknowledges that a copy of the Plan, Plan Summary and Prospectus and the Company’s most recent Annual Report and Proxy Statement (the “Prospectus Information”) are available for viewing on the Company’s intranet site at [web address]. The Grantee hereby consents to receiving this Prospectus Information electronically, or, in the alternative, agrees to contact [name and phone number] to request a paper copy of the Prospectus Information at no charge. The Grantee represents that he or she is familiar with the terms and provisions of the Prospectus Information and hereby accepts the award of Restricted Shares on the terms and conditions set forth herein and in the Plan. These terms and conditions constitute a legal contract that will bind both you and the Company as soon as you click the </w:t>
      </w:r>
      <w:r>
        <w:rPr>
          <w:rFonts w:ascii="Arial" w:cs="Arial" w:eastAsia="Arial" w:hAnsi="Arial"/>
          <w:sz w:val="14"/>
          <w:szCs w:val="14"/>
          <w:b w:val="1"/>
          <w:bCs w:val="1"/>
          <w:color w:val="auto"/>
        </w:rPr>
        <w:t>[I Accept]</w:t>
      </w:r>
      <w:r>
        <w:rPr>
          <w:rFonts w:ascii="Arial" w:cs="Arial" w:eastAsia="Arial" w:hAnsi="Arial"/>
          <w:sz w:val="14"/>
          <w:szCs w:val="14"/>
          <w:color w:val="auto"/>
        </w:rPr>
        <w:t xml:space="preserve"> button.</w:t>
      </w:r>
    </w:p>
    <w:p>
      <w:pPr>
        <w:spacing w:after="0" w:line="360" w:lineRule="exact"/>
        <w:rPr>
          <w:sz w:val="20"/>
          <w:szCs w:val="20"/>
          <w:color w:val="auto"/>
        </w:rPr>
      </w:pPr>
    </w:p>
    <w:p>
      <w:pPr>
        <w:jc w:val="center"/>
        <w:ind w:right="-99"/>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117475</wp:posOffset>
            </wp:positionV>
            <wp:extent cx="7329170" cy="3683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7">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11480"/>
          </w:cols>
          <w:pgMar w:left="160" w:top="121" w:right="259" w:bottom="1440" w:gutter="0" w:footer="0" w:header="0"/>
          <w:type w:val="continuous"/>
        </w:sectPr>
      </w:pPr>
    </w:p>
    <w:bookmarkStart w:id="152" w:name="page153"/>
    <w:bookmarkEnd w:id="152"/>
    <w:p>
      <w:pPr>
        <w:jc w:val="center"/>
        <w:ind w:right="-20"/>
        <w:spacing w:after="0"/>
        <w:rPr>
          <w:sz w:val="20"/>
          <w:szCs w:val="20"/>
          <w:color w:val="auto"/>
        </w:rPr>
      </w:pPr>
      <w:r>
        <w:rPr>
          <w:rFonts w:ascii="Arial" w:cs="Arial" w:eastAsia="Arial" w:hAnsi="Arial"/>
          <w:sz w:val="14"/>
          <w:szCs w:val="14"/>
          <w:b w:val="1"/>
          <w:bCs w:val="1"/>
          <w:color w:val="auto"/>
        </w:rPr>
        <w:t>APPENDIX A</w:t>
      </w:r>
    </w:p>
    <w:p>
      <w:pPr>
        <w:spacing w:after="0" w:line="17"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PERFORMANCE MATRIX</w:t>
      </w:r>
    </w:p>
    <w:p>
      <w:pPr>
        <w:spacing w:after="0" w:line="200" w:lineRule="exact"/>
        <w:rPr>
          <w:sz w:val="20"/>
          <w:szCs w:val="20"/>
          <w:color w:val="auto"/>
        </w:rPr>
      </w:pPr>
    </w:p>
    <w:p>
      <w:pPr>
        <w:spacing w:after="0" w:line="384"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-791845</wp:posOffset>
            </wp:positionH>
            <wp:positionV relativeFrom="paragraph">
              <wp:posOffset>117475</wp:posOffset>
            </wp:positionV>
            <wp:extent cx="7329170" cy="3683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8">
                      <a:extLst>
                        <a:ext uri="{28A0092B-C50C-407E-A947-70E740481C1C}"/>
                      </a:extLst>
                    </a:blip>
                    <a:srcRect/>
                    <a:stretch>
                      <a:fillRect/>
                    </a:stretch>
                  </pic:blipFill>
                  <pic:spPr bwMode="auto">
                    <a:xfrm>
                      <a:off x="0" y="0"/>
                      <a:ext cx="7329170" cy="36830"/>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153" w:name="page154"/>
    <w:bookmarkEnd w:id="153"/>
    <w:p>
      <w:pPr>
        <w:jc w:val="center"/>
        <w:ind w:right="-20"/>
        <w:spacing w:after="0"/>
        <w:rPr>
          <w:sz w:val="20"/>
          <w:szCs w:val="20"/>
          <w:color w:val="auto"/>
        </w:rPr>
      </w:pPr>
      <w:r>
        <w:rPr>
          <w:rFonts w:ascii="Arial" w:cs="Arial" w:eastAsia="Arial" w:hAnsi="Arial"/>
          <w:sz w:val="14"/>
          <w:szCs w:val="14"/>
          <w:b w:val="1"/>
          <w:bCs w:val="1"/>
          <w:color w:val="auto"/>
        </w:rPr>
        <w:t>APPENDIX B</w:t>
      </w:r>
    </w:p>
    <w:p>
      <w:pPr>
        <w:sectPr>
          <w:pgSz w:w="11900" w:h="16838" w:orient="portrait"/>
          <w:cols w:equalWidth="0" w:num="1">
            <w:col w:w="9019"/>
          </w:cols>
          <w:pgMar w:left="1440" w:top="122" w:right="1440" w:bottom="1440" w:gutter="0" w:footer="0" w:header="0"/>
        </w:sectPr>
      </w:pPr>
    </w:p>
    <w:p>
      <w:pPr>
        <w:spacing w:after="0" w:line="392"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8</w:t>
      </w:r>
    </w:p>
    <w:p>
      <w:pPr>
        <w:sectPr>
          <w:pgSz w:w="11900" w:h="16838" w:orient="portrait"/>
          <w:cols w:equalWidth="0" w:num="1">
            <w:col w:w="9019"/>
          </w:cols>
          <w:pgMar w:left="1440" w:top="122" w:right="1440" w:bottom="1440" w:gutter="0" w:footer="0" w:header="0"/>
          <w:type w:val="continuous"/>
        </w:sectPr>
      </w:pPr>
    </w:p>
    <w:bookmarkStart w:id="154" w:name="page155"/>
    <w:bookmarkEnd w:id="154"/>
    <w:p>
      <w:pPr>
        <w:ind w:left="10860"/>
        <w:spacing w:after="0"/>
        <w:rPr>
          <w:sz w:val="20"/>
          <w:szCs w:val="20"/>
          <w:color w:val="auto"/>
        </w:rPr>
      </w:pPr>
      <w:r>
        <w:rPr>
          <w:rFonts w:ascii="Arial" w:cs="Arial" w:eastAsia="Arial" w:hAnsi="Arial"/>
          <w:sz w:val="11"/>
          <w:szCs w:val="11"/>
          <w:b w:val="1"/>
          <w:bCs w:val="1"/>
          <w:color w:val="auto"/>
        </w:rPr>
        <w:t>Exhibit 21.1</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3540" w:type="dxa"/>
            <w:vAlign w:val="bottom"/>
          </w:tcPr>
          <w:p>
            <w:pPr>
              <w:spacing w:after="0"/>
              <w:rPr>
                <w:sz w:val="13"/>
                <w:szCs w:val="13"/>
                <w:color w:val="auto"/>
              </w:rPr>
            </w:pPr>
          </w:p>
        </w:tc>
        <w:tc>
          <w:tcPr>
            <w:tcW w:w="7940" w:type="dxa"/>
            <w:vAlign w:val="bottom"/>
            <w:gridSpan w:val="3"/>
          </w:tcPr>
          <w:p>
            <w:pPr>
              <w:ind w:left="1420"/>
              <w:spacing w:after="0"/>
              <w:rPr>
                <w:sz w:val="20"/>
                <w:szCs w:val="20"/>
                <w:color w:val="auto"/>
              </w:rPr>
            </w:pPr>
            <w:r>
              <w:rPr>
                <w:rFonts w:ascii="Arial" w:cs="Arial" w:eastAsia="Arial" w:hAnsi="Arial"/>
                <w:sz w:val="12"/>
                <w:szCs w:val="12"/>
                <w:b w:val="1"/>
                <w:bCs w:val="1"/>
                <w:color w:val="auto"/>
              </w:rPr>
              <w:t>Subsidiaries of the Registrants</w:t>
            </w:r>
          </w:p>
        </w:tc>
        <w:tc>
          <w:tcPr>
            <w:tcW w:w="20" w:type="dxa"/>
            <w:vAlign w:val="bottom"/>
          </w:tcPr>
          <w:p>
            <w:pPr>
              <w:spacing w:after="0"/>
              <w:rPr>
                <w:sz w:val="13"/>
                <w:szCs w:val="13"/>
                <w:color w:val="auto"/>
              </w:rPr>
            </w:pPr>
          </w:p>
        </w:tc>
      </w:tr>
      <w:tr>
        <w:trPr>
          <w:trHeight w:val="284"/>
        </w:trPr>
        <w:tc>
          <w:tcPr>
            <w:tcW w:w="3540" w:type="dxa"/>
            <w:vAlign w:val="bottom"/>
            <w:tcBorders>
              <w:bottom w:val="single" w:sz="8" w:color="auto"/>
            </w:tcBorders>
          </w:tcPr>
          <w:p>
            <w:pPr>
              <w:spacing w:after="0"/>
              <w:rPr>
                <w:sz w:val="20"/>
                <w:szCs w:val="20"/>
                <w:color w:val="auto"/>
              </w:rPr>
            </w:pPr>
            <w:r>
              <w:rPr>
                <w:rFonts w:ascii="Arial" w:cs="Arial" w:eastAsia="Arial" w:hAnsi="Arial"/>
                <w:sz w:val="10"/>
                <w:szCs w:val="10"/>
                <w:b w:val="1"/>
                <w:bCs w:val="1"/>
                <w:color w:val="auto"/>
              </w:rPr>
              <w:t>Subsidiary</w:t>
            </w:r>
          </w:p>
        </w:tc>
        <w:tc>
          <w:tcPr>
            <w:tcW w:w="3900" w:type="dxa"/>
            <w:vAlign w:val="bottom"/>
            <w:tcBorders>
              <w:bottom w:val="single" w:sz="8" w:color="auto"/>
            </w:tcBorders>
          </w:tcPr>
          <w:p>
            <w:pPr>
              <w:spacing w:after="0"/>
              <w:rPr>
                <w:sz w:val="24"/>
                <w:szCs w:val="24"/>
                <w:color w:val="auto"/>
              </w:rPr>
            </w:pPr>
          </w:p>
        </w:tc>
        <w:tc>
          <w:tcPr>
            <w:tcW w:w="380" w:type="dxa"/>
            <w:vAlign w:val="bottom"/>
            <w:tcBorders>
              <w:bottom w:val="single" w:sz="8" w:color="CCEEFF"/>
            </w:tcBorders>
          </w:tcPr>
          <w:p>
            <w:pPr>
              <w:spacing w:after="0"/>
              <w:rPr>
                <w:sz w:val="24"/>
                <w:szCs w:val="24"/>
                <w:color w:val="auto"/>
              </w:rPr>
            </w:pPr>
          </w:p>
        </w:tc>
        <w:tc>
          <w:tcPr>
            <w:tcW w:w="3660" w:type="dxa"/>
            <w:vAlign w:val="bottom"/>
            <w:tcBorders>
              <w:bottom w:val="single" w:sz="8" w:color="auto"/>
            </w:tcBorders>
          </w:tcPr>
          <w:p>
            <w:pPr>
              <w:jc w:val="center"/>
              <w:spacing w:after="0"/>
              <w:rPr>
                <w:sz w:val="20"/>
                <w:szCs w:val="20"/>
                <w:color w:val="auto"/>
              </w:rPr>
            </w:pPr>
            <w:r>
              <w:rPr>
                <w:rFonts w:ascii="Arial" w:cs="Arial" w:eastAsia="Arial" w:hAnsi="Arial"/>
                <w:sz w:val="10"/>
                <w:szCs w:val="10"/>
                <w:b w:val="1"/>
                <w:bCs w:val="1"/>
                <w:color w:val="auto"/>
                <w:w w:val="86"/>
              </w:rPr>
              <w:t>State or other jurisdiction of incorporation or organization</w:t>
            </w:r>
          </w:p>
        </w:tc>
        <w:tc>
          <w:tcPr>
            <w:tcW w:w="20" w:type="dxa"/>
            <w:vAlign w:val="bottom"/>
          </w:tcPr>
          <w:p>
            <w:pPr>
              <w:spacing w:after="0"/>
              <w:rPr>
                <w:sz w:val="24"/>
                <w:szCs w:val="24"/>
                <w:color w:val="auto"/>
              </w:rPr>
            </w:pPr>
          </w:p>
        </w:tc>
      </w:tr>
      <w:tr>
        <w:trPr>
          <w:trHeight w:val="142"/>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Capital, LLC</w:t>
            </w:r>
          </w:p>
        </w:tc>
        <w:tc>
          <w:tcPr>
            <w:tcW w:w="39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2"/>
                <w:szCs w:val="12"/>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Contact Network,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2"/>
              </w:rPr>
              <w:t>Alabama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Alabama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Arkansas System,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Florida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Georgia Realty,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Georgia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Iowa System,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Kentucky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Mississippi System,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Missouri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National, LP</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National GP,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New Mexico System,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North Carolina Realty, LP</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North Carolina Realty GP,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North Carolina System, LP</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Ohio System,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Oklahoma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Realty,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Tennessee Realty,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CSL Tennessee Realty Partner,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CSL Texas System,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Hunt Brothers of Louisiana,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3"/>
              </w:rPr>
              <w:t>Louisiana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Hunt Telecommunications,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3"/>
              </w:rPr>
              <w:t>Louisiana</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Information Transport Solutions</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2"/>
              </w:rPr>
              <w:t>Alabama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InLine Services,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Integrated Data Systems,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3"/>
              </w:rPr>
              <w:t>Louisiana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Network Management Holdings, Ltd</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88"/>
              </w:rPr>
              <w:t>Cayman Islands</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Network Mgmt. Services, S.A.</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87"/>
              </w:rPr>
              <w:t>Nicaragua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Nexus Systems, Inc.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3"/>
              </w:rPr>
              <w:t>Louisiana</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Nexus Wireless,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3"/>
              </w:rPr>
              <w:t>Louisiana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NMS Delaware Subsidiary,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NMS NewCo 1,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NMS NewCo 2,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NMS Towers De Colombia SAS</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4"/>
              </w:rPr>
              <w:t>Colombia</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NMS Towers de Mexico, S. De R.L. de C.V.</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4"/>
              </w:rPr>
              <w:t>Mexico</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PEG Bandwidth DC,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PEG Bandwidth DE,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PEG Bandwidth IA,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PEG Bandwidth IL,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PEG Bandwidth LA,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PEG Bandwidth MA,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PEG Bandwidth MD,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PEG Bandwidth MS,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PEG Bandwidth NJ, LLC</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shd w:val="clear" w:color="auto" w:fill="CCEEFF"/>
          </w:tcPr>
          <w:p>
            <w:pPr>
              <w:spacing w:after="0"/>
              <w:rPr>
                <w:sz w:val="20"/>
                <w:szCs w:val="20"/>
                <w:color w:val="auto"/>
              </w:rPr>
            </w:pPr>
            <w:r>
              <w:rPr>
                <w:rFonts w:ascii="Arial" w:cs="Arial" w:eastAsia="Arial" w:hAnsi="Arial"/>
                <w:sz w:val="12"/>
                <w:szCs w:val="12"/>
                <w:color w:val="auto"/>
              </w:rPr>
              <w:t>PEG Bandwidth NY, LLC</w:t>
            </w:r>
          </w:p>
        </w:tc>
        <w:tc>
          <w:tcPr>
            <w:tcW w:w="39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3660" w:type="dxa"/>
            <w:vAlign w:val="bottom"/>
            <w:shd w:val="clear" w:color="auto" w:fill="CCEEFF"/>
          </w:tcPr>
          <w:p>
            <w:pPr>
              <w:jc w:val="center"/>
              <w:spacing w:after="0"/>
              <w:rPr>
                <w:sz w:val="20"/>
                <w:szCs w:val="20"/>
                <w:color w:val="auto"/>
              </w:rPr>
            </w:pPr>
            <w:r>
              <w:rPr>
                <w:rFonts w:ascii="Arial" w:cs="Arial" w:eastAsia="Arial" w:hAnsi="Arial"/>
                <w:sz w:val="12"/>
                <w:szCs w:val="12"/>
                <w:color w:val="auto"/>
                <w:w w:val="90"/>
              </w:rPr>
              <w:t>Delaware</w:t>
            </w:r>
          </w:p>
        </w:tc>
        <w:tc>
          <w:tcPr>
            <w:tcW w:w="20" w:type="dxa"/>
            <w:vAlign w:val="bottom"/>
          </w:tcPr>
          <w:p>
            <w:pPr>
              <w:spacing w:after="0"/>
              <w:rPr>
                <w:sz w:val="13"/>
                <w:szCs w:val="13"/>
                <w:color w:val="auto"/>
              </w:rPr>
            </w:pPr>
          </w:p>
        </w:tc>
      </w:tr>
      <w:tr>
        <w:trPr>
          <w:trHeight w:val="153"/>
        </w:trPr>
        <w:tc>
          <w:tcPr>
            <w:tcW w:w="3540" w:type="dxa"/>
            <w:vAlign w:val="bottom"/>
          </w:tcPr>
          <w:p>
            <w:pPr>
              <w:spacing w:after="0"/>
              <w:rPr>
                <w:sz w:val="20"/>
                <w:szCs w:val="20"/>
                <w:color w:val="auto"/>
              </w:rPr>
            </w:pPr>
            <w:r>
              <w:rPr>
                <w:rFonts w:ascii="Arial" w:cs="Arial" w:eastAsia="Arial" w:hAnsi="Arial"/>
                <w:sz w:val="12"/>
                <w:szCs w:val="12"/>
                <w:color w:val="auto"/>
              </w:rPr>
              <w:t>PEG Bandwidth NY Telephone Corp.</w:t>
            </w:r>
          </w:p>
        </w:tc>
        <w:tc>
          <w:tcPr>
            <w:tcW w:w="39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60" w:type="dxa"/>
            <w:vAlign w:val="bottom"/>
          </w:tcPr>
          <w:p>
            <w:pPr>
              <w:jc w:val="center"/>
              <w:spacing w:after="0"/>
              <w:rPr>
                <w:sz w:val="20"/>
                <w:szCs w:val="20"/>
                <w:color w:val="auto"/>
              </w:rPr>
            </w:pPr>
            <w:r>
              <w:rPr>
                <w:rFonts w:ascii="Arial" w:cs="Arial" w:eastAsia="Arial" w:hAnsi="Arial"/>
                <w:sz w:val="12"/>
                <w:szCs w:val="12"/>
                <w:color w:val="auto"/>
                <w:w w:val="92"/>
              </w:rPr>
              <w:t>New York</w:t>
            </w:r>
          </w:p>
        </w:tc>
        <w:tc>
          <w:tcPr>
            <w:tcW w:w="20" w:type="dxa"/>
            <w:vAlign w:val="bottom"/>
          </w:tcPr>
          <w:p>
            <w:pPr>
              <w:spacing w:after="0"/>
              <w:rPr>
                <w:sz w:val="13"/>
                <w:szCs w:val="13"/>
                <w:color w:val="auto"/>
              </w:rPr>
            </w:pPr>
          </w:p>
        </w:tc>
      </w:tr>
      <w:tr>
        <w:trPr>
          <w:trHeight w:val="369"/>
        </w:trPr>
        <w:tc>
          <w:tcPr>
            <w:tcW w:w="3540" w:type="dxa"/>
            <w:vAlign w:val="bottom"/>
            <w:tcBorders>
              <w:bottom w:val="single" w:sz="8" w:color="9A9A9A"/>
            </w:tcBorders>
          </w:tcPr>
          <w:p>
            <w:pPr>
              <w:spacing w:after="0"/>
              <w:rPr>
                <w:sz w:val="24"/>
                <w:szCs w:val="24"/>
                <w:color w:val="auto"/>
              </w:rPr>
            </w:pPr>
          </w:p>
        </w:tc>
        <w:tc>
          <w:tcPr>
            <w:tcW w:w="390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36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7280275</wp:posOffset>
            </wp:positionH>
            <wp:positionV relativeFrom="paragraph">
              <wp:posOffset>-23495</wp:posOffset>
            </wp:positionV>
            <wp:extent cx="31115" cy="3683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9">
                      <a:extLst>
                        <a:ext uri="{28A0092B-C50C-407E-A947-70E740481C1C}"/>
                      </a:extLst>
                    </a:blip>
                    <a:srcRect/>
                    <a:stretch>
                      <a:fillRect/>
                    </a:stretch>
                  </pic:blipFill>
                  <pic:spPr bwMode="auto">
                    <a:xfrm>
                      <a:off x="0" y="0"/>
                      <a:ext cx="31115" cy="36830"/>
                    </a:xfrm>
                    <a:prstGeom prst="rect">
                      <a:avLst/>
                    </a:prstGeom>
                    <a:noFill/>
                  </pic:spPr>
                </pic:pic>
              </a:graphicData>
            </a:graphic>
          </wp:anchor>
        </w:drawing>
        <w:drawing>
          <wp:anchor simplePos="0" relativeHeight="251657728" behindDoc="1" locked="0" layoutInCell="0" allowOverlap="1">
            <wp:simplePos x="0" y="0"/>
            <wp:positionH relativeFrom="column">
              <wp:posOffset>-17145</wp:posOffset>
            </wp:positionH>
            <wp:positionV relativeFrom="paragraph">
              <wp:posOffset>-23495</wp:posOffset>
            </wp:positionV>
            <wp:extent cx="31115" cy="3683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50">
                      <a:extLst>
                        <a:ext uri="{28A0092B-C50C-407E-A947-70E740481C1C}"/>
                      </a:extLst>
                    </a:blip>
                    <a:srcRect/>
                    <a:stretch>
                      <a:fillRect/>
                    </a:stretch>
                  </pic:blipFill>
                  <pic:spPr bwMode="auto">
                    <a:xfrm>
                      <a:off x="0" y="0"/>
                      <a:ext cx="31115" cy="36830"/>
                    </a:xfrm>
                    <a:prstGeom prst="rect">
                      <a:avLst/>
                    </a:prstGeom>
                    <a:noFill/>
                  </pic:spPr>
                </pic:pic>
              </a:graphicData>
            </a:graphic>
          </wp:anchor>
        </w:drawing>
      </w:r>
    </w:p>
    <w:p>
      <w:pPr>
        <w:sectPr>
          <w:pgSz w:w="11900" w:h="16838" w:orient="portrait"/>
          <w:cols w:equalWidth="0" w:num="1">
            <w:col w:w="11500"/>
          </w:cols>
          <w:pgMar w:left="220" w:top="280" w:right="179" w:bottom="1440" w:gutter="0" w:footer="0" w:header="0"/>
        </w:sectPr>
      </w:pPr>
    </w:p>
    <w:bookmarkStart w:id="155" w:name="page156"/>
    <w:bookmarkEnd w:id="155"/>
    <w:tbl>
      <w:tblPr>
        <w:tblLayout w:type="fixed"/>
        <w:tblInd w:w="0" w:type="dxa"/>
        <w:tblCellMar>
          <w:top w:w="0" w:type="dxa"/>
          <w:left w:w="0" w:type="dxa"/>
          <w:bottom w:w="0" w:type="dxa"/>
          <w:right w:w="0" w:type="dxa"/>
        </w:tblCellMar>
      </w:tblP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PEG Bandwidth PA,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PEG Bandwidth Services,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PEG Bandwidth TX,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PEG Bandwidth VA,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Southern Light, LLC</w:t>
            </w:r>
          </w:p>
        </w:tc>
        <w:tc>
          <w:tcPr>
            <w:tcW w:w="5300" w:type="dxa"/>
            <w:vAlign w:val="bottom"/>
            <w:shd w:val="clear" w:color="auto" w:fill="CCEEFF"/>
          </w:tcPr>
          <w:p>
            <w:pPr>
              <w:jc w:val="center"/>
              <w:ind w:left="1560"/>
              <w:spacing w:after="0"/>
              <w:rPr>
                <w:sz w:val="20"/>
                <w:szCs w:val="20"/>
                <w:color w:val="auto"/>
              </w:rPr>
            </w:pPr>
            <w:r>
              <w:rPr>
                <w:rFonts w:ascii="Arial" w:cs="Arial" w:eastAsia="Arial" w:hAnsi="Arial"/>
                <w:sz w:val="12"/>
                <w:szCs w:val="12"/>
                <w:color w:val="auto"/>
                <w:w w:val="92"/>
              </w:rPr>
              <w:t>Alabama</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Summit Wireless Infrastructure de México, S. de R.L. de C.V.</w:t>
            </w:r>
          </w:p>
        </w:tc>
        <w:tc>
          <w:tcPr>
            <w:tcW w:w="5300" w:type="dxa"/>
            <w:vAlign w:val="bottom"/>
          </w:tcPr>
          <w:p>
            <w:pPr>
              <w:jc w:val="center"/>
              <w:ind w:left="1560"/>
              <w:spacing w:after="0"/>
              <w:rPr>
                <w:sz w:val="20"/>
                <w:szCs w:val="20"/>
                <w:color w:val="auto"/>
              </w:rPr>
            </w:pPr>
            <w:r>
              <w:rPr>
                <w:rFonts w:ascii="Arial" w:cs="Arial" w:eastAsia="Arial" w:hAnsi="Arial"/>
                <w:sz w:val="12"/>
                <w:szCs w:val="12"/>
                <w:color w:val="auto"/>
                <w:w w:val="94"/>
              </w:rPr>
              <w:t>Mexico</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Summit Wireless Infrastructure Servicios, S. de R.L. de C.V.</w:t>
            </w:r>
          </w:p>
        </w:tc>
        <w:tc>
          <w:tcPr>
            <w:tcW w:w="5300" w:type="dxa"/>
            <w:vAlign w:val="bottom"/>
            <w:shd w:val="clear" w:color="auto" w:fill="CCEEFF"/>
          </w:tcPr>
          <w:p>
            <w:pPr>
              <w:jc w:val="center"/>
              <w:ind w:left="1560"/>
              <w:spacing w:after="0"/>
              <w:rPr>
                <w:sz w:val="20"/>
                <w:szCs w:val="20"/>
                <w:color w:val="auto"/>
              </w:rPr>
            </w:pPr>
            <w:r>
              <w:rPr>
                <w:rFonts w:ascii="Arial" w:cs="Arial" w:eastAsia="Arial" w:hAnsi="Arial"/>
                <w:sz w:val="12"/>
                <w:szCs w:val="12"/>
                <w:color w:val="auto"/>
                <w:w w:val="94"/>
              </w:rPr>
              <w:t>Mexico</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Talk America Services,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Dark Fiber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Fiber Holdings Inc.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Fiber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Group Finance Inc.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Group LP*</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Group LP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Holdings GP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Holdings LP</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LATAM GP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LATAM LP</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Leasing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Leasing X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Leasing XI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QRS Holdings GP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QRS Holdings LP</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Towers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Towers NMS Holdings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tcPr>
          <w:p>
            <w:pPr>
              <w:spacing w:after="0"/>
              <w:rPr>
                <w:sz w:val="20"/>
                <w:szCs w:val="20"/>
                <w:color w:val="auto"/>
              </w:rPr>
            </w:pPr>
            <w:r>
              <w:rPr>
                <w:rFonts w:ascii="Arial" w:cs="Arial" w:eastAsia="Arial" w:hAnsi="Arial"/>
                <w:sz w:val="12"/>
                <w:szCs w:val="12"/>
                <w:color w:val="auto"/>
              </w:rPr>
              <w:t>Uniti Towers – NMS Investor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3"/>
        </w:trPr>
        <w:tc>
          <w:tcPr>
            <w:tcW w:w="6180" w:type="dxa"/>
            <w:vAlign w:val="bottom"/>
            <w:shd w:val="clear" w:color="auto" w:fill="CCEEFF"/>
          </w:tcPr>
          <w:p>
            <w:pPr>
              <w:spacing w:after="0"/>
              <w:rPr>
                <w:sz w:val="20"/>
                <w:szCs w:val="20"/>
                <w:color w:val="auto"/>
              </w:rPr>
            </w:pPr>
            <w:r>
              <w:rPr>
                <w:rFonts w:ascii="Arial" w:cs="Arial" w:eastAsia="Arial" w:hAnsi="Arial"/>
                <w:sz w:val="12"/>
                <w:szCs w:val="12"/>
                <w:color w:val="auto"/>
              </w:rPr>
              <w:t>Uniti Wireless Holdings LLC</w:t>
            </w:r>
          </w:p>
        </w:tc>
        <w:tc>
          <w:tcPr>
            <w:tcW w:w="5300" w:type="dxa"/>
            <w:vAlign w:val="bottom"/>
            <w:shd w:val="clear" w:color="auto" w:fill="CCEEFF"/>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40"/>
        </w:trPr>
        <w:tc>
          <w:tcPr>
            <w:tcW w:w="6180" w:type="dxa"/>
            <w:vAlign w:val="bottom"/>
          </w:tcPr>
          <w:p>
            <w:pPr>
              <w:spacing w:after="0"/>
              <w:rPr>
                <w:sz w:val="20"/>
                <w:szCs w:val="20"/>
                <w:color w:val="auto"/>
              </w:rPr>
            </w:pPr>
            <w:r>
              <w:rPr>
                <w:rFonts w:ascii="Arial" w:cs="Arial" w:eastAsia="Arial" w:hAnsi="Arial"/>
                <w:sz w:val="12"/>
                <w:szCs w:val="12"/>
                <w:color w:val="auto"/>
              </w:rPr>
              <w:t>Uniti Wireless Infrastructure LLC</w:t>
            </w:r>
          </w:p>
        </w:tc>
        <w:tc>
          <w:tcPr>
            <w:tcW w:w="5300" w:type="dxa"/>
            <w:vAlign w:val="bottom"/>
          </w:tcPr>
          <w:p>
            <w:pPr>
              <w:jc w:val="center"/>
              <w:ind w:left="1540"/>
              <w:spacing w:after="0"/>
              <w:rPr>
                <w:sz w:val="20"/>
                <w:szCs w:val="20"/>
                <w:color w:val="auto"/>
              </w:rPr>
            </w:pPr>
            <w:r>
              <w:rPr>
                <w:rFonts w:ascii="Arial" w:cs="Arial" w:eastAsia="Arial" w:hAnsi="Arial"/>
                <w:sz w:val="12"/>
                <w:szCs w:val="12"/>
                <w:color w:val="auto"/>
                <w:w w:val="90"/>
              </w:rPr>
              <w:t>Delaware</w:t>
            </w:r>
          </w:p>
        </w:tc>
      </w:tr>
      <w:tr>
        <w:trPr>
          <w:trHeight w:val="157"/>
        </w:trPr>
        <w:tc>
          <w:tcPr>
            <w:tcW w:w="6180" w:type="dxa"/>
            <w:vAlign w:val="bottom"/>
          </w:tcPr>
          <w:p>
            <w:pPr>
              <w:spacing w:after="0"/>
              <w:rPr>
                <w:sz w:val="20"/>
                <w:szCs w:val="20"/>
                <w:color w:val="auto"/>
              </w:rPr>
            </w:pPr>
            <w:r>
              <w:rPr>
                <w:rFonts w:ascii="Arial" w:cs="Arial" w:eastAsia="Arial" w:hAnsi="Arial"/>
                <w:sz w:val="12"/>
                <w:szCs w:val="12"/>
                <w:b w:val="1"/>
                <w:bCs w:val="1"/>
                <w:color w:val="auto"/>
              </w:rPr>
              <w:t>____________________________</w:t>
            </w:r>
          </w:p>
        </w:tc>
        <w:tc>
          <w:tcPr>
            <w:tcW w:w="5300" w:type="dxa"/>
            <w:vAlign w:val="bottom"/>
          </w:tcPr>
          <w:p>
            <w:pPr>
              <w:spacing w:after="0"/>
              <w:rPr>
                <w:sz w:val="13"/>
                <w:szCs w:val="13"/>
                <w:color w:val="auto"/>
              </w:rPr>
            </w:pPr>
          </w:p>
        </w:tc>
      </w:tr>
    </w:tbl>
    <w:p>
      <w:pPr>
        <w:spacing w:after="0" w:line="18" w:lineRule="exact"/>
        <w:rPr>
          <w:sz w:val="20"/>
          <w:szCs w:val="20"/>
          <w:color w:val="auto"/>
        </w:rPr>
      </w:pPr>
    </w:p>
    <w:p>
      <w:pPr>
        <w:ind w:right="60"/>
        <w:spacing w:after="0" w:line="276" w:lineRule="auto"/>
        <w:rPr>
          <w:sz w:val="20"/>
          <w:szCs w:val="20"/>
          <w:color w:val="auto"/>
        </w:rPr>
      </w:pPr>
      <w:r>
        <w:rPr>
          <w:rFonts w:ascii="Arial" w:cs="Arial" w:eastAsia="Arial" w:hAnsi="Arial"/>
          <w:sz w:val="12"/>
          <w:szCs w:val="12"/>
          <w:color w:val="auto"/>
        </w:rPr>
        <w:t>*Uniti Group LP LLC and Talk America Services LLC are direct, wholly-owned subsidiaries of Uniti Group Inc. Uniti Group LP is a direct, majority-owned subsidiary of Uniti Group Inc. The remaining subsidiaries are direct or indirect, wholly-owned subsidiaries of Uniti Group LP.</w:t>
      </w:r>
    </w:p>
    <w:p>
      <w:pPr>
        <w:sectPr>
          <w:pgSz w:w="11900" w:h="16838" w:orient="portrait"/>
          <w:cols w:equalWidth="0" w:num="1">
            <w:col w:w="11480"/>
          </w:cols>
          <w:pgMar w:left="220" w:top="292" w:right="199" w:bottom="1440" w:gutter="0" w:footer="0" w:header="0"/>
        </w:sectPr>
      </w:pPr>
    </w:p>
    <w:bookmarkStart w:id="156" w:name="page157"/>
    <w:bookmarkEnd w:id="156"/>
    <w:p>
      <w:pPr>
        <w:jc w:val="right"/>
        <w:spacing w:after="0"/>
        <w:rPr>
          <w:sz w:val="20"/>
          <w:szCs w:val="20"/>
          <w:color w:val="auto"/>
        </w:rPr>
      </w:pPr>
      <w:r>
        <w:rPr>
          <w:rFonts w:ascii="Arial" w:cs="Arial" w:eastAsia="Arial" w:hAnsi="Arial"/>
          <w:sz w:val="12"/>
          <w:szCs w:val="12"/>
          <w:b w:val="1"/>
          <w:bCs w:val="1"/>
          <w:color w:val="auto"/>
        </w:rPr>
        <w:t>Exhibit 23.1</w:t>
      </w: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CONSENT OF INDEPENDENT REGISTERED PUBLIC ACCOUNTING FIRM</w:t>
      </w:r>
    </w:p>
    <w:p>
      <w:pPr>
        <w:spacing w:after="0" w:line="294" w:lineRule="exact"/>
        <w:rPr>
          <w:sz w:val="20"/>
          <w:szCs w:val="20"/>
          <w:color w:val="auto"/>
        </w:rPr>
      </w:pPr>
    </w:p>
    <w:p>
      <w:pPr>
        <w:ind w:right="280"/>
        <w:spacing w:after="0" w:line="149" w:lineRule="exact"/>
        <w:rPr>
          <w:sz w:val="20"/>
          <w:szCs w:val="20"/>
          <w:color w:val="auto"/>
        </w:rPr>
      </w:pPr>
      <w:r>
        <w:rPr>
          <w:rFonts w:ascii="Arial" w:cs="Arial" w:eastAsia="Arial" w:hAnsi="Arial"/>
          <w:sz w:val="12"/>
          <w:szCs w:val="12"/>
          <w:color w:val="auto"/>
        </w:rPr>
        <w:t>We hereby consent to the incorporation by reference in the Registration Statements on Form S</w:t>
      </w:r>
      <w:r>
        <w:rPr>
          <w:rFonts w:ascii="MS PGothic" w:cs="MS PGothic" w:eastAsia="MS PGothic" w:hAnsi="MS PGothic"/>
          <w:sz w:val="12"/>
          <w:szCs w:val="12"/>
          <w:color w:val="auto"/>
        </w:rPr>
        <w:t>‑</w:t>
      </w:r>
      <w:r>
        <w:rPr>
          <w:rFonts w:ascii="Arial" w:cs="Arial" w:eastAsia="Arial" w:hAnsi="Arial"/>
          <w:sz w:val="12"/>
          <w:szCs w:val="12"/>
          <w:color w:val="auto"/>
        </w:rPr>
        <w:t>8 (No. 333-203591 and No. 333-225501) and S-3 (No. 333-212046) of Uniti Group Inc. of our report dated March 18, 2019 relating to the financial statements, financial statement schedules and the effectiveness of internal control over financial reporting, which appears in this Form 10-K.</w:t>
      </w:r>
    </w:p>
    <w:p>
      <w:pPr>
        <w:spacing w:after="0" w:line="370" w:lineRule="exact"/>
        <w:rPr>
          <w:sz w:val="20"/>
          <w:szCs w:val="20"/>
          <w:color w:val="auto"/>
        </w:rPr>
      </w:pPr>
    </w:p>
    <w:p>
      <w:pPr>
        <w:spacing w:after="0"/>
        <w:rPr>
          <w:sz w:val="20"/>
          <w:szCs w:val="20"/>
          <w:color w:val="auto"/>
        </w:rPr>
      </w:pPr>
      <w:r>
        <w:rPr>
          <w:rFonts w:ascii="Arial" w:cs="Arial" w:eastAsia="Arial" w:hAnsi="Arial"/>
          <w:sz w:val="12"/>
          <w:szCs w:val="12"/>
          <w:color w:val="auto"/>
        </w:rPr>
        <w:t>/s/ PricewaterhouseCoopers LLP</w:t>
      </w:r>
    </w:p>
    <w:p>
      <w:pPr>
        <w:spacing w:after="0" w:line="150" w:lineRule="exact"/>
        <w:rPr>
          <w:sz w:val="20"/>
          <w:szCs w:val="20"/>
          <w:color w:val="auto"/>
        </w:rPr>
      </w:pPr>
    </w:p>
    <w:p>
      <w:pPr>
        <w:spacing w:after="0"/>
        <w:rPr>
          <w:sz w:val="20"/>
          <w:szCs w:val="20"/>
          <w:color w:val="auto"/>
        </w:rPr>
      </w:pPr>
      <w:r>
        <w:rPr>
          <w:rFonts w:ascii="Arial" w:cs="Arial" w:eastAsia="Arial" w:hAnsi="Arial"/>
          <w:sz w:val="12"/>
          <w:szCs w:val="12"/>
          <w:color w:val="auto"/>
        </w:rPr>
        <w:t>Little Rock, Arkansas</w:t>
      </w:r>
    </w:p>
    <w:p>
      <w:pPr>
        <w:spacing w:after="0" w:line="15" w:lineRule="exact"/>
        <w:rPr>
          <w:sz w:val="20"/>
          <w:szCs w:val="20"/>
          <w:color w:val="auto"/>
        </w:rPr>
      </w:pPr>
    </w:p>
    <w:p>
      <w:pPr>
        <w:spacing w:after="0"/>
        <w:rPr>
          <w:sz w:val="20"/>
          <w:szCs w:val="20"/>
          <w:color w:val="auto"/>
        </w:rPr>
      </w:pPr>
      <w:r>
        <w:rPr>
          <w:rFonts w:ascii="Arial" w:cs="Arial" w:eastAsia="Arial" w:hAnsi="Arial"/>
          <w:sz w:val="12"/>
          <w:szCs w:val="12"/>
          <w:color w:val="auto"/>
        </w:rPr>
        <w:t>March 18, 2019</w:t>
      </w:r>
    </w:p>
    <w:p>
      <w:pPr>
        <w:sectPr>
          <w:pgSz w:w="11900" w:h="16838" w:orient="portrait"/>
          <w:cols w:equalWidth="0" w:num="1">
            <w:col w:w="11480"/>
          </w:cols>
          <w:pgMar w:left="220" w:top="280" w:right="199" w:bottom="1440" w:gutter="0" w:footer="0" w:header="0"/>
        </w:sectPr>
      </w:pPr>
    </w:p>
    <w:bookmarkStart w:id="157" w:name="page158"/>
    <w:bookmarkEnd w:id="157"/>
    <w:p>
      <w:pPr>
        <w:jc w:val="right"/>
        <w:spacing w:after="0"/>
        <w:rPr>
          <w:sz w:val="20"/>
          <w:szCs w:val="20"/>
          <w:color w:val="auto"/>
        </w:rPr>
      </w:pPr>
      <w:r>
        <w:rPr>
          <w:rFonts w:ascii="Arial" w:cs="Arial" w:eastAsia="Arial" w:hAnsi="Arial"/>
          <w:sz w:val="12"/>
          <w:szCs w:val="12"/>
          <w:b w:val="1"/>
          <w:bCs w:val="1"/>
          <w:color w:val="auto"/>
        </w:rPr>
        <w:t>Exhibit 31.1</w:t>
      </w:r>
    </w:p>
    <w:p>
      <w:pPr>
        <w:spacing w:after="0" w:line="150" w:lineRule="exact"/>
        <w:rPr>
          <w:sz w:val="20"/>
          <w:szCs w:val="20"/>
          <w:color w:val="auto"/>
        </w:rPr>
      </w:pPr>
    </w:p>
    <w:p>
      <w:pPr>
        <w:jc w:val="center"/>
        <w:ind w:right="-7"/>
        <w:spacing w:after="0"/>
        <w:rPr>
          <w:sz w:val="20"/>
          <w:szCs w:val="20"/>
          <w:color w:val="auto"/>
        </w:rPr>
      </w:pPr>
      <w:r>
        <w:rPr>
          <w:rFonts w:ascii="Arial" w:cs="Arial" w:eastAsia="Arial" w:hAnsi="Arial"/>
          <w:sz w:val="12"/>
          <w:szCs w:val="12"/>
          <w:b w:val="1"/>
          <w:bCs w:val="1"/>
          <w:color w:val="auto"/>
        </w:rPr>
        <w:t>CERTIFICATION PURSUANT TO</w:t>
      </w:r>
    </w:p>
    <w:p>
      <w:pPr>
        <w:spacing w:after="0" w:line="19" w:lineRule="exact"/>
        <w:rPr>
          <w:sz w:val="20"/>
          <w:szCs w:val="20"/>
          <w:color w:val="auto"/>
        </w:rPr>
      </w:pPr>
    </w:p>
    <w:p>
      <w:pPr>
        <w:jc w:val="center"/>
        <w:ind w:right="-7"/>
        <w:spacing w:after="0"/>
        <w:rPr>
          <w:sz w:val="20"/>
          <w:szCs w:val="20"/>
          <w:color w:val="auto"/>
        </w:rPr>
      </w:pPr>
      <w:r>
        <w:rPr>
          <w:rFonts w:ascii="Arial" w:cs="Arial" w:eastAsia="Arial" w:hAnsi="Arial"/>
          <w:sz w:val="12"/>
          <w:szCs w:val="12"/>
          <w:b w:val="1"/>
          <w:bCs w:val="1"/>
          <w:color w:val="auto"/>
        </w:rPr>
        <w:t>RULES 13a-14(a) AND 15d-14(a) UNDER THE SECURITIES EXCHANGE ACT OF 1934,</w:t>
      </w:r>
    </w:p>
    <w:p>
      <w:pPr>
        <w:spacing w:after="0" w:line="6" w:lineRule="exact"/>
        <w:rPr>
          <w:sz w:val="20"/>
          <w:szCs w:val="20"/>
          <w:color w:val="auto"/>
        </w:rPr>
      </w:pPr>
    </w:p>
    <w:p>
      <w:pPr>
        <w:jc w:val="center"/>
        <w:ind w:right="-7"/>
        <w:spacing w:after="0"/>
        <w:rPr>
          <w:sz w:val="20"/>
          <w:szCs w:val="20"/>
          <w:color w:val="auto"/>
        </w:rPr>
      </w:pPr>
      <w:r>
        <w:rPr>
          <w:rFonts w:ascii="Arial" w:cs="Arial" w:eastAsia="Arial" w:hAnsi="Arial"/>
          <w:sz w:val="12"/>
          <w:szCs w:val="12"/>
          <w:b w:val="1"/>
          <w:bCs w:val="1"/>
          <w:color w:val="auto"/>
        </w:rPr>
        <w:t>AS ADOPTED PURSUANT TO SECTION 302 OF THE SARBANES-OXLEY ACT OF 2002</w:t>
      </w:r>
    </w:p>
    <w:p>
      <w:pPr>
        <w:spacing w:after="0" w:line="141" w:lineRule="exact"/>
        <w:rPr>
          <w:sz w:val="20"/>
          <w:szCs w:val="20"/>
          <w:color w:val="auto"/>
        </w:rPr>
      </w:pPr>
    </w:p>
    <w:p>
      <w:pPr>
        <w:ind w:left="8"/>
        <w:spacing w:after="0"/>
        <w:rPr>
          <w:sz w:val="20"/>
          <w:szCs w:val="20"/>
          <w:color w:val="auto"/>
        </w:rPr>
      </w:pPr>
      <w:r>
        <w:rPr>
          <w:rFonts w:ascii="Arial" w:cs="Arial" w:eastAsia="Arial" w:hAnsi="Arial"/>
          <w:sz w:val="12"/>
          <w:szCs w:val="12"/>
          <w:color w:val="auto"/>
        </w:rPr>
        <w:t>I, Kenneth A. Gunderman, certify that:</w:t>
      </w:r>
    </w:p>
    <w:p>
      <w:pPr>
        <w:spacing w:after="0" w:line="78" w:lineRule="exact"/>
        <w:rPr>
          <w:sz w:val="20"/>
          <w:szCs w:val="20"/>
          <w:color w:val="auto"/>
        </w:rPr>
      </w:pPr>
    </w:p>
    <w:p>
      <w:pPr>
        <w:ind w:left="528" w:hanging="528"/>
        <w:spacing w:after="0"/>
        <w:tabs>
          <w:tab w:leader="none" w:pos="528" w:val="left"/>
        </w:tabs>
        <w:numPr>
          <w:ilvl w:val="0"/>
          <w:numId w:val="58"/>
        </w:numPr>
        <w:rPr>
          <w:rFonts w:ascii="Arial" w:cs="Arial" w:eastAsia="Arial" w:hAnsi="Arial"/>
          <w:sz w:val="12"/>
          <w:szCs w:val="12"/>
          <w:color w:val="auto"/>
        </w:rPr>
      </w:pPr>
      <w:r>
        <w:rPr>
          <w:rFonts w:ascii="Arial" w:cs="Arial" w:eastAsia="Arial" w:hAnsi="Arial"/>
          <w:sz w:val="12"/>
          <w:szCs w:val="12"/>
          <w:color w:val="auto"/>
        </w:rPr>
        <w:t>I have reviewed this Annual Report on Form 10-K of Uniti Group Inc.;</w:t>
      </w:r>
    </w:p>
    <w:p>
      <w:pPr>
        <w:spacing w:after="0" w:line="231" w:lineRule="exact"/>
        <w:rPr>
          <w:rFonts w:ascii="Arial" w:cs="Arial" w:eastAsia="Arial" w:hAnsi="Arial"/>
          <w:sz w:val="12"/>
          <w:szCs w:val="12"/>
          <w:color w:val="auto"/>
        </w:rPr>
      </w:pPr>
    </w:p>
    <w:p>
      <w:pPr>
        <w:ind w:left="528" w:right="60" w:hanging="528"/>
        <w:spacing w:after="0" w:line="276" w:lineRule="auto"/>
        <w:tabs>
          <w:tab w:leader="none" w:pos="528" w:val="left"/>
        </w:tabs>
        <w:numPr>
          <w:ilvl w:val="0"/>
          <w:numId w:val="58"/>
        </w:numPr>
        <w:rPr>
          <w:rFonts w:ascii="Arial" w:cs="Arial" w:eastAsia="Arial" w:hAnsi="Arial"/>
          <w:sz w:val="12"/>
          <w:szCs w:val="12"/>
          <w:color w:val="auto"/>
        </w:rPr>
      </w:pPr>
      <w:r>
        <w:rPr>
          <w:rFonts w:ascii="Arial" w:cs="Arial" w:eastAsia="Arial" w:hAnsi="Arial"/>
          <w:sz w:val="12"/>
          <w:szCs w:val="12"/>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6" w:lineRule="exact"/>
        <w:rPr>
          <w:rFonts w:ascii="Arial" w:cs="Arial" w:eastAsia="Arial" w:hAnsi="Arial"/>
          <w:sz w:val="12"/>
          <w:szCs w:val="12"/>
          <w:color w:val="auto"/>
        </w:rPr>
      </w:pPr>
    </w:p>
    <w:p>
      <w:pPr>
        <w:ind w:left="528" w:right="140" w:hanging="528"/>
        <w:spacing w:after="0" w:line="276" w:lineRule="auto"/>
        <w:tabs>
          <w:tab w:leader="none" w:pos="528" w:val="left"/>
        </w:tabs>
        <w:numPr>
          <w:ilvl w:val="0"/>
          <w:numId w:val="58"/>
        </w:numPr>
        <w:rPr>
          <w:rFonts w:ascii="Arial" w:cs="Arial" w:eastAsia="Arial" w:hAnsi="Arial"/>
          <w:sz w:val="12"/>
          <w:szCs w:val="12"/>
          <w:color w:val="auto"/>
        </w:rPr>
      </w:pPr>
      <w:r>
        <w:rPr>
          <w:rFonts w:ascii="Arial" w:cs="Arial" w:eastAsia="Arial" w:hAnsi="Arial"/>
          <w:sz w:val="12"/>
          <w:szCs w:val="12"/>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96" w:lineRule="exact"/>
        <w:rPr>
          <w:rFonts w:ascii="Arial" w:cs="Arial" w:eastAsia="Arial" w:hAnsi="Arial"/>
          <w:sz w:val="12"/>
          <w:szCs w:val="12"/>
          <w:color w:val="auto"/>
        </w:rPr>
      </w:pPr>
    </w:p>
    <w:p>
      <w:pPr>
        <w:ind w:left="528" w:right="60" w:hanging="528"/>
        <w:spacing w:after="0" w:line="276" w:lineRule="auto"/>
        <w:tabs>
          <w:tab w:leader="none" w:pos="528" w:val="left"/>
        </w:tabs>
        <w:numPr>
          <w:ilvl w:val="0"/>
          <w:numId w:val="58"/>
        </w:numPr>
        <w:rPr>
          <w:rFonts w:ascii="Arial" w:cs="Arial" w:eastAsia="Arial" w:hAnsi="Arial"/>
          <w:sz w:val="12"/>
          <w:szCs w:val="12"/>
          <w:color w:val="auto"/>
        </w:rPr>
      </w:pPr>
      <w:r>
        <w:rPr>
          <w:rFonts w:ascii="Arial" w:cs="Arial" w:eastAsia="Arial" w:hAnsi="Arial"/>
          <w:sz w:val="12"/>
          <w:szCs w:val="12"/>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96" w:lineRule="exact"/>
        <w:rPr>
          <w:rFonts w:ascii="Arial" w:cs="Arial" w:eastAsia="Arial" w:hAnsi="Arial"/>
          <w:sz w:val="12"/>
          <w:szCs w:val="12"/>
          <w:color w:val="auto"/>
        </w:rPr>
      </w:pPr>
    </w:p>
    <w:p>
      <w:pPr>
        <w:ind w:left="1028" w:right="240" w:hanging="506"/>
        <w:spacing w:after="0" w:line="276" w:lineRule="auto"/>
        <w:tabs>
          <w:tab w:leader="none" w:pos="1028" w:val="left"/>
        </w:tabs>
        <w:numPr>
          <w:ilvl w:val="1"/>
          <w:numId w:val="58"/>
        </w:numPr>
        <w:rPr>
          <w:rFonts w:ascii="Arial" w:cs="Arial" w:eastAsia="Arial" w:hAnsi="Arial"/>
          <w:sz w:val="12"/>
          <w:szCs w:val="12"/>
          <w:color w:val="auto"/>
        </w:rPr>
      </w:pPr>
      <w:r>
        <w:rPr>
          <w:rFonts w:ascii="Arial" w:cs="Arial" w:eastAsia="Arial" w:hAnsi="Arial"/>
          <w:sz w:val="12"/>
          <w:szCs w:val="12"/>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6" w:lineRule="exact"/>
        <w:rPr>
          <w:rFonts w:ascii="Arial" w:cs="Arial" w:eastAsia="Arial" w:hAnsi="Arial"/>
          <w:sz w:val="12"/>
          <w:szCs w:val="12"/>
          <w:color w:val="auto"/>
        </w:rPr>
      </w:pPr>
    </w:p>
    <w:p>
      <w:pPr>
        <w:ind w:left="1028" w:right="440" w:hanging="506"/>
        <w:spacing w:after="0" w:line="276" w:lineRule="auto"/>
        <w:tabs>
          <w:tab w:leader="none" w:pos="1028" w:val="left"/>
        </w:tabs>
        <w:numPr>
          <w:ilvl w:val="1"/>
          <w:numId w:val="58"/>
        </w:numPr>
        <w:rPr>
          <w:rFonts w:ascii="Arial" w:cs="Arial" w:eastAsia="Arial" w:hAnsi="Arial"/>
          <w:sz w:val="12"/>
          <w:szCs w:val="12"/>
          <w:color w:val="auto"/>
        </w:rPr>
      </w:pPr>
      <w:r>
        <w:rPr>
          <w:rFonts w:ascii="Arial" w:cs="Arial" w:eastAsia="Arial" w:hAnsi="Arial"/>
          <w:sz w:val="12"/>
          <w:szCs w:val="12"/>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4" w:lineRule="exact"/>
        <w:rPr>
          <w:rFonts w:ascii="Arial" w:cs="Arial" w:eastAsia="Arial" w:hAnsi="Arial"/>
          <w:sz w:val="12"/>
          <w:szCs w:val="12"/>
          <w:color w:val="auto"/>
        </w:rPr>
      </w:pPr>
    </w:p>
    <w:p>
      <w:pPr>
        <w:ind w:left="1028" w:right="20" w:hanging="506"/>
        <w:spacing w:after="0" w:line="276" w:lineRule="auto"/>
        <w:tabs>
          <w:tab w:leader="none" w:pos="1028" w:val="left"/>
        </w:tabs>
        <w:numPr>
          <w:ilvl w:val="1"/>
          <w:numId w:val="58"/>
        </w:numPr>
        <w:rPr>
          <w:rFonts w:ascii="Arial" w:cs="Arial" w:eastAsia="Arial" w:hAnsi="Arial"/>
          <w:sz w:val="12"/>
          <w:szCs w:val="12"/>
          <w:color w:val="auto"/>
        </w:rPr>
      </w:pPr>
      <w:r>
        <w:rPr>
          <w:rFonts w:ascii="Arial" w:cs="Arial" w:eastAsia="Arial" w:hAnsi="Arial"/>
          <w:sz w:val="12"/>
          <w:szCs w:val="1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96" w:lineRule="exact"/>
        <w:rPr>
          <w:rFonts w:ascii="Arial" w:cs="Arial" w:eastAsia="Arial" w:hAnsi="Arial"/>
          <w:sz w:val="12"/>
          <w:szCs w:val="12"/>
          <w:color w:val="auto"/>
        </w:rPr>
      </w:pPr>
    </w:p>
    <w:p>
      <w:pPr>
        <w:ind w:left="1028" w:right="60" w:hanging="506"/>
        <w:spacing w:after="0" w:line="276" w:lineRule="auto"/>
        <w:tabs>
          <w:tab w:leader="none" w:pos="1028" w:val="left"/>
        </w:tabs>
        <w:numPr>
          <w:ilvl w:val="1"/>
          <w:numId w:val="58"/>
        </w:numPr>
        <w:rPr>
          <w:rFonts w:ascii="Arial" w:cs="Arial" w:eastAsia="Arial" w:hAnsi="Arial"/>
          <w:sz w:val="12"/>
          <w:szCs w:val="12"/>
          <w:color w:val="auto"/>
        </w:rPr>
      </w:pPr>
      <w:r>
        <w:rPr>
          <w:rFonts w:ascii="Arial" w:cs="Arial" w:eastAsia="Arial" w:hAnsi="Arial"/>
          <w:sz w:val="12"/>
          <w:szCs w:val="12"/>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96" w:lineRule="exact"/>
        <w:rPr>
          <w:rFonts w:ascii="Arial" w:cs="Arial" w:eastAsia="Arial" w:hAnsi="Arial"/>
          <w:sz w:val="12"/>
          <w:szCs w:val="12"/>
          <w:color w:val="auto"/>
        </w:rPr>
      </w:pPr>
    </w:p>
    <w:p>
      <w:pPr>
        <w:ind w:left="528" w:right="320" w:hanging="528"/>
        <w:spacing w:after="0" w:line="276" w:lineRule="auto"/>
        <w:tabs>
          <w:tab w:leader="none" w:pos="528" w:val="left"/>
        </w:tabs>
        <w:numPr>
          <w:ilvl w:val="0"/>
          <w:numId w:val="58"/>
        </w:numPr>
        <w:rPr>
          <w:rFonts w:ascii="Arial" w:cs="Arial" w:eastAsia="Arial" w:hAnsi="Arial"/>
          <w:sz w:val="12"/>
          <w:szCs w:val="12"/>
          <w:color w:val="auto"/>
        </w:rPr>
      </w:pPr>
      <w:r>
        <w:rPr>
          <w:rFonts w:ascii="Arial" w:cs="Arial" w:eastAsia="Arial" w:hAnsi="Arial"/>
          <w:sz w:val="12"/>
          <w:szCs w:val="12"/>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Arial" w:cs="Arial" w:eastAsia="Arial" w:hAnsi="Arial"/>
          <w:sz w:val="12"/>
          <w:szCs w:val="12"/>
          <w:color w:val="auto"/>
        </w:rPr>
      </w:pPr>
    </w:p>
    <w:p>
      <w:pPr>
        <w:ind w:left="1028" w:right="380" w:hanging="506"/>
        <w:spacing w:after="0" w:line="276" w:lineRule="auto"/>
        <w:tabs>
          <w:tab w:leader="none" w:pos="1028" w:val="left"/>
        </w:tabs>
        <w:numPr>
          <w:ilvl w:val="1"/>
          <w:numId w:val="58"/>
        </w:numPr>
        <w:rPr>
          <w:rFonts w:ascii="Arial" w:cs="Arial" w:eastAsia="Arial" w:hAnsi="Arial"/>
          <w:sz w:val="12"/>
          <w:szCs w:val="12"/>
          <w:color w:val="auto"/>
        </w:rPr>
      </w:pPr>
      <w:r>
        <w:rPr>
          <w:rFonts w:ascii="Arial" w:cs="Arial" w:eastAsia="Arial" w:hAnsi="Arial"/>
          <w:sz w:val="12"/>
          <w:szCs w:val="12"/>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5" w:lineRule="exact"/>
        <w:rPr>
          <w:rFonts w:ascii="Arial" w:cs="Arial" w:eastAsia="Arial" w:hAnsi="Arial"/>
          <w:sz w:val="12"/>
          <w:szCs w:val="12"/>
          <w:color w:val="auto"/>
        </w:rPr>
      </w:pPr>
    </w:p>
    <w:p>
      <w:pPr>
        <w:ind w:left="1028" w:hanging="506"/>
        <w:spacing w:after="0"/>
        <w:tabs>
          <w:tab w:leader="none" w:pos="1028" w:val="left"/>
        </w:tabs>
        <w:numPr>
          <w:ilvl w:val="1"/>
          <w:numId w:val="58"/>
        </w:numPr>
        <w:rPr>
          <w:rFonts w:ascii="Arial" w:cs="Arial" w:eastAsia="Arial" w:hAnsi="Arial"/>
          <w:sz w:val="12"/>
          <w:szCs w:val="12"/>
          <w:color w:val="auto"/>
        </w:rPr>
      </w:pPr>
      <w:r>
        <w:rPr>
          <w:rFonts w:ascii="Arial" w:cs="Arial" w:eastAsia="Arial" w:hAnsi="Arial"/>
          <w:sz w:val="12"/>
          <w:szCs w:val="12"/>
          <w:color w:val="auto"/>
        </w:rPr>
        <w:t>Any fraud, whether or not material, that involves management or other employees who have a significant role in the registrant’s internal control over financial reporting.</w:t>
      </w:r>
    </w:p>
    <w:p>
      <w:pPr>
        <w:spacing w:after="0" w:line="150" w:lineRule="exact"/>
        <w:rPr>
          <w:sz w:val="20"/>
          <w:szCs w:val="20"/>
          <w:color w:val="auto"/>
        </w:rPr>
      </w:pPr>
    </w:p>
    <w:p>
      <w:pPr>
        <w:ind w:left="8"/>
        <w:spacing w:after="0"/>
        <w:tabs>
          <w:tab w:leader="none" w:pos="4928" w:val="left"/>
          <w:tab w:leader="none" w:pos="7668" w:val="left"/>
        </w:tabs>
        <w:rPr>
          <w:sz w:val="20"/>
          <w:szCs w:val="20"/>
          <w:color w:val="auto"/>
        </w:rPr>
      </w:pPr>
      <w:r>
        <w:rPr>
          <w:rFonts w:ascii="Arial" w:cs="Arial" w:eastAsia="Arial" w:hAnsi="Arial"/>
          <w:sz w:val="12"/>
          <w:szCs w:val="12"/>
          <w:color w:val="auto"/>
        </w:rPr>
        <w:t>Date: March 18, 2019</w:t>
      </w:r>
      <w:r>
        <w:rPr>
          <w:sz w:val="20"/>
          <w:szCs w:val="20"/>
          <w:color w:val="auto"/>
        </w:rPr>
        <w:tab/>
      </w:r>
      <w:r>
        <w:rPr>
          <w:rFonts w:ascii="Arial" w:cs="Arial" w:eastAsia="Arial" w:hAnsi="Arial"/>
          <w:sz w:val="12"/>
          <w:szCs w:val="12"/>
          <w:color w:val="auto"/>
        </w:rPr>
        <w:t>By:</w:t>
      </w:r>
      <w:r>
        <w:rPr>
          <w:sz w:val="20"/>
          <w:szCs w:val="20"/>
          <w:color w:val="auto"/>
        </w:rPr>
        <w:tab/>
      </w:r>
      <w:r>
        <w:rPr>
          <w:rFonts w:ascii="Arial" w:cs="Arial" w:eastAsia="Arial" w:hAnsi="Arial"/>
          <w:sz w:val="10"/>
          <w:szCs w:val="10"/>
          <w:color w:val="auto"/>
        </w:rPr>
        <w:t>/s/ Kenneth A. Gunderman</w:t>
      </w:r>
    </w:p>
    <w:p>
      <w:pPr>
        <w:spacing w:after="0" w:line="15" w:lineRule="exact"/>
        <w:rPr>
          <w:sz w:val="20"/>
          <w:szCs w:val="20"/>
          <w:color w:val="auto"/>
        </w:rPr>
      </w:pPr>
    </w:p>
    <w:p>
      <w:pPr>
        <w:jc w:val="center"/>
        <w:ind w:left="5180"/>
        <w:spacing w:after="0"/>
        <w:rPr>
          <w:sz w:val="20"/>
          <w:szCs w:val="20"/>
          <w:color w:val="auto"/>
        </w:rPr>
      </w:pPr>
      <w:r>
        <w:rPr>
          <w:rFonts w:ascii="Arial" w:cs="Arial" w:eastAsia="Arial" w:hAnsi="Arial"/>
          <w:sz w:val="12"/>
          <w:szCs w:val="12"/>
          <w:b w:val="1"/>
          <w:bCs w:val="1"/>
          <w:color w:val="auto"/>
        </w:rPr>
        <w:t>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3282950</wp:posOffset>
            </wp:positionH>
            <wp:positionV relativeFrom="paragraph">
              <wp:posOffset>-86995</wp:posOffset>
            </wp:positionV>
            <wp:extent cx="4009390" cy="571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1">
                      <a:extLst>
                        <a:ext uri="{28A0092B-C50C-407E-A947-70E740481C1C}"/>
                      </a:extLst>
                    </a:blip>
                    <a:srcRect/>
                    <a:stretch>
                      <a:fillRect/>
                    </a:stretch>
                  </pic:blipFill>
                  <pic:spPr bwMode="auto">
                    <a:xfrm>
                      <a:off x="0" y="0"/>
                      <a:ext cx="4009390" cy="5715"/>
                    </a:xfrm>
                    <a:prstGeom prst="rect">
                      <a:avLst/>
                    </a:prstGeom>
                    <a:noFill/>
                  </pic:spPr>
                </pic:pic>
              </a:graphicData>
            </a:graphic>
          </wp:anchor>
        </w:drawing>
      </w:r>
    </w:p>
    <w:p>
      <w:pPr>
        <w:jc w:val="center"/>
        <w:ind w:left="5180"/>
        <w:spacing w:after="0"/>
        <w:rPr>
          <w:sz w:val="20"/>
          <w:szCs w:val="20"/>
          <w:color w:val="auto"/>
        </w:rPr>
      </w:pPr>
      <w:r>
        <w:rPr>
          <w:rFonts w:ascii="Arial" w:cs="Arial" w:eastAsia="Arial" w:hAnsi="Arial"/>
          <w:sz w:val="12"/>
          <w:szCs w:val="12"/>
          <w:b w:val="1"/>
          <w:bCs w:val="1"/>
          <w:color w:val="auto"/>
        </w:rPr>
        <w:t>President and Chief Executive Officer</w:t>
      </w:r>
    </w:p>
    <w:p>
      <w:pPr>
        <w:sectPr>
          <w:pgSz w:w="11900" w:h="16838" w:orient="portrait"/>
          <w:cols w:equalWidth="0" w:num="1">
            <w:col w:w="11488"/>
          </w:cols>
          <w:pgMar w:left="212" w:top="280" w:right="199" w:bottom="1440" w:gutter="0" w:footer="0" w:header="0"/>
        </w:sectPr>
      </w:pPr>
    </w:p>
    <w:bookmarkStart w:id="158" w:name="page159"/>
    <w:bookmarkEnd w:id="158"/>
    <w:p>
      <w:pPr>
        <w:jc w:val="right"/>
        <w:spacing w:after="0"/>
        <w:rPr>
          <w:sz w:val="20"/>
          <w:szCs w:val="20"/>
          <w:color w:val="auto"/>
        </w:rPr>
      </w:pPr>
      <w:r>
        <w:rPr>
          <w:rFonts w:ascii="Arial" w:cs="Arial" w:eastAsia="Arial" w:hAnsi="Arial"/>
          <w:sz w:val="12"/>
          <w:szCs w:val="12"/>
          <w:b w:val="1"/>
          <w:bCs w:val="1"/>
          <w:color w:val="auto"/>
        </w:rPr>
        <w:t>Exhibit 31.2</w:t>
      </w:r>
    </w:p>
    <w:p>
      <w:pPr>
        <w:spacing w:after="0" w:line="150" w:lineRule="exact"/>
        <w:rPr>
          <w:sz w:val="20"/>
          <w:szCs w:val="20"/>
          <w:color w:val="auto"/>
        </w:rPr>
      </w:pPr>
    </w:p>
    <w:p>
      <w:pPr>
        <w:jc w:val="center"/>
        <w:ind w:right="-7"/>
        <w:spacing w:after="0"/>
        <w:rPr>
          <w:sz w:val="20"/>
          <w:szCs w:val="20"/>
          <w:color w:val="auto"/>
        </w:rPr>
      </w:pPr>
      <w:r>
        <w:rPr>
          <w:rFonts w:ascii="Arial" w:cs="Arial" w:eastAsia="Arial" w:hAnsi="Arial"/>
          <w:sz w:val="12"/>
          <w:szCs w:val="12"/>
          <w:b w:val="1"/>
          <w:bCs w:val="1"/>
          <w:color w:val="auto"/>
        </w:rPr>
        <w:t>CERTIFICATION PURSUANT TO</w:t>
      </w:r>
    </w:p>
    <w:p>
      <w:pPr>
        <w:spacing w:after="0" w:line="19" w:lineRule="exact"/>
        <w:rPr>
          <w:sz w:val="20"/>
          <w:szCs w:val="20"/>
          <w:color w:val="auto"/>
        </w:rPr>
      </w:pPr>
    </w:p>
    <w:p>
      <w:pPr>
        <w:jc w:val="center"/>
        <w:ind w:right="-7"/>
        <w:spacing w:after="0"/>
        <w:rPr>
          <w:sz w:val="20"/>
          <w:szCs w:val="20"/>
          <w:color w:val="auto"/>
        </w:rPr>
      </w:pPr>
      <w:r>
        <w:rPr>
          <w:rFonts w:ascii="Arial" w:cs="Arial" w:eastAsia="Arial" w:hAnsi="Arial"/>
          <w:sz w:val="12"/>
          <w:szCs w:val="12"/>
          <w:b w:val="1"/>
          <w:bCs w:val="1"/>
          <w:color w:val="auto"/>
        </w:rPr>
        <w:t>RULES 13a-14(a) AND 15d-14(a) UNDER THE SECURITIES EXCHANGE ACT OF 1934,</w:t>
      </w:r>
    </w:p>
    <w:p>
      <w:pPr>
        <w:spacing w:after="0" w:line="6" w:lineRule="exact"/>
        <w:rPr>
          <w:sz w:val="20"/>
          <w:szCs w:val="20"/>
          <w:color w:val="auto"/>
        </w:rPr>
      </w:pPr>
    </w:p>
    <w:p>
      <w:pPr>
        <w:jc w:val="center"/>
        <w:ind w:right="-7"/>
        <w:spacing w:after="0"/>
        <w:rPr>
          <w:sz w:val="20"/>
          <w:szCs w:val="20"/>
          <w:color w:val="auto"/>
        </w:rPr>
      </w:pPr>
      <w:r>
        <w:rPr>
          <w:rFonts w:ascii="Arial" w:cs="Arial" w:eastAsia="Arial" w:hAnsi="Arial"/>
          <w:sz w:val="12"/>
          <w:szCs w:val="12"/>
          <w:b w:val="1"/>
          <w:bCs w:val="1"/>
          <w:color w:val="auto"/>
        </w:rPr>
        <w:t>AS ADOPTED PURSUANT TO SECTION 302 OF THE SARBANES-OXLEY ACT OF 2002</w:t>
      </w:r>
    </w:p>
    <w:p>
      <w:pPr>
        <w:spacing w:after="0" w:line="141" w:lineRule="exact"/>
        <w:rPr>
          <w:sz w:val="20"/>
          <w:szCs w:val="20"/>
          <w:color w:val="auto"/>
        </w:rPr>
      </w:pPr>
    </w:p>
    <w:p>
      <w:pPr>
        <w:ind w:left="8"/>
        <w:spacing w:after="0"/>
        <w:rPr>
          <w:sz w:val="20"/>
          <w:szCs w:val="20"/>
          <w:color w:val="auto"/>
        </w:rPr>
      </w:pPr>
      <w:r>
        <w:rPr>
          <w:rFonts w:ascii="Arial" w:cs="Arial" w:eastAsia="Arial" w:hAnsi="Arial"/>
          <w:sz w:val="12"/>
          <w:szCs w:val="12"/>
          <w:color w:val="auto"/>
        </w:rPr>
        <w:t>I, Mark A. Wallace, certify that:</w:t>
      </w:r>
    </w:p>
    <w:p>
      <w:pPr>
        <w:spacing w:after="0" w:line="96" w:lineRule="exact"/>
        <w:rPr>
          <w:sz w:val="20"/>
          <w:szCs w:val="20"/>
          <w:color w:val="auto"/>
        </w:rPr>
      </w:pPr>
    </w:p>
    <w:p>
      <w:pPr>
        <w:ind w:left="528" w:hanging="528"/>
        <w:spacing w:after="0"/>
        <w:tabs>
          <w:tab w:leader="none" w:pos="528" w:val="left"/>
        </w:tabs>
        <w:numPr>
          <w:ilvl w:val="0"/>
          <w:numId w:val="59"/>
        </w:numPr>
        <w:rPr>
          <w:rFonts w:ascii="Arial" w:cs="Arial" w:eastAsia="Arial" w:hAnsi="Arial"/>
          <w:sz w:val="12"/>
          <w:szCs w:val="12"/>
          <w:color w:val="auto"/>
        </w:rPr>
      </w:pPr>
      <w:r>
        <w:rPr>
          <w:rFonts w:ascii="Arial" w:cs="Arial" w:eastAsia="Arial" w:hAnsi="Arial"/>
          <w:sz w:val="12"/>
          <w:szCs w:val="12"/>
          <w:color w:val="auto"/>
        </w:rPr>
        <w:t>I have reviewed this Annual Report on Form 10-K of Uniti Group Inc.;</w:t>
      </w:r>
    </w:p>
    <w:p>
      <w:pPr>
        <w:spacing w:after="0" w:line="231" w:lineRule="exact"/>
        <w:rPr>
          <w:rFonts w:ascii="Arial" w:cs="Arial" w:eastAsia="Arial" w:hAnsi="Arial"/>
          <w:sz w:val="12"/>
          <w:szCs w:val="12"/>
          <w:color w:val="auto"/>
        </w:rPr>
      </w:pPr>
    </w:p>
    <w:p>
      <w:pPr>
        <w:ind w:left="528" w:right="60" w:hanging="528"/>
        <w:spacing w:after="0" w:line="276" w:lineRule="auto"/>
        <w:tabs>
          <w:tab w:leader="none" w:pos="528" w:val="left"/>
        </w:tabs>
        <w:numPr>
          <w:ilvl w:val="0"/>
          <w:numId w:val="59"/>
        </w:numPr>
        <w:rPr>
          <w:rFonts w:ascii="Arial" w:cs="Arial" w:eastAsia="Arial" w:hAnsi="Arial"/>
          <w:sz w:val="12"/>
          <w:szCs w:val="12"/>
          <w:color w:val="auto"/>
        </w:rPr>
      </w:pPr>
      <w:r>
        <w:rPr>
          <w:rFonts w:ascii="Arial" w:cs="Arial" w:eastAsia="Arial" w:hAnsi="Arial"/>
          <w:sz w:val="12"/>
          <w:szCs w:val="12"/>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6" w:lineRule="exact"/>
        <w:rPr>
          <w:rFonts w:ascii="Arial" w:cs="Arial" w:eastAsia="Arial" w:hAnsi="Arial"/>
          <w:sz w:val="12"/>
          <w:szCs w:val="12"/>
          <w:color w:val="auto"/>
        </w:rPr>
      </w:pPr>
    </w:p>
    <w:p>
      <w:pPr>
        <w:ind w:left="528" w:right="140" w:hanging="528"/>
        <w:spacing w:after="0" w:line="276" w:lineRule="auto"/>
        <w:tabs>
          <w:tab w:leader="none" w:pos="528" w:val="left"/>
        </w:tabs>
        <w:numPr>
          <w:ilvl w:val="0"/>
          <w:numId w:val="59"/>
        </w:numPr>
        <w:rPr>
          <w:rFonts w:ascii="Arial" w:cs="Arial" w:eastAsia="Arial" w:hAnsi="Arial"/>
          <w:sz w:val="12"/>
          <w:szCs w:val="12"/>
          <w:color w:val="auto"/>
        </w:rPr>
      </w:pPr>
      <w:r>
        <w:rPr>
          <w:rFonts w:ascii="Arial" w:cs="Arial" w:eastAsia="Arial" w:hAnsi="Arial"/>
          <w:sz w:val="12"/>
          <w:szCs w:val="12"/>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96" w:lineRule="exact"/>
        <w:rPr>
          <w:rFonts w:ascii="Arial" w:cs="Arial" w:eastAsia="Arial" w:hAnsi="Arial"/>
          <w:sz w:val="12"/>
          <w:szCs w:val="12"/>
          <w:color w:val="auto"/>
        </w:rPr>
      </w:pPr>
    </w:p>
    <w:p>
      <w:pPr>
        <w:ind w:left="528" w:right="60" w:hanging="528"/>
        <w:spacing w:after="0" w:line="276" w:lineRule="auto"/>
        <w:tabs>
          <w:tab w:leader="none" w:pos="528" w:val="left"/>
        </w:tabs>
        <w:numPr>
          <w:ilvl w:val="0"/>
          <w:numId w:val="59"/>
        </w:numPr>
        <w:rPr>
          <w:rFonts w:ascii="Arial" w:cs="Arial" w:eastAsia="Arial" w:hAnsi="Arial"/>
          <w:sz w:val="12"/>
          <w:szCs w:val="12"/>
          <w:color w:val="auto"/>
        </w:rPr>
      </w:pPr>
      <w:r>
        <w:rPr>
          <w:rFonts w:ascii="Arial" w:cs="Arial" w:eastAsia="Arial" w:hAnsi="Arial"/>
          <w:sz w:val="12"/>
          <w:szCs w:val="12"/>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96" w:lineRule="exact"/>
        <w:rPr>
          <w:rFonts w:ascii="Arial" w:cs="Arial" w:eastAsia="Arial" w:hAnsi="Arial"/>
          <w:sz w:val="12"/>
          <w:szCs w:val="12"/>
          <w:color w:val="auto"/>
        </w:rPr>
      </w:pPr>
    </w:p>
    <w:p>
      <w:pPr>
        <w:ind w:left="1028" w:right="240" w:hanging="506"/>
        <w:spacing w:after="0" w:line="276" w:lineRule="auto"/>
        <w:tabs>
          <w:tab w:leader="none" w:pos="1028" w:val="left"/>
        </w:tabs>
        <w:numPr>
          <w:ilvl w:val="1"/>
          <w:numId w:val="59"/>
        </w:numPr>
        <w:rPr>
          <w:rFonts w:ascii="Arial" w:cs="Arial" w:eastAsia="Arial" w:hAnsi="Arial"/>
          <w:sz w:val="12"/>
          <w:szCs w:val="12"/>
          <w:color w:val="auto"/>
        </w:rPr>
      </w:pPr>
      <w:r>
        <w:rPr>
          <w:rFonts w:ascii="Arial" w:cs="Arial" w:eastAsia="Arial" w:hAnsi="Arial"/>
          <w:sz w:val="12"/>
          <w:szCs w:val="12"/>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6" w:lineRule="exact"/>
        <w:rPr>
          <w:rFonts w:ascii="Arial" w:cs="Arial" w:eastAsia="Arial" w:hAnsi="Arial"/>
          <w:sz w:val="12"/>
          <w:szCs w:val="12"/>
          <w:color w:val="auto"/>
        </w:rPr>
      </w:pPr>
    </w:p>
    <w:p>
      <w:pPr>
        <w:ind w:left="1028" w:right="440" w:hanging="506"/>
        <w:spacing w:after="0" w:line="276" w:lineRule="auto"/>
        <w:tabs>
          <w:tab w:leader="none" w:pos="1028" w:val="left"/>
        </w:tabs>
        <w:numPr>
          <w:ilvl w:val="1"/>
          <w:numId w:val="59"/>
        </w:numPr>
        <w:rPr>
          <w:rFonts w:ascii="Arial" w:cs="Arial" w:eastAsia="Arial" w:hAnsi="Arial"/>
          <w:sz w:val="12"/>
          <w:szCs w:val="12"/>
          <w:color w:val="auto"/>
        </w:rPr>
      </w:pPr>
      <w:r>
        <w:rPr>
          <w:rFonts w:ascii="Arial" w:cs="Arial" w:eastAsia="Arial" w:hAnsi="Arial"/>
          <w:sz w:val="12"/>
          <w:szCs w:val="12"/>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4" w:lineRule="exact"/>
        <w:rPr>
          <w:rFonts w:ascii="Arial" w:cs="Arial" w:eastAsia="Arial" w:hAnsi="Arial"/>
          <w:sz w:val="12"/>
          <w:szCs w:val="12"/>
          <w:color w:val="auto"/>
        </w:rPr>
      </w:pPr>
    </w:p>
    <w:p>
      <w:pPr>
        <w:ind w:left="1028" w:right="20" w:hanging="506"/>
        <w:spacing w:after="0" w:line="276" w:lineRule="auto"/>
        <w:tabs>
          <w:tab w:leader="none" w:pos="1028" w:val="left"/>
        </w:tabs>
        <w:numPr>
          <w:ilvl w:val="1"/>
          <w:numId w:val="59"/>
        </w:numPr>
        <w:rPr>
          <w:rFonts w:ascii="Arial" w:cs="Arial" w:eastAsia="Arial" w:hAnsi="Arial"/>
          <w:sz w:val="12"/>
          <w:szCs w:val="12"/>
          <w:color w:val="auto"/>
        </w:rPr>
      </w:pPr>
      <w:r>
        <w:rPr>
          <w:rFonts w:ascii="Arial" w:cs="Arial" w:eastAsia="Arial" w:hAnsi="Arial"/>
          <w:sz w:val="12"/>
          <w:szCs w:val="1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96" w:lineRule="exact"/>
        <w:rPr>
          <w:rFonts w:ascii="Arial" w:cs="Arial" w:eastAsia="Arial" w:hAnsi="Arial"/>
          <w:sz w:val="12"/>
          <w:szCs w:val="12"/>
          <w:color w:val="auto"/>
        </w:rPr>
      </w:pPr>
    </w:p>
    <w:p>
      <w:pPr>
        <w:ind w:left="1028" w:right="60" w:hanging="506"/>
        <w:spacing w:after="0" w:line="276" w:lineRule="auto"/>
        <w:tabs>
          <w:tab w:leader="none" w:pos="1028" w:val="left"/>
        </w:tabs>
        <w:numPr>
          <w:ilvl w:val="1"/>
          <w:numId w:val="59"/>
        </w:numPr>
        <w:rPr>
          <w:rFonts w:ascii="Arial" w:cs="Arial" w:eastAsia="Arial" w:hAnsi="Arial"/>
          <w:sz w:val="12"/>
          <w:szCs w:val="12"/>
          <w:color w:val="auto"/>
        </w:rPr>
      </w:pPr>
      <w:r>
        <w:rPr>
          <w:rFonts w:ascii="Arial" w:cs="Arial" w:eastAsia="Arial" w:hAnsi="Arial"/>
          <w:sz w:val="12"/>
          <w:szCs w:val="12"/>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96" w:lineRule="exact"/>
        <w:rPr>
          <w:rFonts w:ascii="Arial" w:cs="Arial" w:eastAsia="Arial" w:hAnsi="Arial"/>
          <w:sz w:val="12"/>
          <w:szCs w:val="12"/>
          <w:color w:val="auto"/>
        </w:rPr>
      </w:pPr>
    </w:p>
    <w:p>
      <w:pPr>
        <w:ind w:left="528" w:right="320" w:hanging="528"/>
        <w:spacing w:after="0" w:line="276" w:lineRule="auto"/>
        <w:tabs>
          <w:tab w:leader="none" w:pos="528" w:val="left"/>
        </w:tabs>
        <w:numPr>
          <w:ilvl w:val="0"/>
          <w:numId w:val="59"/>
        </w:numPr>
        <w:rPr>
          <w:rFonts w:ascii="Arial" w:cs="Arial" w:eastAsia="Arial" w:hAnsi="Arial"/>
          <w:sz w:val="12"/>
          <w:szCs w:val="12"/>
          <w:color w:val="auto"/>
        </w:rPr>
      </w:pPr>
      <w:r>
        <w:rPr>
          <w:rFonts w:ascii="Arial" w:cs="Arial" w:eastAsia="Arial" w:hAnsi="Arial"/>
          <w:sz w:val="12"/>
          <w:szCs w:val="12"/>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4" w:lineRule="exact"/>
        <w:rPr>
          <w:rFonts w:ascii="Arial" w:cs="Arial" w:eastAsia="Arial" w:hAnsi="Arial"/>
          <w:sz w:val="12"/>
          <w:szCs w:val="12"/>
          <w:color w:val="auto"/>
        </w:rPr>
      </w:pPr>
    </w:p>
    <w:p>
      <w:pPr>
        <w:ind w:left="1028" w:right="380" w:hanging="506"/>
        <w:spacing w:after="0" w:line="276" w:lineRule="auto"/>
        <w:tabs>
          <w:tab w:leader="none" w:pos="1028" w:val="left"/>
        </w:tabs>
        <w:numPr>
          <w:ilvl w:val="1"/>
          <w:numId w:val="59"/>
        </w:numPr>
        <w:rPr>
          <w:rFonts w:ascii="Arial" w:cs="Arial" w:eastAsia="Arial" w:hAnsi="Arial"/>
          <w:sz w:val="12"/>
          <w:szCs w:val="12"/>
          <w:color w:val="auto"/>
        </w:rPr>
      </w:pPr>
      <w:r>
        <w:rPr>
          <w:rFonts w:ascii="Arial" w:cs="Arial" w:eastAsia="Arial" w:hAnsi="Arial"/>
          <w:sz w:val="12"/>
          <w:szCs w:val="12"/>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42" w:lineRule="exact"/>
        <w:rPr>
          <w:rFonts w:ascii="Arial" w:cs="Arial" w:eastAsia="Arial" w:hAnsi="Arial"/>
          <w:sz w:val="12"/>
          <w:szCs w:val="12"/>
          <w:color w:val="auto"/>
        </w:rPr>
      </w:pPr>
    </w:p>
    <w:p>
      <w:pPr>
        <w:ind w:left="1028" w:hanging="506"/>
        <w:spacing w:after="0"/>
        <w:tabs>
          <w:tab w:leader="none" w:pos="1028" w:val="left"/>
        </w:tabs>
        <w:numPr>
          <w:ilvl w:val="1"/>
          <w:numId w:val="59"/>
        </w:numPr>
        <w:rPr>
          <w:rFonts w:ascii="Arial" w:cs="Arial" w:eastAsia="Arial" w:hAnsi="Arial"/>
          <w:sz w:val="12"/>
          <w:szCs w:val="12"/>
          <w:color w:val="auto"/>
        </w:rPr>
      </w:pPr>
      <w:r>
        <w:rPr>
          <w:rFonts w:ascii="Arial" w:cs="Arial" w:eastAsia="Arial" w:hAnsi="Arial"/>
          <w:sz w:val="12"/>
          <w:szCs w:val="12"/>
          <w:color w:val="auto"/>
        </w:rPr>
        <w:t>Any fraud, whether or not material, that involves management or other employees who have a significant role in the registrant’s internal control over financial reporting.</w:t>
      </w:r>
    </w:p>
    <w:p>
      <w:pPr>
        <w:spacing w:after="0" w:line="366" w:lineRule="exact"/>
        <w:rPr>
          <w:sz w:val="20"/>
          <w:szCs w:val="20"/>
          <w:color w:val="auto"/>
        </w:rPr>
      </w:pPr>
    </w:p>
    <w:p>
      <w:pPr>
        <w:ind w:left="8"/>
        <w:spacing w:after="0"/>
        <w:tabs>
          <w:tab w:leader="none" w:pos="4928" w:val="left"/>
          <w:tab w:leader="none" w:pos="7828" w:val="left"/>
        </w:tabs>
        <w:rPr>
          <w:sz w:val="20"/>
          <w:szCs w:val="20"/>
          <w:color w:val="auto"/>
        </w:rPr>
      </w:pPr>
      <w:r>
        <w:rPr>
          <w:rFonts w:ascii="Arial" w:cs="Arial" w:eastAsia="Arial" w:hAnsi="Arial"/>
          <w:sz w:val="12"/>
          <w:szCs w:val="12"/>
          <w:color w:val="auto"/>
        </w:rPr>
        <w:t>Date: March 18, 2019</w:t>
      </w:r>
      <w:r>
        <w:rPr>
          <w:sz w:val="20"/>
          <w:szCs w:val="20"/>
          <w:color w:val="auto"/>
        </w:rPr>
        <w:tab/>
      </w:r>
      <w:r>
        <w:rPr>
          <w:rFonts w:ascii="Arial" w:cs="Arial" w:eastAsia="Arial" w:hAnsi="Arial"/>
          <w:sz w:val="12"/>
          <w:szCs w:val="12"/>
          <w:color w:val="auto"/>
        </w:rPr>
        <w:t>By:</w:t>
      </w:r>
      <w:r>
        <w:rPr>
          <w:sz w:val="20"/>
          <w:szCs w:val="20"/>
          <w:color w:val="auto"/>
        </w:rPr>
        <w:tab/>
      </w:r>
      <w:r>
        <w:rPr>
          <w:rFonts w:ascii="Arial" w:cs="Arial" w:eastAsia="Arial" w:hAnsi="Arial"/>
          <w:sz w:val="11"/>
          <w:szCs w:val="11"/>
          <w:color w:val="auto"/>
        </w:rPr>
        <w:t>/s/ Mark A. Wallace</w:t>
      </w:r>
    </w:p>
    <w:p>
      <w:pPr>
        <w:spacing w:after="0" w:line="15" w:lineRule="exact"/>
        <w:rPr>
          <w:sz w:val="20"/>
          <w:szCs w:val="20"/>
          <w:color w:val="auto"/>
        </w:rPr>
      </w:pPr>
    </w:p>
    <w:p>
      <w:pPr>
        <w:jc w:val="center"/>
        <w:ind w:left="5180"/>
        <w:spacing w:after="0"/>
        <w:rPr>
          <w:sz w:val="20"/>
          <w:szCs w:val="20"/>
          <w:color w:val="auto"/>
        </w:rPr>
      </w:pPr>
      <w:r>
        <w:rPr>
          <w:rFonts w:ascii="Arial" w:cs="Arial" w:eastAsia="Arial" w:hAnsi="Arial"/>
          <w:sz w:val="12"/>
          <w:szCs w:val="12"/>
          <w:b w:val="1"/>
          <w:bCs w:val="1"/>
          <w:color w:val="auto"/>
        </w:rPr>
        <w:t>Mark A. Wallace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3282950</wp:posOffset>
            </wp:positionH>
            <wp:positionV relativeFrom="paragraph">
              <wp:posOffset>-86995</wp:posOffset>
            </wp:positionV>
            <wp:extent cx="4009390" cy="571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2">
                      <a:extLst>
                        <a:ext uri="{28A0092B-C50C-407E-A947-70E740481C1C}"/>
                      </a:extLst>
                    </a:blip>
                    <a:srcRect/>
                    <a:stretch>
                      <a:fillRect/>
                    </a:stretch>
                  </pic:blipFill>
                  <pic:spPr bwMode="auto">
                    <a:xfrm>
                      <a:off x="0" y="0"/>
                      <a:ext cx="4009390" cy="5715"/>
                    </a:xfrm>
                    <a:prstGeom prst="rect">
                      <a:avLst/>
                    </a:prstGeom>
                    <a:noFill/>
                  </pic:spPr>
                </pic:pic>
              </a:graphicData>
            </a:graphic>
          </wp:anchor>
        </w:drawing>
      </w:r>
    </w:p>
    <w:p>
      <w:pPr>
        <w:jc w:val="center"/>
        <w:ind w:left="5180"/>
        <w:spacing w:after="0"/>
        <w:rPr>
          <w:sz w:val="20"/>
          <w:szCs w:val="20"/>
          <w:color w:val="auto"/>
        </w:rPr>
      </w:pPr>
      <w:r>
        <w:rPr>
          <w:rFonts w:ascii="Arial" w:cs="Arial" w:eastAsia="Arial" w:hAnsi="Arial"/>
          <w:sz w:val="12"/>
          <w:szCs w:val="12"/>
          <w:b w:val="1"/>
          <w:bCs w:val="1"/>
          <w:color w:val="auto"/>
        </w:rPr>
        <w:t>Executive Vice President – Chief Financial Officer</w:t>
      </w:r>
    </w:p>
    <w:p>
      <w:pPr>
        <w:spacing w:after="0" w:line="6" w:lineRule="exact"/>
        <w:rPr>
          <w:sz w:val="20"/>
          <w:szCs w:val="20"/>
          <w:color w:val="auto"/>
        </w:rPr>
      </w:pPr>
    </w:p>
    <w:p>
      <w:pPr>
        <w:jc w:val="center"/>
        <w:ind w:left="5180"/>
        <w:spacing w:after="0"/>
        <w:rPr>
          <w:sz w:val="20"/>
          <w:szCs w:val="20"/>
          <w:color w:val="auto"/>
        </w:rPr>
      </w:pPr>
      <w:r>
        <w:rPr>
          <w:rFonts w:ascii="Arial" w:cs="Arial" w:eastAsia="Arial" w:hAnsi="Arial"/>
          <w:sz w:val="12"/>
          <w:szCs w:val="12"/>
          <w:b w:val="1"/>
          <w:bCs w:val="1"/>
          <w:color w:val="auto"/>
        </w:rPr>
        <w:t>and Treasurer</w:t>
      </w:r>
    </w:p>
    <w:p>
      <w:pPr>
        <w:sectPr>
          <w:pgSz w:w="11900" w:h="16838" w:orient="portrait"/>
          <w:cols w:equalWidth="0" w:num="1">
            <w:col w:w="11488"/>
          </w:cols>
          <w:pgMar w:left="212" w:top="280" w:right="199" w:bottom="1440" w:gutter="0" w:footer="0" w:header="0"/>
        </w:sectPr>
      </w:pPr>
    </w:p>
    <w:bookmarkStart w:id="159" w:name="page160"/>
    <w:bookmarkEnd w:id="159"/>
    <w:p>
      <w:pPr>
        <w:jc w:val="right"/>
        <w:spacing w:after="0"/>
        <w:rPr>
          <w:sz w:val="20"/>
          <w:szCs w:val="20"/>
          <w:color w:val="auto"/>
        </w:rPr>
      </w:pPr>
      <w:r>
        <w:rPr>
          <w:rFonts w:ascii="Arial" w:cs="Arial" w:eastAsia="Arial" w:hAnsi="Arial"/>
          <w:sz w:val="12"/>
          <w:szCs w:val="12"/>
          <w:b w:val="1"/>
          <w:bCs w:val="1"/>
          <w:color w:val="auto"/>
        </w:rPr>
        <w:t>Exhibit 32.1</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CERTIFICATION PURSUANT TO</w:t>
      </w:r>
    </w:p>
    <w:p>
      <w:pPr>
        <w:spacing w:after="0" w:line="19" w:lineRule="exact"/>
        <w:rPr>
          <w:sz w:val="20"/>
          <w:szCs w:val="20"/>
          <w:color w:val="auto"/>
        </w:rPr>
      </w:pPr>
    </w:p>
    <w:p>
      <w:pPr>
        <w:ind w:left="4220"/>
        <w:spacing w:after="0"/>
        <w:rPr>
          <w:sz w:val="20"/>
          <w:szCs w:val="20"/>
          <w:color w:val="auto"/>
        </w:rPr>
      </w:pPr>
      <w:r>
        <w:rPr>
          <w:rFonts w:ascii="Arial" w:cs="Arial" w:eastAsia="Arial" w:hAnsi="Arial"/>
          <w:sz w:val="12"/>
          <w:szCs w:val="12"/>
          <w:b w:val="1"/>
          <w:bCs w:val="1"/>
          <w:color w:val="auto"/>
        </w:rPr>
        <w:t>18 U.S.C. SECTION 1350, AS ADOPTED PURSUANT TO</w:t>
      </w:r>
    </w:p>
    <w:p>
      <w:pPr>
        <w:spacing w:after="0" w:line="6" w:lineRule="exact"/>
        <w:rPr>
          <w:sz w:val="20"/>
          <w:szCs w:val="20"/>
          <w:color w:val="auto"/>
        </w:rPr>
      </w:pPr>
    </w:p>
    <w:p>
      <w:pPr>
        <w:ind w:left="4180"/>
        <w:spacing w:after="0"/>
        <w:rPr>
          <w:sz w:val="20"/>
          <w:szCs w:val="20"/>
          <w:color w:val="auto"/>
        </w:rPr>
      </w:pPr>
      <w:r>
        <w:rPr>
          <w:rFonts w:ascii="Arial" w:cs="Arial" w:eastAsia="Arial" w:hAnsi="Arial"/>
          <w:sz w:val="12"/>
          <w:szCs w:val="12"/>
          <w:b w:val="1"/>
          <w:bCs w:val="1"/>
          <w:color w:val="auto"/>
        </w:rPr>
        <w:t>SECTION 906 OF THE SARBANES-OXLEY ACT OF 2002</w:t>
      </w:r>
    </w:p>
    <w:p>
      <w:pPr>
        <w:spacing w:after="0" w:line="141" w:lineRule="exact"/>
        <w:rPr>
          <w:sz w:val="20"/>
          <w:szCs w:val="20"/>
          <w:color w:val="auto"/>
        </w:rPr>
      </w:pPr>
    </w:p>
    <w:p>
      <w:pPr>
        <w:ind w:right="160" w:firstLine="602"/>
        <w:spacing w:after="0" w:line="276" w:lineRule="auto"/>
        <w:rPr>
          <w:sz w:val="20"/>
          <w:szCs w:val="20"/>
          <w:color w:val="auto"/>
        </w:rPr>
      </w:pPr>
      <w:r>
        <w:rPr>
          <w:rFonts w:ascii="Arial" w:cs="Arial" w:eastAsia="Arial" w:hAnsi="Arial"/>
          <w:sz w:val="12"/>
          <w:szCs w:val="12"/>
          <w:color w:val="auto"/>
        </w:rPr>
        <w:t>In connection with the Annual Report on Form 10-K of Uniti Group Inc. (the “Company”) for the period ending December 31, 2018 as filed with the Securities and Exchange Commission on the date hereof (the “Report”), I certify, pursuant to 18 U.S.C. § 1350, as adopted pursuant to § 906 of the Sarbanes-Oxley Act of 2002, to my knowledge, that:</w:t>
      </w:r>
    </w:p>
    <w:p>
      <w:pPr>
        <w:spacing w:after="0" w:line="43" w:lineRule="exact"/>
        <w:rPr>
          <w:sz w:val="20"/>
          <w:szCs w:val="20"/>
          <w:color w:val="auto"/>
        </w:rPr>
      </w:pPr>
    </w:p>
    <w:p>
      <w:pPr>
        <w:ind w:left="1180" w:hanging="593"/>
        <w:spacing w:after="0"/>
        <w:tabs>
          <w:tab w:leader="none" w:pos="1180" w:val="left"/>
        </w:tabs>
        <w:numPr>
          <w:ilvl w:val="0"/>
          <w:numId w:val="60"/>
        </w:numPr>
        <w:rPr>
          <w:rFonts w:ascii="Arial" w:cs="Arial" w:eastAsia="Arial" w:hAnsi="Arial"/>
          <w:sz w:val="12"/>
          <w:szCs w:val="12"/>
          <w:color w:val="auto"/>
        </w:rPr>
      </w:pPr>
      <w:r>
        <w:rPr>
          <w:rFonts w:ascii="Arial" w:cs="Arial" w:eastAsia="Arial" w:hAnsi="Arial"/>
          <w:sz w:val="12"/>
          <w:szCs w:val="12"/>
          <w:color w:val="auto"/>
        </w:rPr>
        <w:t>The Report fully complies with the requirements of section 13(a) or 15(d) of the Securities Exchange Act of 1934; and</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60"/>
        </w:numPr>
        <w:rPr>
          <w:rFonts w:ascii="Arial" w:cs="Arial" w:eastAsia="Arial" w:hAnsi="Arial"/>
          <w:sz w:val="12"/>
          <w:szCs w:val="12"/>
          <w:color w:val="auto"/>
        </w:rPr>
      </w:pPr>
      <w:r>
        <w:rPr>
          <w:rFonts w:ascii="Arial" w:cs="Arial" w:eastAsia="Arial" w:hAnsi="Arial"/>
          <w:sz w:val="12"/>
          <w:szCs w:val="12"/>
          <w:color w:val="auto"/>
        </w:rPr>
        <w:t>The information contained in the Report fairly presents, in all material respects, the financial condition and results of operations of the Company.</w:t>
      </w:r>
    </w:p>
    <w:p>
      <w:pPr>
        <w:spacing w:after="0" w:line="150" w:lineRule="exact"/>
        <w:rPr>
          <w:sz w:val="20"/>
          <w:szCs w:val="20"/>
          <w:color w:val="auto"/>
        </w:rPr>
      </w:pPr>
    </w:p>
    <w:p>
      <w:pPr>
        <w:spacing w:after="0"/>
        <w:tabs>
          <w:tab w:leader="none" w:pos="4920" w:val="left"/>
          <w:tab w:leader="none" w:pos="7660" w:val="left"/>
        </w:tabs>
        <w:rPr>
          <w:sz w:val="20"/>
          <w:szCs w:val="20"/>
          <w:color w:val="auto"/>
        </w:rPr>
      </w:pPr>
      <w:r>
        <w:rPr>
          <w:rFonts w:ascii="Arial" w:cs="Arial" w:eastAsia="Arial" w:hAnsi="Arial"/>
          <w:sz w:val="12"/>
          <w:szCs w:val="12"/>
          <w:color w:val="auto"/>
        </w:rPr>
        <w:t>Date: March 18, 2019</w:t>
      </w:r>
      <w:r>
        <w:rPr>
          <w:sz w:val="20"/>
          <w:szCs w:val="20"/>
          <w:color w:val="auto"/>
        </w:rPr>
        <w:tab/>
      </w:r>
      <w:r>
        <w:rPr>
          <w:rFonts w:ascii="Arial" w:cs="Arial" w:eastAsia="Arial" w:hAnsi="Arial"/>
          <w:sz w:val="12"/>
          <w:szCs w:val="12"/>
          <w:color w:val="auto"/>
        </w:rPr>
        <w:t>By:</w:t>
      </w:r>
      <w:r>
        <w:rPr>
          <w:sz w:val="20"/>
          <w:szCs w:val="20"/>
          <w:color w:val="auto"/>
        </w:rPr>
        <w:tab/>
      </w:r>
      <w:r>
        <w:rPr>
          <w:rFonts w:ascii="Arial" w:cs="Arial" w:eastAsia="Arial" w:hAnsi="Arial"/>
          <w:sz w:val="10"/>
          <w:szCs w:val="10"/>
          <w:color w:val="auto"/>
        </w:rPr>
        <w:t>/s/ Kenneth A. Gunderman</w:t>
      </w:r>
    </w:p>
    <w:p>
      <w:pPr>
        <w:spacing w:after="0" w:line="15" w:lineRule="exact"/>
        <w:rPr>
          <w:sz w:val="20"/>
          <w:szCs w:val="20"/>
          <w:color w:val="auto"/>
        </w:rPr>
      </w:pPr>
    </w:p>
    <w:p>
      <w:pPr>
        <w:jc w:val="center"/>
        <w:ind w:left="5180"/>
        <w:spacing w:after="0"/>
        <w:rPr>
          <w:sz w:val="20"/>
          <w:szCs w:val="20"/>
          <w:color w:val="auto"/>
        </w:rPr>
      </w:pPr>
      <w:r>
        <w:rPr>
          <w:rFonts w:ascii="Arial" w:cs="Arial" w:eastAsia="Arial" w:hAnsi="Arial"/>
          <w:sz w:val="12"/>
          <w:szCs w:val="12"/>
          <w:b w:val="1"/>
          <w:bCs w:val="1"/>
          <w:color w:val="auto"/>
        </w:rPr>
        <w:t>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3277870</wp:posOffset>
            </wp:positionH>
            <wp:positionV relativeFrom="paragraph">
              <wp:posOffset>-86995</wp:posOffset>
            </wp:positionV>
            <wp:extent cx="4009390" cy="571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3">
                      <a:extLst>
                        <a:ext uri="{28A0092B-C50C-407E-A947-70E740481C1C}"/>
                      </a:extLst>
                    </a:blip>
                    <a:srcRect/>
                    <a:stretch>
                      <a:fillRect/>
                    </a:stretch>
                  </pic:blipFill>
                  <pic:spPr bwMode="auto">
                    <a:xfrm>
                      <a:off x="0" y="0"/>
                      <a:ext cx="4009390" cy="5715"/>
                    </a:xfrm>
                    <a:prstGeom prst="rect">
                      <a:avLst/>
                    </a:prstGeom>
                    <a:noFill/>
                  </pic:spPr>
                </pic:pic>
              </a:graphicData>
            </a:graphic>
          </wp:anchor>
        </w:drawing>
      </w:r>
    </w:p>
    <w:p>
      <w:pPr>
        <w:jc w:val="center"/>
        <w:ind w:left="5180"/>
        <w:spacing w:after="0"/>
        <w:rPr>
          <w:sz w:val="20"/>
          <w:szCs w:val="20"/>
          <w:color w:val="auto"/>
        </w:rPr>
      </w:pPr>
      <w:r>
        <w:rPr>
          <w:rFonts w:ascii="Arial" w:cs="Arial" w:eastAsia="Arial" w:hAnsi="Arial"/>
          <w:sz w:val="12"/>
          <w:szCs w:val="12"/>
          <w:b w:val="1"/>
          <w:bCs w:val="1"/>
          <w:color w:val="auto"/>
        </w:rPr>
        <w:t>President and Chief Executive Officer</w:t>
      </w:r>
    </w:p>
    <w:p>
      <w:pPr>
        <w:sectPr>
          <w:pgSz w:w="11900" w:h="16838" w:orient="portrait"/>
          <w:cols w:equalWidth="0" w:num="1">
            <w:col w:w="11480"/>
          </w:cols>
          <w:pgMar w:left="220" w:top="280" w:right="199" w:bottom="1440" w:gutter="0" w:footer="0" w:header="0"/>
        </w:sectPr>
      </w:pPr>
    </w:p>
    <w:bookmarkStart w:id="160" w:name="page161"/>
    <w:bookmarkEnd w:id="160"/>
    <w:p>
      <w:pPr>
        <w:jc w:val="right"/>
        <w:spacing w:after="0"/>
        <w:rPr>
          <w:sz w:val="20"/>
          <w:szCs w:val="20"/>
          <w:color w:val="auto"/>
        </w:rPr>
      </w:pPr>
      <w:r>
        <w:rPr>
          <w:rFonts w:ascii="Arial" w:cs="Arial" w:eastAsia="Arial" w:hAnsi="Arial"/>
          <w:sz w:val="12"/>
          <w:szCs w:val="12"/>
          <w:b w:val="1"/>
          <w:bCs w:val="1"/>
          <w:color w:val="auto"/>
        </w:rPr>
        <w:t>Exhibit 32.2</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CERTIFICATION PURSUANT TO</w:t>
      </w:r>
    </w:p>
    <w:p>
      <w:pPr>
        <w:spacing w:after="0" w:line="19" w:lineRule="exact"/>
        <w:rPr>
          <w:sz w:val="20"/>
          <w:szCs w:val="20"/>
          <w:color w:val="auto"/>
        </w:rPr>
      </w:pPr>
    </w:p>
    <w:p>
      <w:pPr>
        <w:ind w:left="4220"/>
        <w:spacing w:after="0"/>
        <w:rPr>
          <w:sz w:val="20"/>
          <w:szCs w:val="20"/>
          <w:color w:val="auto"/>
        </w:rPr>
      </w:pPr>
      <w:r>
        <w:rPr>
          <w:rFonts w:ascii="Arial" w:cs="Arial" w:eastAsia="Arial" w:hAnsi="Arial"/>
          <w:sz w:val="12"/>
          <w:szCs w:val="12"/>
          <w:b w:val="1"/>
          <w:bCs w:val="1"/>
          <w:color w:val="auto"/>
        </w:rPr>
        <w:t>18 U.S.C. SECTION 1350, AS ADOPTED PURSUANT TO</w:t>
      </w:r>
    </w:p>
    <w:p>
      <w:pPr>
        <w:spacing w:after="0" w:line="6" w:lineRule="exact"/>
        <w:rPr>
          <w:sz w:val="20"/>
          <w:szCs w:val="20"/>
          <w:color w:val="auto"/>
        </w:rPr>
      </w:pPr>
    </w:p>
    <w:p>
      <w:pPr>
        <w:ind w:left="4180"/>
        <w:spacing w:after="0"/>
        <w:rPr>
          <w:sz w:val="20"/>
          <w:szCs w:val="20"/>
          <w:color w:val="auto"/>
        </w:rPr>
      </w:pPr>
      <w:r>
        <w:rPr>
          <w:rFonts w:ascii="Arial" w:cs="Arial" w:eastAsia="Arial" w:hAnsi="Arial"/>
          <w:sz w:val="12"/>
          <w:szCs w:val="12"/>
          <w:b w:val="1"/>
          <w:bCs w:val="1"/>
          <w:color w:val="auto"/>
        </w:rPr>
        <w:t>SECTION 906 OF THE SARBANES-OXLEY ACT OF 2002</w:t>
      </w:r>
    </w:p>
    <w:p>
      <w:pPr>
        <w:spacing w:after="0" w:line="141" w:lineRule="exact"/>
        <w:rPr>
          <w:sz w:val="20"/>
          <w:szCs w:val="20"/>
          <w:color w:val="auto"/>
        </w:rPr>
      </w:pPr>
    </w:p>
    <w:p>
      <w:pPr>
        <w:ind w:right="160" w:firstLine="602"/>
        <w:spacing w:after="0" w:line="276" w:lineRule="auto"/>
        <w:rPr>
          <w:sz w:val="20"/>
          <w:szCs w:val="20"/>
          <w:color w:val="auto"/>
        </w:rPr>
      </w:pPr>
      <w:r>
        <w:rPr>
          <w:rFonts w:ascii="Arial" w:cs="Arial" w:eastAsia="Arial" w:hAnsi="Arial"/>
          <w:sz w:val="12"/>
          <w:szCs w:val="12"/>
          <w:color w:val="auto"/>
        </w:rPr>
        <w:t>In connection with the Annual Report on Form 10-K of Uniti Group Inc. (the “Company”) for the period ending December 31, 2018 as filed with the Securities and Exchange Commission on the date hereof (the “Report”), I certify, pursuant to 18 U.S.C. § 1350, as adopted pursuant to § 906 of the Sarbanes-Oxley Act of 2002, to my knowledge, that:</w:t>
      </w:r>
    </w:p>
    <w:p>
      <w:pPr>
        <w:spacing w:after="0" w:line="43" w:lineRule="exact"/>
        <w:rPr>
          <w:sz w:val="20"/>
          <w:szCs w:val="20"/>
          <w:color w:val="auto"/>
        </w:rPr>
      </w:pPr>
    </w:p>
    <w:p>
      <w:pPr>
        <w:ind w:left="1180" w:hanging="593"/>
        <w:spacing w:after="0"/>
        <w:tabs>
          <w:tab w:leader="none" w:pos="1180" w:val="left"/>
        </w:tabs>
        <w:numPr>
          <w:ilvl w:val="0"/>
          <w:numId w:val="61"/>
        </w:numPr>
        <w:rPr>
          <w:rFonts w:ascii="Arial" w:cs="Arial" w:eastAsia="Arial" w:hAnsi="Arial"/>
          <w:sz w:val="12"/>
          <w:szCs w:val="12"/>
          <w:color w:val="auto"/>
        </w:rPr>
      </w:pPr>
      <w:r>
        <w:rPr>
          <w:rFonts w:ascii="Arial" w:cs="Arial" w:eastAsia="Arial" w:hAnsi="Arial"/>
          <w:sz w:val="12"/>
          <w:szCs w:val="12"/>
          <w:color w:val="auto"/>
        </w:rPr>
        <w:t>The Report fully complies with the requirements of section 13(a) or 15(d) of the Securities Exchange Act of 1934; and</w:t>
      </w:r>
    </w:p>
    <w:p>
      <w:pPr>
        <w:spacing w:after="0" w:line="78" w:lineRule="exact"/>
        <w:rPr>
          <w:rFonts w:ascii="Arial" w:cs="Arial" w:eastAsia="Arial" w:hAnsi="Arial"/>
          <w:sz w:val="12"/>
          <w:szCs w:val="12"/>
          <w:color w:val="auto"/>
        </w:rPr>
      </w:pPr>
    </w:p>
    <w:p>
      <w:pPr>
        <w:ind w:left="1180" w:hanging="593"/>
        <w:spacing w:after="0"/>
        <w:tabs>
          <w:tab w:leader="none" w:pos="1180" w:val="left"/>
        </w:tabs>
        <w:numPr>
          <w:ilvl w:val="0"/>
          <w:numId w:val="61"/>
        </w:numPr>
        <w:rPr>
          <w:rFonts w:ascii="Arial" w:cs="Arial" w:eastAsia="Arial" w:hAnsi="Arial"/>
          <w:sz w:val="12"/>
          <w:szCs w:val="12"/>
          <w:color w:val="auto"/>
        </w:rPr>
      </w:pPr>
      <w:r>
        <w:rPr>
          <w:rFonts w:ascii="Arial" w:cs="Arial" w:eastAsia="Arial" w:hAnsi="Arial"/>
          <w:sz w:val="12"/>
          <w:szCs w:val="12"/>
          <w:color w:val="auto"/>
        </w:rPr>
        <w:t>The information contained in the Report fairly presents, in all material respects, the financial condition and results of operations of the Company.</w:t>
      </w:r>
    </w:p>
    <w:p>
      <w:pPr>
        <w:spacing w:after="0" w:line="150" w:lineRule="exact"/>
        <w:rPr>
          <w:sz w:val="20"/>
          <w:szCs w:val="20"/>
          <w:color w:val="auto"/>
        </w:rPr>
      </w:pPr>
    </w:p>
    <w:p>
      <w:pPr>
        <w:spacing w:after="0"/>
        <w:tabs>
          <w:tab w:leader="none" w:pos="4920" w:val="left"/>
          <w:tab w:leader="none" w:pos="7820" w:val="left"/>
        </w:tabs>
        <w:rPr>
          <w:sz w:val="20"/>
          <w:szCs w:val="20"/>
          <w:color w:val="auto"/>
        </w:rPr>
      </w:pPr>
      <w:r>
        <w:rPr>
          <w:rFonts w:ascii="Arial" w:cs="Arial" w:eastAsia="Arial" w:hAnsi="Arial"/>
          <w:sz w:val="12"/>
          <w:szCs w:val="12"/>
          <w:color w:val="auto"/>
        </w:rPr>
        <w:t>Date: March 18, 2019</w:t>
      </w:r>
      <w:r>
        <w:rPr>
          <w:sz w:val="20"/>
          <w:szCs w:val="20"/>
          <w:color w:val="auto"/>
        </w:rPr>
        <w:tab/>
      </w:r>
      <w:r>
        <w:rPr>
          <w:rFonts w:ascii="Arial" w:cs="Arial" w:eastAsia="Arial" w:hAnsi="Arial"/>
          <w:sz w:val="12"/>
          <w:szCs w:val="12"/>
          <w:color w:val="auto"/>
        </w:rPr>
        <w:t>By</w:t>
      </w:r>
      <w:r>
        <w:rPr>
          <w:rFonts w:ascii="Arial" w:cs="Arial" w:eastAsia="Arial" w:hAnsi="Arial"/>
          <w:sz w:val="12"/>
          <w:szCs w:val="12"/>
          <w:color w:val="222222"/>
        </w:rPr>
        <w:t>:</w:t>
      </w:r>
      <w:r>
        <w:rPr>
          <w:sz w:val="20"/>
          <w:szCs w:val="20"/>
          <w:color w:val="auto"/>
        </w:rPr>
        <w:tab/>
      </w:r>
      <w:r>
        <w:rPr>
          <w:rFonts w:ascii="Arial" w:cs="Arial" w:eastAsia="Arial" w:hAnsi="Arial"/>
          <w:sz w:val="11"/>
          <w:szCs w:val="11"/>
          <w:color w:val="auto"/>
        </w:rPr>
        <w:t>/s/ Mark A. Wallace</w:t>
      </w:r>
    </w:p>
    <w:p>
      <w:pPr>
        <w:spacing w:after="0" w:line="20" w:lineRule="exact"/>
        <w:rPr>
          <w:sz w:val="20"/>
          <w:szCs w:val="20"/>
          <w:color w:val="auto"/>
        </w:rPr>
      </w:pPr>
    </w:p>
    <w:p>
      <w:pPr>
        <w:ind w:left="7880"/>
        <w:spacing w:after="0"/>
        <w:rPr>
          <w:sz w:val="20"/>
          <w:szCs w:val="20"/>
          <w:color w:val="auto"/>
        </w:rPr>
      </w:pPr>
      <w:r>
        <w:rPr>
          <w:rFonts w:ascii="Arial" w:cs="Arial" w:eastAsia="Arial" w:hAnsi="Arial"/>
          <w:sz w:val="12"/>
          <w:szCs w:val="12"/>
          <w:b w:val="1"/>
          <w:bCs w:val="1"/>
          <w:color w:val="auto"/>
        </w:rPr>
        <w:t>Mark A. Wallace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3277870</wp:posOffset>
            </wp:positionH>
            <wp:positionV relativeFrom="paragraph">
              <wp:posOffset>-84455</wp:posOffset>
            </wp:positionV>
            <wp:extent cx="4009390" cy="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4">
                      <a:extLst>
                        <a:ext uri="{28A0092B-C50C-407E-A947-70E740481C1C}"/>
                      </a:extLst>
                    </a:blip>
                    <a:srcRect/>
                    <a:stretch>
                      <a:fillRect/>
                    </a:stretch>
                  </pic:blipFill>
                  <pic:spPr bwMode="auto">
                    <a:xfrm>
                      <a:off x="0" y="0"/>
                      <a:ext cx="4009390" cy="5715"/>
                    </a:xfrm>
                    <a:prstGeom prst="rect">
                      <a:avLst/>
                    </a:prstGeom>
                    <a:noFill/>
                  </pic:spPr>
                </pic:pic>
              </a:graphicData>
            </a:graphic>
          </wp:anchor>
        </w:drawing>
      </w:r>
    </w:p>
    <w:p>
      <w:pPr>
        <w:ind w:left="7040"/>
        <w:spacing w:after="0"/>
        <w:rPr>
          <w:sz w:val="20"/>
          <w:szCs w:val="20"/>
          <w:color w:val="auto"/>
        </w:rPr>
      </w:pPr>
      <w:r>
        <w:rPr>
          <w:rFonts w:ascii="Arial" w:cs="Arial" w:eastAsia="Arial" w:hAnsi="Arial"/>
          <w:sz w:val="12"/>
          <w:szCs w:val="12"/>
          <w:b w:val="1"/>
          <w:bCs w:val="1"/>
          <w:color w:val="auto"/>
        </w:rPr>
        <w:t>Executive Vice President – Chief Financial Officer</w:t>
      </w:r>
    </w:p>
    <w:p>
      <w:pPr>
        <w:spacing w:after="0" w:line="15" w:lineRule="exact"/>
        <w:rPr>
          <w:sz w:val="20"/>
          <w:szCs w:val="20"/>
          <w:color w:val="auto"/>
        </w:rPr>
      </w:pPr>
    </w:p>
    <w:p>
      <w:pPr>
        <w:ind w:left="7960"/>
        <w:spacing w:after="0"/>
        <w:rPr>
          <w:sz w:val="20"/>
          <w:szCs w:val="20"/>
          <w:color w:val="auto"/>
        </w:rPr>
      </w:pPr>
      <w:r>
        <w:rPr>
          <w:rFonts w:ascii="Arial" w:cs="Arial" w:eastAsia="Arial" w:hAnsi="Arial"/>
          <w:sz w:val="12"/>
          <w:szCs w:val="12"/>
          <w:b w:val="1"/>
          <w:bCs w:val="1"/>
          <w:color w:val="auto"/>
        </w:rPr>
        <w:t>and Treasurer</w:t>
      </w:r>
    </w:p>
    <w:sectPr>
      <w:pgSz w:w="11900" w:h="16838" w:orient="portrait"/>
      <w:cols w:equalWidth="0" w:num="1">
        <w:col w:w="11480"/>
      </w:cols>
      <w:pgMar w:left="220" w:top="280"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C3DBD3D"/>
    <w:multiLevelType w:val="hybridMultilevel"/>
    <w:lvl w:ilvl="0">
      <w:lvlJc w:val="left"/>
      <w:lvlText w:val="☒"/>
      <w:numFmt w:val="bullet"/>
      <w:start w:val="1"/>
    </w:lvl>
  </w:abstractNum>
  <w:abstractNum w:abstractNumId="1">
    <w:nsid w:val="737B8DDC"/>
    <w:multiLevelType w:val="hybridMultilevel"/>
    <w:lvl w:ilvl="0">
      <w:lvlJc w:val="left"/>
      <w:lvlText w:val="☐"/>
      <w:numFmt w:val="bullet"/>
      <w:start w:val="1"/>
    </w:lvl>
  </w:abstractNum>
  <w:abstractNum w:abstractNumId="2">
    <w:nsid w:val="6CEAF087"/>
    <w:multiLevelType w:val="hybridMultilevel"/>
    <w:lvl w:ilvl="0">
      <w:lvlJc w:val="left"/>
      <w:lvlText w:val="•"/>
      <w:numFmt w:val="bullet"/>
      <w:start w:val="1"/>
    </w:lvl>
  </w:abstractNum>
  <w:abstractNum w:abstractNumId="3">
    <w:nsid w:val="22221A70"/>
    <w:multiLevelType w:val="hybridMultilevel"/>
    <w:lvl w:ilvl="0">
      <w:lvlJc w:val="left"/>
      <w:lvlText w:val="•"/>
      <w:numFmt w:val="bullet"/>
      <w:start w:val="1"/>
    </w:lvl>
  </w:abstractNum>
  <w:abstractNum w:abstractNumId="4">
    <w:nsid w:val="4516DDE9"/>
    <w:multiLevelType w:val="hybridMultilevel"/>
    <w:lvl w:ilvl="0">
      <w:lvlJc w:val="left"/>
      <w:lvlText w:val="•"/>
      <w:numFmt w:val="bullet"/>
      <w:start w:val="1"/>
    </w:lvl>
  </w:abstractNum>
  <w:abstractNum w:abstractNumId="5">
    <w:nsid w:val="3006C83E"/>
    <w:multiLevelType w:val="hybridMultilevel"/>
    <w:lvl w:ilvl="0">
      <w:lvlJc w:val="left"/>
      <w:lvlText w:val="(%1)"/>
      <w:numFmt w:val="decimal"/>
      <w:start w:val="1"/>
    </w:lvl>
  </w:abstractNum>
  <w:abstractNum w:abstractNumId="6">
    <w:nsid w:val="614FD4A1"/>
    <w:multiLevelType w:val="hybridMultilevel"/>
    <w:lvl w:ilvl="0">
      <w:lvlJc w:val="left"/>
      <w:lvlText w:val="(%1)"/>
      <w:numFmt w:val="decimal"/>
      <w:start w:val="1"/>
    </w:lvl>
  </w:abstractNum>
  <w:abstractNum w:abstractNumId="7">
    <w:nsid w:val="419AC241"/>
    <w:multiLevelType w:val="hybridMultilevel"/>
    <w:lvl w:ilvl="0">
      <w:lvlJc w:val="left"/>
      <w:lvlText w:val="(%1)"/>
      <w:numFmt w:val="decimal"/>
      <w:start w:val="1"/>
    </w:lvl>
  </w:abstractNum>
  <w:abstractNum w:abstractNumId="8">
    <w:nsid w:val="5577F8E1"/>
    <w:multiLevelType w:val="hybridMultilevel"/>
    <w:lvl w:ilvl="0">
      <w:lvlJc w:val="left"/>
      <w:lvlText w:val="(%1)"/>
      <w:numFmt w:val="lowerLetter"/>
      <w:start w:val="1"/>
    </w:lvl>
  </w:abstractNum>
  <w:abstractNum w:abstractNumId="9">
    <w:nsid w:val="440BADFC"/>
    <w:multiLevelType w:val="hybridMultilevel"/>
    <w:lvl w:ilvl="0">
      <w:lvlJc w:val="left"/>
      <w:lvlText w:val="(%1)"/>
      <w:numFmt w:val="lowerRoman"/>
      <w:start w:val="6"/>
    </w:lvl>
    <w:lvl w:ilvl="1">
      <w:lvlJc w:val="left"/>
      <w:lvlText w:val="%2."/>
      <w:numFmt w:val="lowerRoman"/>
      <w:start w:val="1"/>
    </w:lvl>
  </w:abstractNum>
  <w:abstractNum w:abstractNumId="10">
    <w:nsid w:val="5072367"/>
    <w:multiLevelType w:val="hybridMultilevel"/>
    <w:lvl w:ilvl="0">
      <w:lvlJc w:val="left"/>
      <w:lvlText w:val="(%1)"/>
      <w:numFmt w:val="decimal"/>
      <w:start w:val="1"/>
    </w:lvl>
  </w:abstractNum>
  <w:abstractNum w:abstractNumId="11">
    <w:nsid w:val="3804823E"/>
    <w:multiLevelType w:val="hybridMultilevel"/>
    <w:lvl w:ilvl="0">
      <w:lvlJc w:val="left"/>
      <w:lvlText w:val="(%1)"/>
      <w:numFmt w:val="decimal"/>
      <w:start w:val="1"/>
    </w:lvl>
  </w:abstractNum>
  <w:abstractNum w:abstractNumId="12">
    <w:nsid w:val="77465F01"/>
    <w:multiLevelType w:val="hybridMultilevel"/>
    <w:lvl w:ilvl="0">
      <w:lvlJc w:val="left"/>
      <w:lvlText w:val="(%1)"/>
      <w:numFmt w:val="decimal"/>
      <w:start w:val="1"/>
    </w:lvl>
  </w:abstractNum>
  <w:abstractNum w:abstractNumId="13">
    <w:nsid w:val="7724C67E"/>
    <w:multiLevelType w:val="hybridMultilevel"/>
    <w:lvl w:ilvl="0">
      <w:lvlJc w:val="left"/>
      <w:lvlText w:val="(%1)"/>
      <w:numFmt w:val="decimal"/>
      <w:start w:val="1"/>
    </w:lvl>
  </w:abstractNum>
  <w:abstractNum w:abstractNumId="14">
    <w:nsid w:val="5C482A97"/>
    <w:multiLevelType w:val="hybridMultilevel"/>
    <w:lvl w:ilvl="0">
      <w:lvlJc w:val="left"/>
      <w:lvlText w:val="(%1)"/>
      <w:numFmt w:val="decimal"/>
      <w:start w:val="1"/>
    </w:lvl>
  </w:abstractNum>
  <w:abstractNum w:abstractNumId="15">
    <w:nsid w:val="2463B9EA"/>
    <w:multiLevelType w:val="hybridMultilevel"/>
    <w:lvl w:ilvl="0">
      <w:lvlJc w:val="left"/>
      <w:lvlText w:val="•"/>
      <w:numFmt w:val="bullet"/>
      <w:start w:val="1"/>
    </w:lvl>
  </w:abstractNum>
  <w:abstractNum w:abstractNumId="16">
    <w:nsid w:val="5E884ADC"/>
    <w:multiLevelType w:val="hybridMultilevel"/>
    <w:lvl w:ilvl="0">
      <w:lvlJc w:val="left"/>
      <w:lvlText w:val="•"/>
      <w:numFmt w:val="bullet"/>
      <w:start w:val="1"/>
    </w:lvl>
  </w:abstractNum>
  <w:abstractNum w:abstractNumId="17">
    <w:nsid w:val="51EAD36B"/>
    <w:multiLevelType w:val="hybridMultilevel"/>
    <w:lvl w:ilvl="0">
      <w:lvlJc w:val="left"/>
      <w:lvlText w:val="1"/>
      <w:numFmt w:val="bullet"/>
      <w:start w:val="1"/>
    </w:lvl>
  </w:abstractNum>
  <w:abstractNum w:abstractNumId="18">
    <w:nsid w:val="2D517796"/>
    <w:multiLevelType w:val="hybridMultilevel"/>
    <w:lvl w:ilvl="0">
      <w:lvlJc w:val="left"/>
      <w:lvlText w:val="*"/>
      <w:numFmt w:val="bullet"/>
      <w:start w:val="1"/>
    </w:lvl>
  </w:abstractNum>
  <w:abstractNum w:abstractNumId="19">
    <w:nsid w:val="580BD78F"/>
    <w:multiLevelType w:val="hybridMultilevel"/>
    <w:lvl w:ilvl="0">
      <w:lvlJc w:val="left"/>
      <w:lvlText w:val="**"/>
      <w:numFmt w:val="bullet"/>
      <w:start w:val="1"/>
    </w:lvl>
  </w:abstractNum>
  <w:abstractNum w:abstractNumId="20">
    <w:nsid w:val="153EA438"/>
    <w:multiLevelType w:val="hybridMultilevel"/>
    <w:lvl w:ilvl="0">
      <w:lvlJc w:val="left"/>
      <w:lvlText w:val="***"/>
      <w:numFmt w:val="bullet"/>
      <w:start w:val="1"/>
    </w:lvl>
  </w:abstractNum>
  <w:abstractNum w:abstractNumId="21">
    <w:nsid w:val="3855585C"/>
    <w:multiLevelType w:val="hybridMultilevel"/>
    <w:lvl w:ilvl="0">
      <w:lvlJc w:val="left"/>
      <w:lvlText w:val="+"/>
      <w:numFmt w:val="bullet"/>
      <w:start w:val="1"/>
    </w:lvl>
  </w:abstractNum>
  <w:abstractNum w:abstractNumId="22">
    <w:nsid w:val="70A64E2A"/>
    <w:multiLevelType w:val="hybridMultilevel"/>
    <w:lvl w:ilvl="0">
      <w:lvlJc w:val="left"/>
      <w:lvlText w:val="(%1)"/>
      <w:numFmt w:val="decimal"/>
      <w:start w:val="1"/>
    </w:lvl>
  </w:abstractNum>
  <w:abstractNum w:abstractNumId="23">
    <w:nsid w:val="6A2342EC"/>
    <w:multiLevelType w:val="hybridMultilevel"/>
    <w:lvl w:ilvl="0">
      <w:lvlJc w:val="left"/>
      <w:lvlText w:val="(%1)"/>
      <w:numFmt w:val="decimal"/>
      <w:start w:val="4"/>
    </w:lvl>
  </w:abstractNum>
  <w:abstractNum w:abstractNumId="24">
    <w:nsid w:val="2A487CB0"/>
    <w:multiLevelType w:val="hybridMultilevel"/>
    <w:lvl w:ilvl="0">
      <w:lvlJc w:val="left"/>
      <w:lvlText w:val="%1."/>
      <w:numFmt w:val="decimal"/>
      <w:start w:val="1"/>
    </w:lvl>
  </w:abstractNum>
  <w:abstractNum w:abstractNumId="25">
    <w:nsid w:val="1D4ED43B"/>
    <w:multiLevelType w:val="hybridMultilevel"/>
    <w:lvl w:ilvl="0">
      <w:lvlJc w:val="left"/>
      <w:lvlText w:val="%1."/>
      <w:numFmt w:val="decimal"/>
      <w:start w:val="2"/>
    </w:lvl>
  </w:abstractNum>
  <w:abstractNum w:abstractNumId="26">
    <w:nsid w:val="725A06FB"/>
    <w:multiLevelType w:val="hybridMultilevel"/>
    <w:lvl w:ilvl="0">
      <w:lvlJc w:val="left"/>
      <w:lvlText w:val="(%1)"/>
      <w:numFmt w:val="lowerRoman"/>
      <w:start w:val="3"/>
    </w:lvl>
  </w:abstractNum>
  <w:abstractNum w:abstractNumId="27">
    <w:nsid w:val="2CD89A32"/>
    <w:multiLevelType w:val="hybridMultilevel"/>
    <w:lvl w:ilvl="0">
      <w:lvlJc w:val="left"/>
      <w:lvlText w:val="(%1)"/>
      <w:numFmt w:val="lowerLetter"/>
      <w:start w:val="3"/>
    </w:lvl>
  </w:abstractNum>
  <w:abstractNum w:abstractNumId="28">
    <w:nsid w:val="57E4CCAF"/>
    <w:multiLevelType w:val="hybridMultilevel"/>
    <w:lvl w:ilvl="0">
      <w:lvlJc w:val="left"/>
      <w:lvlText w:val="(%1)"/>
      <w:numFmt w:val="lowerRoman"/>
      <w:start w:val="1"/>
    </w:lvl>
  </w:abstractNum>
  <w:abstractNum w:abstractNumId="29">
    <w:nsid w:val="7A6D8D3C"/>
    <w:multiLevelType w:val="hybridMultilevel"/>
    <w:lvl w:ilvl="0">
      <w:lvlJc w:val="left"/>
      <w:lvlText w:val="(%1)"/>
      <w:numFmt w:val="lowerRoman"/>
      <w:start w:val="2"/>
    </w:lvl>
  </w:abstractNum>
  <w:abstractNum w:abstractNumId="30">
    <w:nsid w:val="4B588F54"/>
    <w:multiLevelType w:val="hybridMultilevel"/>
    <w:lvl w:ilvl="0">
      <w:lvlJc w:val="left"/>
      <w:lvlText w:val="%1."/>
      <w:numFmt w:val="decimal"/>
      <w:start w:val="3"/>
    </w:lvl>
  </w:abstractNum>
  <w:abstractNum w:abstractNumId="31">
    <w:nsid w:val="542289EC"/>
    <w:multiLevelType w:val="hybridMultilevel"/>
    <w:lvl w:ilvl="0">
      <w:lvlJc w:val="left"/>
      <w:lvlText w:val="(%1)"/>
      <w:numFmt w:val="lowerLetter"/>
      <w:start w:val="2"/>
    </w:lvl>
  </w:abstractNum>
  <w:abstractNum w:abstractNumId="32">
    <w:nsid w:val="6DE91B18"/>
    <w:multiLevelType w:val="hybridMultilevel"/>
    <w:lvl w:ilvl="0">
      <w:lvlJc w:val="left"/>
      <w:lvlText w:val="(%1)"/>
      <w:numFmt w:val="lowerLetter"/>
      <w:start w:val="3"/>
    </w:lvl>
  </w:abstractNum>
  <w:abstractNum w:abstractNumId="33">
    <w:nsid w:val="38437FDB"/>
    <w:multiLevelType w:val="hybridMultilevel"/>
    <w:lvl w:ilvl="0">
      <w:lvlJc w:val="left"/>
      <w:lvlText w:val="(%1)"/>
      <w:numFmt w:val="lowerLetter"/>
      <w:start w:val="4"/>
    </w:lvl>
  </w:abstractNum>
  <w:abstractNum w:abstractNumId="34">
    <w:nsid w:val="7644A45C"/>
    <w:multiLevelType w:val="hybridMultilevel"/>
    <w:lvl w:ilvl="0">
      <w:lvlJc w:val="left"/>
      <w:lvlText w:val="%1."/>
      <w:numFmt w:val="decimal"/>
      <w:start w:val="4"/>
    </w:lvl>
  </w:abstractNum>
  <w:abstractNum w:abstractNumId="35">
    <w:nsid w:val="32FFF902"/>
    <w:multiLevelType w:val="hybridMultilevel"/>
    <w:lvl w:ilvl="0">
      <w:lvlJc w:val="left"/>
      <w:lvlText w:val="(%1)"/>
      <w:numFmt w:val="lowerRoman"/>
      <w:start w:val="2"/>
    </w:lvl>
  </w:abstractNum>
  <w:abstractNum w:abstractNumId="36">
    <w:nsid w:val="684A481A"/>
    <w:multiLevelType w:val="hybridMultilevel"/>
    <w:lvl w:ilvl="0">
      <w:lvlJc w:val="left"/>
      <w:lvlText w:val="(%1)"/>
      <w:numFmt w:val="lowerRoman"/>
      <w:start w:val="5"/>
    </w:lvl>
  </w:abstractNum>
  <w:abstractNum w:abstractNumId="37">
    <w:nsid w:val="579478FE"/>
    <w:multiLevelType w:val="hybridMultilevel"/>
    <w:lvl w:ilvl="0">
      <w:lvlJc w:val="left"/>
      <w:lvlText w:val="%1"/>
      <w:numFmt w:val="decimal"/>
      <w:start w:val="1"/>
    </w:lvl>
    <w:lvl w:ilvl="1">
      <w:lvlJc w:val="left"/>
      <w:lvlText w:val="(%2)"/>
      <w:numFmt w:val="lowerRoman"/>
      <w:start w:val="7"/>
    </w:lvl>
  </w:abstractNum>
  <w:abstractNum w:abstractNumId="38">
    <w:nsid w:val="749ABB43"/>
    <w:multiLevelType w:val="hybridMultilevel"/>
    <w:lvl w:ilvl="0">
      <w:lvlJc w:val="left"/>
      <w:lvlText w:val="%1."/>
      <w:numFmt w:val="decimal"/>
      <w:start w:val="5"/>
    </w:lvl>
    <w:lvl w:ilvl="1">
      <w:lvlJc w:val="left"/>
      <w:lvlText w:val="%2"/>
      <w:numFmt w:val="lowerRoman"/>
      <w:start w:val="1"/>
    </w:lvl>
  </w:abstractNum>
  <w:abstractNum w:abstractNumId="39">
    <w:nsid w:val="3DC240FB"/>
    <w:multiLevelType w:val="hybridMultilevel"/>
    <w:lvl w:ilvl="0">
      <w:lvlJc w:val="left"/>
      <w:lvlText w:val="(%1)"/>
      <w:numFmt w:val="lowerRoman"/>
      <w:start w:val="2"/>
    </w:lvl>
  </w:abstractNum>
  <w:abstractNum w:abstractNumId="40">
    <w:nsid w:val="1BA026FA"/>
    <w:multiLevelType w:val="hybridMultilevel"/>
    <w:lvl w:ilvl="0">
      <w:lvlJc w:val="left"/>
      <w:lvlText w:val="%1."/>
      <w:numFmt w:val="decimal"/>
      <w:start w:val="6"/>
    </w:lvl>
  </w:abstractNum>
  <w:abstractNum w:abstractNumId="41">
    <w:nsid w:val="79A1DEAA"/>
    <w:multiLevelType w:val="hybridMultilevel"/>
    <w:lvl w:ilvl="0">
      <w:lvlJc w:val="left"/>
      <w:lvlText w:val="%1."/>
      <w:numFmt w:val="decimal"/>
      <w:start w:val="11"/>
    </w:lvl>
  </w:abstractNum>
  <w:abstractNum w:abstractNumId="42">
    <w:nsid w:val="75C6C33A"/>
    <w:multiLevelType w:val="hybridMultilevel"/>
    <w:lvl w:ilvl="0">
      <w:lvlJc w:val="left"/>
      <w:lvlText w:val="%1."/>
      <w:numFmt w:val="decimal"/>
      <w:start w:val="1"/>
    </w:lvl>
  </w:abstractNum>
  <w:abstractNum w:abstractNumId="43">
    <w:nsid w:val="12E685FB"/>
    <w:multiLevelType w:val="hybridMultilevel"/>
    <w:lvl w:ilvl="0">
      <w:lvlJc w:val="left"/>
      <w:lvlText w:val="%1."/>
      <w:numFmt w:val="decimal"/>
      <w:start w:val="3"/>
    </w:lvl>
  </w:abstractNum>
  <w:abstractNum w:abstractNumId="44">
    <w:nsid w:val="70C6A529"/>
    <w:multiLevelType w:val="hybridMultilevel"/>
    <w:lvl w:ilvl="0">
      <w:lvlJc w:val="left"/>
      <w:lvlText w:val="%1."/>
      <w:numFmt w:val="decimal"/>
      <w:start w:val="7"/>
    </w:lvl>
  </w:abstractNum>
  <w:abstractNum w:abstractNumId="45">
    <w:nsid w:val="520EEDD1"/>
    <w:multiLevelType w:val="hybridMultilevel"/>
    <w:lvl w:ilvl="0">
      <w:lvlJc w:val="left"/>
      <w:lvlText w:val="%1."/>
      <w:numFmt w:val="decimal"/>
      <w:start w:val="12"/>
    </w:lvl>
  </w:abstractNum>
  <w:abstractNum w:abstractNumId="46">
    <w:nsid w:val="374A3FE6"/>
    <w:multiLevelType w:val="hybridMultilevel"/>
    <w:lvl w:ilvl="0">
      <w:lvlJc w:val="left"/>
      <w:lvlText w:val="%1."/>
      <w:numFmt w:val="decimal"/>
      <w:start w:val="1"/>
    </w:lvl>
  </w:abstractNum>
  <w:abstractNum w:abstractNumId="47">
    <w:nsid w:val="4F4EF005"/>
    <w:multiLevelType w:val="hybridMultilevel"/>
    <w:lvl w:ilvl="0">
      <w:lvlJc w:val="left"/>
      <w:lvlText w:val="(%1)"/>
      <w:numFmt w:val="lowerLetter"/>
      <w:start w:val="1"/>
    </w:lvl>
  </w:abstractNum>
  <w:abstractNum w:abstractNumId="48">
    <w:nsid w:val="23F9C13C"/>
    <w:multiLevelType w:val="hybridMultilevel"/>
    <w:lvl w:ilvl="0">
      <w:lvlJc w:val="left"/>
      <w:lvlText w:val="(%1)"/>
      <w:numFmt w:val="lowerLetter"/>
      <w:start w:val="3"/>
    </w:lvl>
  </w:abstractNum>
  <w:abstractNum w:abstractNumId="49">
    <w:nsid w:val="649BB77C"/>
    <w:multiLevelType w:val="hybridMultilevel"/>
    <w:lvl w:ilvl="0">
      <w:lvlJc w:val="left"/>
      <w:lvlText w:val="%1."/>
      <w:numFmt w:val="decimal"/>
      <w:start w:val="3"/>
    </w:lvl>
  </w:abstractNum>
  <w:abstractNum w:abstractNumId="50">
    <w:nsid w:val="275AC794"/>
    <w:multiLevelType w:val="hybridMultilevel"/>
    <w:lvl w:ilvl="0">
      <w:lvlJc w:val="left"/>
      <w:lvlText w:val="(%1)"/>
      <w:numFmt w:val="lowerLetter"/>
      <w:start w:val="1"/>
    </w:lvl>
    <w:lvl w:ilvl="1">
      <w:lvlJc w:val="left"/>
      <w:lvlText w:val="(%2)"/>
      <w:numFmt w:val="lowerLetter"/>
      <w:start w:val="9"/>
    </w:lvl>
  </w:abstractNum>
  <w:abstractNum w:abstractNumId="51">
    <w:nsid w:val="39386575"/>
    <w:multiLevelType w:val="hybridMultilevel"/>
    <w:lvl w:ilvl="0">
      <w:lvlJc w:val="left"/>
      <w:lvlText w:val="%1"/>
      <w:numFmt w:val="lowerLetter"/>
      <w:start w:val="1"/>
    </w:lvl>
    <w:lvl w:ilvl="1">
      <w:lvlJc w:val="left"/>
      <w:lvlText w:val="(%2)"/>
      <w:numFmt w:val="lowerLetter"/>
      <w:start w:val="35"/>
    </w:lvl>
  </w:abstractNum>
  <w:abstractNum w:abstractNumId="52">
    <w:nsid w:val="1CF10FD8"/>
    <w:multiLevelType w:val="hybridMultilevel"/>
    <w:lvl w:ilvl="0">
      <w:lvlJc w:val="left"/>
      <w:lvlText w:val="(%1)"/>
      <w:numFmt w:val="lowerLetter"/>
      <w:start w:val="3"/>
    </w:lvl>
    <w:lvl w:ilvl="1">
      <w:lvlJc w:val="left"/>
      <w:lvlText w:val="%2"/>
      <w:numFmt w:val="lowerLetter"/>
      <w:start w:val="1"/>
    </w:lvl>
  </w:abstractNum>
  <w:abstractNum w:abstractNumId="53">
    <w:nsid w:val="180115BE"/>
    <w:multiLevelType w:val="hybridMultilevel"/>
    <w:lvl w:ilvl="0">
      <w:lvlJc w:val="left"/>
      <w:lvlText w:val="%1."/>
      <w:numFmt w:val="decimal"/>
      <w:start w:val="5"/>
    </w:lvl>
  </w:abstractNum>
  <w:abstractNum w:abstractNumId="54">
    <w:nsid w:val="235BA861"/>
    <w:multiLevelType w:val="hybridMultilevel"/>
    <w:lvl w:ilvl="0">
      <w:lvlJc w:val="left"/>
      <w:lvlText w:val="%1."/>
      <w:numFmt w:val="decimal"/>
      <w:start w:val="8"/>
    </w:lvl>
  </w:abstractNum>
  <w:abstractNum w:abstractNumId="55">
    <w:nsid w:val="47398C89"/>
    <w:multiLevelType w:val="hybridMultilevel"/>
    <w:lvl w:ilvl="0">
      <w:lvlJc w:val="left"/>
      <w:lvlText w:val="%1."/>
      <w:numFmt w:val="decimal"/>
      <w:start w:val="12"/>
    </w:lvl>
  </w:abstractNum>
  <w:abstractNum w:abstractNumId="56">
    <w:nsid w:val="354FE9F9"/>
    <w:multiLevelType w:val="hybridMultilevel"/>
    <w:lvl w:ilvl="0">
      <w:lvlJc w:val="left"/>
      <w:lvlText w:val="%1."/>
      <w:numFmt w:val="decimal"/>
      <w:start w:val="18"/>
    </w:lvl>
  </w:abstractNum>
  <w:abstractNum w:abstractNumId="57">
    <w:nsid w:val="15B5AF5C"/>
    <w:multiLevelType w:val="hybridMultilevel"/>
    <w:lvl w:ilvl="0">
      <w:lvlJc w:val="left"/>
      <w:lvlText w:val="%1."/>
      <w:numFmt w:val="decimal"/>
      <w:start w:val="1"/>
    </w:lvl>
    <w:lvl w:ilvl="1">
      <w:lvlJc w:val="left"/>
      <w:lvlText w:val="(%2)"/>
      <w:numFmt w:val="lowerLetter"/>
      <w:start w:val="1"/>
    </w:lvl>
  </w:abstractNum>
  <w:abstractNum w:abstractNumId="58">
    <w:nsid w:val="741226BB"/>
    <w:multiLevelType w:val="hybridMultilevel"/>
    <w:lvl w:ilvl="0">
      <w:lvlJc w:val="left"/>
      <w:lvlText w:val="%1."/>
      <w:numFmt w:val="decimal"/>
      <w:start w:val="1"/>
    </w:lvl>
    <w:lvl w:ilvl="1">
      <w:lvlJc w:val="left"/>
      <w:lvlText w:val="(%2)"/>
      <w:numFmt w:val="lowerLetter"/>
      <w:start w:val="1"/>
    </w:lvl>
  </w:abstractNum>
  <w:abstractNum w:abstractNumId="59">
    <w:nsid w:val="D34B6A8"/>
    <w:multiLevelType w:val="hybridMultilevel"/>
    <w:lvl w:ilvl="0">
      <w:lvlJc w:val="left"/>
      <w:lvlText w:val="(%1)"/>
      <w:numFmt w:val="decimal"/>
      <w:start w:val="1"/>
    </w:lvl>
  </w:abstractNum>
  <w:abstractNum w:abstractNumId="60">
    <w:nsid w:val="10233C9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9" Type="http://schemas.openxmlformats.org/officeDocument/2006/relationships/image" Target="media/image136.png"/><Relationship Id="rId150" Type="http://schemas.openxmlformats.org/officeDocument/2006/relationships/image" Target="media/image137.png"/><Relationship Id="rId160" Type="http://schemas.openxmlformats.org/officeDocument/2006/relationships/image" Target="media/image138.png"/><Relationship Id="rId161" Type="http://schemas.openxmlformats.org/officeDocument/2006/relationships/image" Target="media/image139.png"/><Relationship Id="rId172" Type="http://schemas.openxmlformats.org/officeDocument/2006/relationships/image" Target="media/image140.png"/><Relationship Id="rId173" Type="http://schemas.openxmlformats.org/officeDocument/2006/relationships/image" Target="media/image141.png"/><Relationship Id="rId184" Type="http://schemas.openxmlformats.org/officeDocument/2006/relationships/image" Target="media/image142.png"/><Relationship Id="rId185" Type="http://schemas.openxmlformats.org/officeDocument/2006/relationships/image" Target="media/image143.png"/><Relationship Id="rId198" Type="http://schemas.openxmlformats.org/officeDocument/2006/relationships/image" Target="media/image144.png"/><Relationship Id="rId199" Type="http://schemas.openxmlformats.org/officeDocument/2006/relationships/image" Target="media/image145.png"/><Relationship Id="rId206" Type="http://schemas.openxmlformats.org/officeDocument/2006/relationships/image" Target="media/image146.png"/><Relationship Id="rId207" Type="http://schemas.openxmlformats.org/officeDocument/2006/relationships/image" Target="media/image147.png"/><Relationship Id="rId208" Type="http://schemas.openxmlformats.org/officeDocument/2006/relationships/image" Target="media/image148.png"/><Relationship Id="rId209" Type="http://schemas.openxmlformats.org/officeDocument/2006/relationships/image" Target="media/image149.png"/><Relationship Id="rId210" Type="http://schemas.openxmlformats.org/officeDocument/2006/relationships/image" Target="media/image150.png"/><Relationship Id="rId211" Type="http://schemas.openxmlformats.org/officeDocument/2006/relationships/image" Target="media/image151.png"/><Relationship Id="rId212" Type="http://schemas.openxmlformats.org/officeDocument/2006/relationships/image" Target="media/image152.png"/><Relationship Id="rId213" Type="http://schemas.openxmlformats.org/officeDocument/2006/relationships/image" Target="media/image153.png"/><Relationship Id="rId214" Type="http://schemas.openxmlformats.org/officeDocument/2006/relationships/image" Target="media/image154.png"/><Relationship Id="rId215" Type="http://schemas.openxmlformats.org/officeDocument/2006/relationships/image" Target="media/image155.png"/><Relationship Id="rId216" Type="http://schemas.openxmlformats.org/officeDocument/2006/relationships/image" Target="media/image156.png"/><Relationship Id="rId217" Type="http://schemas.openxmlformats.org/officeDocument/2006/relationships/image" Target="media/image157.png"/><Relationship Id="rId218" Type="http://schemas.openxmlformats.org/officeDocument/2006/relationships/image" Target="media/image158.png"/><Relationship Id="rId219" Type="http://schemas.openxmlformats.org/officeDocument/2006/relationships/image" Target="media/image159.png"/><Relationship Id="rId220" Type="http://schemas.openxmlformats.org/officeDocument/2006/relationships/image" Target="media/image160.png"/><Relationship Id="rId221" Type="http://schemas.openxmlformats.org/officeDocument/2006/relationships/image" Target="media/image161.png"/><Relationship Id="rId222" Type="http://schemas.openxmlformats.org/officeDocument/2006/relationships/image" Target="media/image162.png"/><Relationship Id="rId223" Type="http://schemas.openxmlformats.org/officeDocument/2006/relationships/image" Target="media/image163.png"/><Relationship Id="rId224" Type="http://schemas.openxmlformats.org/officeDocument/2006/relationships/image" Target="media/image164.png"/><Relationship Id="rId225" Type="http://schemas.openxmlformats.org/officeDocument/2006/relationships/image" Target="media/image165.png"/><Relationship Id="rId226" Type="http://schemas.openxmlformats.org/officeDocument/2006/relationships/image" Target="media/image166.png"/><Relationship Id="rId227" Type="http://schemas.openxmlformats.org/officeDocument/2006/relationships/image" Target="media/image167.png"/><Relationship Id="rId228" Type="http://schemas.openxmlformats.org/officeDocument/2006/relationships/image" Target="media/image168.png"/><Relationship Id="rId229" Type="http://schemas.openxmlformats.org/officeDocument/2006/relationships/image" Target="media/image169.png"/><Relationship Id="rId230" Type="http://schemas.openxmlformats.org/officeDocument/2006/relationships/image" Target="media/image170.png"/><Relationship Id="rId231" Type="http://schemas.openxmlformats.org/officeDocument/2006/relationships/image" Target="media/image171.png"/><Relationship Id="rId232" Type="http://schemas.openxmlformats.org/officeDocument/2006/relationships/image" Target="media/image172.png"/><Relationship Id="rId233" Type="http://schemas.openxmlformats.org/officeDocument/2006/relationships/image" Target="media/image173.png"/><Relationship Id="rId234" Type="http://schemas.openxmlformats.org/officeDocument/2006/relationships/image" Target="media/image174.png"/><Relationship Id="rId235" Type="http://schemas.openxmlformats.org/officeDocument/2006/relationships/image" Target="media/image175.png"/><Relationship Id="rId236" Type="http://schemas.openxmlformats.org/officeDocument/2006/relationships/image" Target="media/image176.png"/><Relationship Id="rId237" Type="http://schemas.openxmlformats.org/officeDocument/2006/relationships/image" Target="media/image177.png"/><Relationship Id="rId238" Type="http://schemas.openxmlformats.org/officeDocument/2006/relationships/image" Target="media/image178.png"/><Relationship Id="rId239" Type="http://schemas.openxmlformats.org/officeDocument/2006/relationships/image" Target="media/image179.png"/><Relationship Id="rId240" Type="http://schemas.openxmlformats.org/officeDocument/2006/relationships/image" Target="media/image180.png"/><Relationship Id="rId241" Type="http://schemas.openxmlformats.org/officeDocument/2006/relationships/image" Target="media/image181.png"/><Relationship Id="rId242" Type="http://schemas.openxmlformats.org/officeDocument/2006/relationships/image" Target="media/image182.png"/><Relationship Id="rId243" Type="http://schemas.openxmlformats.org/officeDocument/2006/relationships/image" Target="media/image183.png"/><Relationship Id="rId244" Type="http://schemas.openxmlformats.org/officeDocument/2006/relationships/image" Target="media/image184.png"/><Relationship Id="rId245" Type="http://schemas.openxmlformats.org/officeDocument/2006/relationships/image" Target="media/image185.png"/><Relationship Id="rId246" Type="http://schemas.openxmlformats.org/officeDocument/2006/relationships/image" Target="media/image186.png"/><Relationship Id="rId247" Type="http://schemas.openxmlformats.org/officeDocument/2006/relationships/image" Target="media/image187.png"/><Relationship Id="rId248" Type="http://schemas.openxmlformats.org/officeDocument/2006/relationships/image" Target="media/image188.png"/><Relationship Id="rId249" Type="http://schemas.openxmlformats.org/officeDocument/2006/relationships/image" Target="media/image189.png"/><Relationship Id="rId250" Type="http://schemas.openxmlformats.org/officeDocument/2006/relationships/image" Target="media/image190.png"/><Relationship Id="rId251" Type="http://schemas.openxmlformats.org/officeDocument/2006/relationships/image" Target="media/image191.png"/><Relationship Id="rId252" Type="http://schemas.openxmlformats.org/officeDocument/2006/relationships/image" Target="media/image192.png"/><Relationship Id="rId253" Type="http://schemas.openxmlformats.org/officeDocument/2006/relationships/image" Target="media/image193.png"/><Relationship Id="rId254" Type="http://schemas.openxmlformats.org/officeDocument/2006/relationships/image" Target="media/image194.png"/><Relationship Id="rId143" Type="http://schemas.openxmlformats.org/officeDocument/2006/relationships/hyperlink" Target="http://www.sec.gov/Archives/edgar/data/0001620280/000119312515106562/d895819dex21.htm" TargetMode="External"/><Relationship Id="rId144" Type="http://schemas.openxmlformats.org/officeDocument/2006/relationships/hyperlink" Target="http://www.sec.gov/Archives/edgar/data/0001620280/000095010316010194/dp62520_ex0201.htm" TargetMode="External"/><Relationship Id="rId145" Type="http://schemas.openxmlformats.org/officeDocument/2006/relationships/hyperlink" Target="http://www.sec.gov/Archives/edgar/data/0001620280/000156459016024084/csal-ex21_814.htm" TargetMode="External"/><Relationship Id="rId146" Type="http://schemas.openxmlformats.org/officeDocument/2006/relationships/hyperlink" Target="http://www.sec.gov/Archives/edgar/data/0001620280/000156459016024084/csal-ex22_879.htm" TargetMode="External"/><Relationship Id="rId147" Type="http://schemas.openxmlformats.org/officeDocument/2006/relationships/hyperlink" Target="http://www.sec.gov/Archives/edgar/data/0001620280/000095010317003463/dp75010_ex0201.htm" TargetMode="External"/><Relationship Id="rId148" Type="http://schemas.openxmlformats.org/officeDocument/2006/relationships/hyperlink" Target="http://www.sec.gov/Archives/edgar/data/0001620280/000110465917043238/a17-15991_1ex2d1.htm" TargetMode="External"/><Relationship Id="rId151" Type="http://schemas.openxmlformats.org/officeDocument/2006/relationships/hyperlink" Target="http://www.sec.gov/Archives/edgar/data/0001620280/000119312515125997/d906732dex31.htm" TargetMode="External"/><Relationship Id="rId152" Type="http://schemas.openxmlformats.org/officeDocument/2006/relationships/hyperlink" Target="http://www.sec.gov/Archives/edgar/data/0001620280/000156459017002778/csal-ex31_7.htm" TargetMode="External"/><Relationship Id="rId153" Type="http://schemas.openxmlformats.org/officeDocument/2006/relationships/hyperlink" Target="http://www.sec.gov/Archives/edgar/data/0001620280/000110465917028526/a17-12174_1ex3d1.htm" TargetMode="External"/><Relationship Id="rId154" Type="http://schemas.openxmlformats.org/officeDocument/2006/relationships/hyperlink" Target="http://www.sec.gov/Archives/edgar/data/0001620280/000119312515147341/d910956dex42.htm" TargetMode="External"/><Relationship Id="rId155" Type="http://schemas.openxmlformats.org/officeDocument/2006/relationships/hyperlink" Target="http://www.sec.gov/Archives/edgar/data/0001620280/000156459017002252/csal-ex43_1051.htm" TargetMode="External"/><Relationship Id="rId156" Type="http://schemas.openxmlformats.org/officeDocument/2006/relationships/hyperlink" Target="http://www.sec.gov/Archives/edgar/data/0001620280/000110465917031184/a17-12744_1ex4d1.htm" TargetMode="External"/><Relationship Id="rId157" Type="http://schemas.openxmlformats.org/officeDocument/2006/relationships/hyperlink" Target="http://www.sec.gov/Archives/edgar/data/0001620280/000110465917031184/a17-12744_1ex4d2.htm" TargetMode="External"/><Relationship Id="rId158" Type="http://schemas.openxmlformats.org/officeDocument/2006/relationships/hyperlink" Target="http://www.sec.gov/Archives/edgar/data/0001620280/000119312515147341/d910956dex41.htm" TargetMode="External"/><Relationship Id="rId159" Type="http://schemas.openxmlformats.org/officeDocument/2006/relationships/hyperlink" Target="http://www.sec.gov/Archives/edgar/data/0001620280/000156459017002252/csal-ex46_1053.htm" TargetMode="External"/><Relationship Id="rId162" Type="http://schemas.openxmlformats.org/officeDocument/2006/relationships/hyperlink" Target="http://www.sec.gov/Archives/edgar/data/0001620280/000156459017002252/csal-ex47_1052.htm" TargetMode="External"/><Relationship Id="rId163" Type="http://schemas.openxmlformats.org/officeDocument/2006/relationships/hyperlink" Target="http://www.sec.gov/Archives/edgar/data/0001620280/000110465917031184/a17-12744_1ex4d3.htm" TargetMode="External"/><Relationship Id="rId164" Type="http://schemas.openxmlformats.org/officeDocument/2006/relationships/hyperlink" Target="http://www.sec.gov/Archives/edgar/data/0001620280/000110465917031184/a17-12744_1ex4d4.htm" TargetMode="External"/><Relationship Id="rId165" Type="http://schemas.openxmlformats.org/officeDocument/2006/relationships/hyperlink" Target="http://www.sec.gov/Archives/edgar/data/0001620280/000156459016017675/csal-ex41_145.htm" TargetMode="External"/><Relationship Id="rId166" Type="http://schemas.openxmlformats.org/officeDocument/2006/relationships/hyperlink" Target="http://www.sec.gov/Archives/edgar/data/0001620280/000110465917031184/a17-12744_1ex3d1.htm" TargetMode="External"/><Relationship Id="rId167" Type="http://schemas.openxmlformats.org/officeDocument/2006/relationships/hyperlink" Target="http://www.sec.gov/Archives/edgar/data/0001620280/000110465916162314/a16-20068_3ex4d1.htm" TargetMode="External"/><Relationship Id="rId168" Type="http://schemas.openxmlformats.org/officeDocument/2006/relationships/hyperlink" Target="http://www.sec.gov/Archives/edgar/data/0001620280/000156459017002252/csal-ex411_1436.htm" TargetMode="External"/><Relationship Id="rId169" Type="http://schemas.openxmlformats.org/officeDocument/2006/relationships/hyperlink" Target="http://www.sec.gov/Archives/edgar/data/0001620280/000110465917031184/a17-12744_1ex4d5.htm" TargetMode="External"/><Relationship Id="rId170" Type="http://schemas.openxmlformats.org/officeDocument/2006/relationships/hyperlink" Target="http://www.sec.gov/Archives/edgar/data/0001620280/000110465917031184/a17-12744_1ex4d6.htm" TargetMode="External"/><Relationship Id="rId171" Type="http://schemas.openxmlformats.org/officeDocument/2006/relationships/hyperlink" Target="http://www.sec.gov/Archives/edgar/data/0001620280/000156459017021297/unit-ex41_429.htm" TargetMode="External"/><Relationship Id="rId174" Type="http://schemas.openxmlformats.org/officeDocument/2006/relationships/hyperlink" Target="http://www.sec.gov/Archives/edgar/data/0001620280/000119312515147341/d910956dex101.htm" TargetMode="External"/><Relationship Id="rId175" Type="http://schemas.openxmlformats.org/officeDocument/2006/relationships/hyperlink" Target="http://www.sec.gov/Archives/edgar/data/0001620280/000119312515147341/d910956dex102.htm" TargetMode="External"/><Relationship Id="rId176" Type="http://schemas.openxmlformats.org/officeDocument/2006/relationships/hyperlink" Target="http://www.sec.gov/Archives/edgar/data/0001620280/000119312515147341/d910956dex103.htm" TargetMode="External"/><Relationship Id="rId177" Type="http://schemas.openxmlformats.org/officeDocument/2006/relationships/hyperlink" Target="http://www.sec.gov/Archives/edgar/data/0001620280/000119312515147341/d910956dex105.htm" TargetMode="External"/><Relationship Id="rId178" Type="http://schemas.openxmlformats.org/officeDocument/2006/relationships/hyperlink" Target="http://www.sec.gov/Archives/edgar/data/0001620280/000119312515147341/d910956dex106.htm" TargetMode="External"/><Relationship Id="rId179" Type="http://schemas.openxmlformats.org/officeDocument/2006/relationships/hyperlink" Target="http://www.sec.gov/Archives/edgar/data/0001620280/000119312515147341/d910956dex108.htm" TargetMode="External"/><Relationship Id="rId180" Type="http://schemas.openxmlformats.org/officeDocument/2006/relationships/hyperlink" Target="http://www.sec.gov/Archives/edgar/data/0001620280/000119312515147341/d910956dex1010.htm" TargetMode="External"/><Relationship Id="rId181" Type="http://schemas.openxmlformats.org/officeDocument/2006/relationships/hyperlink" Target="http://www.sec.gov/Archives/edgar/data/0001620280/000110465916151374/a16-20228_1ex10d1.htm" TargetMode="External"/><Relationship Id="rId182" Type="http://schemas.openxmlformats.org/officeDocument/2006/relationships/hyperlink" Target="http://www.sec.gov/Archives/edgar/data/0001620280/000110465917007816/a17-3824_1ex10d1.htm" TargetMode="External"/><Relationship Id="rId183" Type="http://schemas.openxmlformats.org/officeDocument/2006/relationships/hyperlink" Target="http://www.sec.gov/Archives/edgar/data/1620280/000110465917028526/a17-12174_1ex10d1.htm" TargetMode="External"/><Relationship Id="rId186" Type="http://schemas.openxmlformats.org/officeDocument/2006/relationships/hyperlink" Target="http://www.sec.gov/Archives/edgar/data/0001620280/000110465917031184/a17-12744_1ex10d1.htm" TargetMode="External"/><Relationship Id="rId187" Type="http://schemas.openxmlformats.org/officeDocument/2006/relationships/hyperlink" Target="http://www.sec.gov/Archives/edgar/data/0001620280/000119312515147341/d910956dex1011.htm" TargetMode="External"/><Relationship Id="rId188" Type="http://schemas.openxmlformats.org/officeDocument/2006/relationships/hyperlink" Target="http://www.sec.gov/Archives/edgar/data/0001620280/000119312515089385/d798710dex109.htm" TargetMode="External"/><Relationship Id="rId189" Type="http://schemas.openxmlformats.org/officeDocument/2006/relationships/hyperlink" Target="http://www.sec.gov/Archives/edgar/data/0001620280/000119312515211690/d935720dex102.htm" TargetMode="External"/><Relationship Id="rId190" Type="http://schemas.openxmlformats.org/officeDocument/2006/relationships/hyperlink" Target="http://www.sec.gov/Archives/edgar/data/1620280/000104746915005944/a2225264zex-10_16.htm" TargetMode="External"/><Relationship Id="rId191" Type="http://schemas.openxmlformats.org/officeDocument/2006/relationships/hyperlink" Target="http://www.sec.gov/Archives/edgar/data/0001620280/000119312515089385/d798710dex1012.htm" TargetMode="External"/><Relationship Id="rId192" Type="http://schemas.openxmlformats.org/officeDocument/2006/relationships/hyperlink" Target="http://www.sec.gov/Archives/edgar/data/1620280/000119312515211690/d935720dex103.htm" TargetMode="External"/><Relationship Id="rId193" Type="http://schemas.openxmlformats.org/officeDocument/2006/relationships/hyperlink" Target="http://www.sec.gov/Archives/edgar/data/0001620280/000119312515211690/d935720dex104.htm" TargetMode="External"/><Relationship Id="rId194" Type="http://schemas.openxmlformats.org/officeDocument/2006/relationships/hyperlink" Target="http://www.sec.gov/Archives/edgar/data/1620280/000119312515211690/d935720dex105.htm" TargetMode="External"/><Relationship Id="rId195" Type="http://schemas.openxmlformats.org/officeDocument/2006/relationships/hyperlink" Target="http://www.sec.gov/Archives/edgar/data/0001620280/000119312515211690/d935720dex105.htm" TargetMode="External"/><Relationship Id="rId196" Type="http://schemas.openxmlformats.org/officeDocument/2006/relationships/hyperlink" Target="http://www.sec.gov/Archives/edgar/data/1620280/000104746915005944/a2225264zex-10_20.htm" TargetMode="External"/><Relationship Id="rId197" Type="http://schemas.openxmlformats.org/officeDocument/2006/relationships/hyperlink" Target="http://www.sec.gov/Archives/edgar/data/1620280/000156459015007263/csal-ex1020_690.htm" TargetMode="External"/><Relationship Id="rId200" Type="http://schemas.openxmlformats.org/officeDocument/2006/relationships/hyperlink" Target="http://www.sec.gov/Archives/edgar/data/0001620280/000110465918038926/a18-14910_1ex99d1.htm" TargetMode="External"/><Relationship Id="rId201" Type="http://schemas.openxmlformats.org/officeDocument/2006/relationships/hyperlink" Target="http://www.sec.gov/Archives/edgar/data/0001620280/000156459016017675/csal-ex101_144.htm" TargetMode="External"/><Relationship Id="rId202" Type="http://schemas.openxmlformats.org/officeDocument/2006/relationships/hyperlink" Target="http://www.sec.gov/Archives/edgar/data/0001620280/000156459016019251/csal-ex103_289.htm" TargetMode="External"/><Relationship Id="rId203" Type="http://schemas.openxmlformats.org/officeDocument/2006/relationships/hyperlink" Target="http://www.sec.gov/Archives/edgar/data/0001620280/000156459016024084/csal-ex102_756.htm" TargetMode="External"/><Relationship Id="rId204" Type="http://schemas.openxmlformats.org/officeDocument/2006/relationships/hyperlink" Target="http://www.sec.gov/Archives/edgar/data/0001620280/000156459017008846/unit-ex102_688.htm" TargetMode="External"/><Relationship Id="rId205" Type="http://schemas.openxmlformats.org/officeDocument/2006/relationships/hyperlink" Target="http://www.sec.gov/Archives/edgar/data/0001620280/000156459018013046/unit-ex102_260.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2019-12-28T14:28:43Z</dcterms:created>
  <dcterms:modified xsi:type="dcterms:W3CDTF">2019-12-28T14:28:43Z</dcterms:modified>
</cp:coreProperties>
</file>